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word/header29.xml" ContentType="application/vnd.openxmlformats-officedocument.wordprocessingml.header+xml"/>
  <Override PartName="/word/header38.xml" ContentType="application/vnd.openxmlformats-officedocument.wordprocessingml.header+xml"/>
  <Override PartName="/word/header47.xml" ContentType="application/vnd.openxmlformats-officedocument.wordprocessingml.header+xml"/>
  <Override PartName="/word/header56.xml" ContentType="application/vnd.openxmlformats-officedocument.wordprocessingml.header+xml"/>
  <Override PartName="/customXml/itemProps1.xml" ContentType="application/vnd.openxmlformats-officedocument.customXmlProperties+xml"/>
  <Override PartName="/word/header16.xml" ContentType="application/vnd.openxmlformats-officedocument.wordprocessingml.header+xml"/>
  <Override PartName="/word/header27.xml" ContentType="application/vnd.openxmlformats-officedocument.wordprocessingml.header+xml"/>
  <Override PartName="/word/header36.xml" ContentType="application/vnd.openxmlformats-officedocument.wordprocessingml.header+xml"/>
  <Override PartName="/word/header45.xml" ContentType="application/vnd.openxmlformats-officedocument.wordprocessingml.header+xml"/>
  <Override PartName="/word/header54.xml" ContentType="application/vnd.openxmlformats-officedocument.wordprocessingml.header+xml"/>
  <Default Extension="wmf" ContentType="image/x-wmf"/>
  <Override PartName="/word/header14.xml" ContentType="application/vnd.openxmlformats-officedocument.wordprocessingml.header+xml"/>
  <Override PartName="/word/header25.xml" ContentType="application/vnd.openxmlformats-officedocument.wordprocessingml.header+xml"/>
  <Override PartName="/word/header34.xml" ContentType="application/vnd.openxmlformats-officedocument.wordprocessingml.header+xml"/>
  <Override PartName="/word/header43.xml" ContentType="application/vnd.openxmlformats-officedocument.wordprocessingml.header+xml"/>
  <Override PartName="/word/header52.xml" ContentType="application/vnd.openxmlformats-officedocument.wordprocessingml.header+xml"/>
  <Override PartName="/word/header61.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header8.xml" ContentType="application/vnd.openxmlformats-officedocument.wordprocessingml.header+xml"/>
  <Override PartName="/word/header12.xml" ContentType="application/vnd.openxmlformats-officedocument.wordprocessingml.header+xml"/>
  <Override PartName="/word/header21.xml" ContentType="application/vnd.openxmlformats-officedocument.wordprocessingml.header+xml"/>
  <Override PartName="/word/header23.xml" ContentType="application/vnd.openxmlformats-officedocument.wordprocessingml.header+xml"/>
  <Override PartName="/word/header32.xml" ContentType="application/vnd.openxmlformats-officedocument.wordprocessingml.header+xml"/>
  <Override PartName="/word/footer5.xml" ContentType="application/vnd.openxmlformats-officedocument.wordprocessingml.footer+xml"/>
  <Override PartName="/word/header41.xml" ContentType="application/vnd.openxmlformats-officedocument.wordprocessingml.header+xml"/>
  <Override PartName="/word/header50.xml" ContentType="application/vnd.openxmlformats-officedocument.wordprocessingml.header+xml"/>
  <Override PartName="/word/header6.xml" ContentType="application/vnd.openxmlformats-officedocument.wordprocessingml.header+xml"/>
  <Override PartName="/word/header10.xml" ContentType="application/vnd.openxmlformats-officedocument.wordprocessingml.header+xml"/>
  <Override PartName="/word/footer3.xml" ContentType="application/vnd.openxmlformats-officedocument.wordprocessingml.footer+xml"/>
  <Override PartName="/word/header30.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2.xml" ContentType="application/vnd.openxmlformats-officedocument.wordprocessingml.header+xml"/>
  <Override PartName="/word/webSettings.xml" ContentType="application/vnd.openxmlformats-officedocument.wordprocessingml.webSettings+xml"/>
  <Override PartName="/word/header1.xml" ContentType="application/vnd.openxmlformats-officedocument.wordprocessingml.header+xml"/>
  <Override PartName="/word/header39.xml" ContentType="application/vnd.openxmlformats-officedocument.wordprocessingml.header+xml"/>
  <Override PartName="/word/header49.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docProps/core.xml" ContentType="application/vnd.openxmlformats-package.core-properties+xml"/>
  <Default Extension="png" ContentType="image/png"/>
  <Override PartName="/word/header19.xml" ContentType="application/vnd.openxmlformats-officedocument.wordprocessingml.header+xml"/>
  <Override PartName="/word/header28.xml" ContentType="application/vnd.openxmlformats-officedocument.wordprocessingml.header+xml"/>
  <Override PartName="/word/header37.xml" ContentType="application/vnd.openxmlformats-officedocument.wordprocessingml.header+xml"/>
  <Override PartName="/word/header48.xml" ContentType="application/vnd.openxmlformats-officedocument.wordprocessingml.header+xml"/>
  <Override PartName="/word/header57.xml" ContentType="application/vnd.openxmlformats-officedocument.wordprocessingml.header+xml"/>
  <Override PartName="/word/header17.xml" ContentType="application/vnd.openxmlformats-officedocument.wordprocessingml.header+xml"/>
  <Override PartName="/word/header26.xml" ContentType="application/vnd.openxmlformats-officedocument.wordprocessingml.header+xml"/>
  <Override PartName="/word/header35.xml" ContentType="application/vnd.openxmlformats-officedocument.wordprocessingml.header+xml"/>
  <Override PartName="/word/header44.xml" ContentType="application/vnd.openxmlformats-officedocument.wordprocessingml.header+xml"/>
  <Override PartName="/word/header46.xml" ContentType="application/vnd.openxmlformats-officedocument.wordprocessingml.header+xml"/>
  <Override PartName="/word/header55.xml" ContentType="application/vnd.openxmlformats-officedocument.wordprocessingml.header+xml"/>
  <Default Extension="emf" ContentType="image/x-emf"/>
  <Default Extension="jpeg" ContentType="image/jpeg"/>
  <Override PartName="/word/header15.xml" ContentType="application/vnd.openxmlformats-officedocument.wordprocessingml.header+xml"/>
  <Override PartName="/word/header24.xml" ContentType="application/vnd.openxmlformats-officedocument.wordprocessingml.header+xml"/>
  <Override PartName="/word/header33.xml" ContentType="application/vnd.openxmlformats-officedocument.wordprocessingml.header+xml"/>
  <Override PartName="/word/header42.xml" ContentType="application/vnd.openxmlformats-officedocument.wordprocessingml.header+xml"/>
  <Override PartName="/word/header53.xml" ContentType="application/vnd.openxmlformats-officedocument.wordprocessingml.header+xml"/>
  <Override PartName="/word/header62.xml" ContentType="application/vnd.openxmlformats-officedocument.wordprocessingml.header+xml"/>
  <Override PartName="/word/numbering.xml" ContentType="application/vnd.openxmlformats-officedocument.wordprocessingml.numbering+xml"/>
  <Override PartName="/word/endnotes.xml" ContentType="application/vnd.openxmlformats-officedocument.wordprocessingml.endnotes+xml"/>
  <Override PartName="/word/header9.xml" ContentType="application/vnd.openxmlformats-officedocument.wordprocessingml.header+xml"/>
  <Override PartName="/word/header13.xml" ContentType="application/vnd.openxmlformats-officedocument.wordprocessingml.header+xml"/>
  <Override PartName="/word/header22.xml" ContentType="application/vnd.openxmlformats-officedocument.wordprocessingml.header+xml"/>
  <Override PartName="/word/header31.xml" ContentType="application/vnd.openxmlformats-officedocument.wordprocessingml.header+xml"/>
  <Override PartName="/word/footer4.xml" ContentType="application/vnd.openxmlformats-officedocument.wordprocessingml.footer+xml"/>
  <Override PartName="/word/header40.xml" ContentType="application/vnd.openxmlformats-officedocument.wordprocessingml.header+xml"/>
  <Override PartName="/word/header51.xml" ContentType="application/vnd.openxmlformats-officedocument.wordprocessingml.header+xml"/>
  <Override PartName="/word/header60.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header7.xml" ContentType="application/vnd.openxmlformats-officedocument.wordprocessingml.header+xml"/>
  <Override PartName="/word/header11.xml" ContentType="application/vnd.openxmlformats-officedocument.wordprocessingml.header+xml"/>
  <Override PartName="/word/footer2.xml" ContentType="application/vnd.openxmlformats-officedocument.wordprocessingml.footer+xml"/>
  <Override PartName="/word/header20.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3.xml" ContentType="application/vnd.openxmlformats-officedocument.wordprocessingml.header+xml"/>
  <Override PartName="/word/fontTable.xml" ContentType="application/vnd.openxmlformats-officedocument.wordprocessingml.fontTa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65811" w:rsidRDefault="00865811"/>
    <w:p w:rsidR="00865811" w:rsidRDefault="00865811">
      <w:pPr>
        <w:spacing w:after="200"/>
      </w:pPr>
      <w:r>
        <w:br w:type="page"/>
      </w:r>
    </w:p>
    <w:p w:rsidR="00225952" w:rsidRDefault="00225952"/>
    <w:p w:rsidR="00225952" w:rsidRDefault="00225952"/>
    <w:p w:rsidR="00225952" w:rsidRDefault="00225952"/>
    <w:p w:rsidR="00225952" w:rsidRDefault="00225952"/>
    <w:p w:rsidR="00225952" w:rsidRDefault="00225952"/>
    <w:p w:rsidR="00225952" w:rsidRDefault="00225952"/>
    <w:p w:rsidR="00225952" w:rsidRDefault="00225952"/>
    <w:p w:rsidR="00225952" w:rsidRDefault="00225952"/>
    <w:p w:rsidR="00225952" w:rsidRDefault="00225952"/>
    <w:p w:rsidR="00225952" w:rsidRDefault="00225952"/>
    <w:p w:rsidR="00225952" w:rsidRDefault="00225952"/>
    <w:p w:rsidR="00225952" w:rsidRDefault="00225952"/>
    <w:p w:rsidR="00225952" w:rsidRDefault="00225952"/>
    <w:p w:rsidR="00225952" w:rsidRDefault="00225952"/>
    <w:p w:rsidR="00225952" w:rsidRDefault="00225952"/>
    <w:p w:rsidR="00225952" w:rsidRDefault="00225952"/>
    <w:p w:rsidR="00225952" w:rsidRDefault="00225952"/>
    <w:p w:rsidR="00225952" w:rsidRDefault="00225952"/>
    <w:p w:rsidR="003F432A" w:rsidRDefault="003F432A" w:rsidP="00F77AF3">
      <w:pPr>
        <w:ind w:left="576" w:right="576"/>
        <w:sectPr w:rsidR="003F432A" w:rsidSect="00832911">
          <w:headerReference w:type="default" r:id="rId8"/>
          <w:footerReference w:type="default" r:id="rId9"/>
          <w:pgSz w:w="12240" w:h="15840"/>
          <w:pgMar w:top="1440" w:right="720" w:bottom="1440" w:left="1152" w:header="720" w:footer="720" w:gutter="0"/>
          <w:cols w:space="720"/>
          <w:docGrid w:linePitch="360"/>
        </w:sectPr>
      </w:pPr>
    </w:p>
    <w:p w:rsidR="00225952" w:rsidRDefault="00225952" w:rsidP="00A72D9B">
      <w:pPr>
        <w:ind w:left="864" w:right="1152"/>
      </w:pPr>
      <w:r w:rsidRPr="00616AF3">
        <w:lastRenderedPageBreak/>
        <w:t xml:space="preserve">The purpose of this document is to guide the professional through the </w:t>
      </w:r>
      <w:r>
        <w:t xml:space="preserve">current generally accepted professional practice. It should also help the professional understand the existing statutes, rules, and policies of FDOT. However, unless a rule, statute, or standard is referenced, the material inside is to be used for guidance by professionals. This should </w:t>
      </w:r>
      <w:r w:rsidRPr="00616AF3">
        <w:t xml:space="preserve">assist in making better decisions for </w:t>
      </w:r>
      <w:r>
        <w:t xml:space="preserve">the study of the transportation impacts of new developments. </w:t>
      </w:r>
    </w:p>
    <w:p w:rsidR="00225952" w:rsidRDefault="00225952"/>
    <w:p w:rsidR="00225952" w:rsidRDefault="00225952"/>
    <w:p w:rsidR="00E9518D" w:rsidRDefault="00E9518D">
      <w:pPr>
        <w:spacing w:after="200"/>
      </w:pPr>
      <w:r>
        <w:br w:type="page"/>
      </w:r>
    </w:p>
    <w:p w:rsidR="00225952" w:rsidRDefault="00225952"/>
    <w:sdt>
      <w:sdtPr>
        <w:rPr>
          <w:rFonts w:asciiTheme="minorHAnsi" w:eastAsiaTheme="minorHAnsi" w:hAnsiTheme="minorHAnsi" w:cstheme="minorBidi"/>
          <w:b w:val="0"/>
          <w:noProof w:val="0"/>
          <w:sz w:val="22"/>
          <w:szCs w:val="22"/>
        </w:rPr>
        <w:id w:val="5199340"/>
        <w:docPartObj>
          <w:docPartGallery w:val="Table of Contents"/>
          <w:docPartUnique/>
        </w:docPartObj>
      </w:sdtPr>
      <w:sdtEndPr>
        <w:rPr>
          <w:sz w:val="23"/>
        </w:rPr>
      </w:sdtEndPr>
      <w:sdtContent>
        <w:p w:rsidR="00F77AF3" w:rsidRDefault="00E9518D" w:rsidP="00F77AF3">
          <w:pPr>
            <w:pStyle w:val="TOC1"/>
          </w:pPr>
          <w:r w:rsidRPr="00F77AF3">
            <w:rPr>
              <w:rStyle w:val="Heading1Char"/>
            </w:rPr>
            <w:t>Table of Contents</w:t>
          </w:r>
        </w:p>
        <w:p w:rsidR="003F432A" w:rsidRDefault="003F432A" w:rsidP="00F77AF3">
          <w:pPr>
            <w:pStyle w:val="TOC1"/>
            <w:rPr>
              <w:rFonts w:ascii="Cambria" w:hAnsi="Cambria"/>
              <w:bCs/>
              <w:color w:val="365F91"/>
              <w:sz w:val="28"/>
              <w:szCs w:val="28"/>
            </w:rPr>
            <w:sectPr w:rsidR="003F432A" w:rsidSect="003F432A">
              <w:headerReference w:type="default" r:id="rId10"/>
              <w:type w:val="continuous"/>
              <w:pgSz w:w="12240" w:h="15840"/>
              <w:pgMar w:top="1440" w:right="720" w:bottom="1440" w:left="1152" w:header="720" w:footer="720" w:gutter="0"/>
              <w:cols w:space="720"/>
              <w:docGrid w:linePitch="360"/>
            </w:sectPr>
          </w:pPr>
        </w:p>
        <w:p w:rsidR="00F77AF3" w:rsidRPr="008B6DA3" w:rsidRDefault="00745389" w:rsidP="00F77AF3">
          <w:pPr>
            <w:pStyle w:val="TOC1"/>
            <w:rPr>
              <w:rFonts w:asciiTheme="minorHAnsi" w:hAnsiTheme="minorHAnsi"/>
            </w:rPr>
          </w:pPr>
          <w:r w:rsidRPr="00745389">
            <w:rPr>
              <w:rFonts w:ascii="Cambria" w:hAnsi="Cambria"/>
              <w:bCs/>
              <w:color w:val="365F91"/>
              <w:sz w:val="28"/>
              <w:szCs w:val="28"/>
            </w:rPr>
            <w:lastRenderedPageBreak/>
            <w:fldChar w:fldCharType="begin"/>
          </w:r>
          <w:r w:rsidR="00E9518D">
            <w:instrText xml:space="preserve"> TOC \o "1-3" \h \z \u </w:instrText>
          </w:r>
          <w:r w:rsidRPr="00745389">
            <w:rPr>
              <w:rFonts w:ascii="Cambria" w:hAnsi="Cambria"/>
              <w:bCs/>
              <w:color w:val="365F91"/>
              <w:sz w:val="28"/>
              <w:szCs w:val="28"/>
            </w:rPr>
            <w:fldChar w:fldCharType="separate"/>
          </w:r>
          <w:hyperlink w:anchor="_Toc264274054" w:history="1">
            <w:r w:rsidR="00F77AF3" w:rsidRPr="008B6DA3">
              <w:rPr>
                <w:rStyle w:val="Hyperlink"/>
                <w:rFonts w:asciiTheme="minorHAnsi" w:hAnsiTheme="minorHAnsi"/>
                <w:b w:val="0"/>
                <w:sz w:val="20"/>
              </w:rPr>
              <w:t xml:space="preserve">CHAPTER 1 </w:t>
            </w:r>
            <w:r w:rsidR="00F77AF3" w:rsidRPr="008B6DA3">
              <w:rPr>
                <w:rStyle w:val="Hyperlink"/>
                <w:rFonts w:asciiTheme="minorHAnsi" w:hAnsiTheme="minorHAnsi"/>
              </w:rPr>
              <w:t xml:space="preserve">  INTRODUCTION</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_Toc264274054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7</w:t>
            </w:r>
            <w:r w:rsidRPr="008B6DA3">
              <w:rPr>
                <w:rFonts w:asciiTheme="minorHAnsi" w:hAnsiTheme="minorHAnsi"/>
                <w:webHidden/>
              </w:rPr>
              <w:fldChar w:fldCharType="end"/>
            </w:r>
          </w:hyperlink>
        </w:p>
        <w:p w:rsidR="00F77AF3" w:rsidRPr="008B6DA3" w:rsidRDefault="00745389">
          <w:pPr>
            <w:pStyle w:val="TOC2"/>
            <w:rPr>
              <w:rFonts w:asciiTheme="minorHAnsi" w:eastAsiaTheme="minorEastAsia" w:hAnsiTheme="minorHAnsi" w:cstheme="minorBidi"/>
              <w:b w:val="0"/>
              <w:sz w:val="22"/>
              <w:szCs w:val="22"/>
            </w:rPr>
          </w:pPr>
          <w:hyperlink w:anchor="_Toc264274055" w:history="1">
            <w:r w:rsidR="00F77AF3" w:rsidRPr="008B6DA3">
              <w:rPr>
                <w:rStyle w:val="Hyperlink"/>
                <w:rFonts w:asciiTheme="minorHAnsi" w:hAnsiTheme="minorHAnsi"/>
              </w:rPr>
              <w:t>1.1 Introduction</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_Toc264274055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8</w:t>
            </w:r>
            <w:r w:rsidRPr="008B6DA3">
              <w:rPr>
                <w:rFonts w:asciiTheme="minorHAnsi" w:hAnsiTheme="minorHAnsi"/>
                <w:webHidden/>
              </w:rPr>
              <w:fldChar w:fldCharType="end"/>
            </w:r>
          </w:hyperlink>
        </w:p>
        <w:p w:rsidR="00F77AF3" w:rsidRPr="008B6DA3" w:rsidRDefault="00745389">
          <w:pPr>
            <w:pStyle w:val="TOC2"/>
            <w:rPr>
              <w:rFonts w:asciiTheme="minorHAnsi" w:eastAsiaTheme="minorEastAsia" w:hAnsiTheme="minorHAnsi" w:cstheme="minorBidi"/>
              <w:b w:val="0"/>
              <w:sz w:val="22"/>
              <w:szCs w:val="22"/>
            </w:rPr>
          </w:pPr>
          <w:hyperlink w:anchor="_Toc264274056" w:history="1">
            <w:r w:rsidR="00F77AF3" w:rsidRPr="008B6DA3">
              <w:rPr>
                <w:rStyle w:val="Hyperlink"/>
                <w:rFonts w:asciiTheme="minorHAnsi" w:hAnsiTheme="minorHAnsi"/>
              </w:rPr>
              <w:t>1.2 Background</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_Toc264274056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8</w:t>
            </w:r>
            <w:r w:rsidRPr="008B6DA3">
              <w:rPr>
                <w:rFonts w:asciiTheme="minorHAnsi" w:hAnsiTheme="minorHAnsi"/>
                <w:webHidden/>
              </w:rPr>
              <w:fldChar w:fldCharType="end"/>
            </w:r>
          </w:hyperlink>
        </w:p>
        <w:p w:rsidR="00F77AF3" w:rsidRPr="008B6DA3" w:rsidRDefault="00745389">
          <w:pPr>
            <w:pStyle w:val="TOC2"/>
            <w:rPr>
              <w:rFonts w:asciiTheme="minorHAnsi" w:eastAsiaTheme="minorEastAsia" w:hAnsiTheme="minorHAnsi" w:cstheme="minorBidi"/>
              <w:b w:val="0"/>
              <w:sz w:val="22"/>
              <w:szCs w:val="22"/>
            </w:rPr>
          </w:pPr>
          <w:hyperlink w:anchor="_Toc264274057" w:history="1">
            <w:r w:rsidR="00F77AF3" w:rsidRPr="008B6DA3">
              <w:rPr>
                <w:rStyle w:val="Hyperlink"/>
                <w:rFonts w:asciiTheme="minorHAnsi" w:hAnsiTheme="minorHAnsi"/>
              </w:rPr>
              <w:t>1.3 About this Handbook</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_Toc264274057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11</w:t>
            </w:r>
            <w:r w:rsidRPr="008B6DA3">
              <w:rPr>
                <w:rFonts w:asciiTheme="minorHAnsi" w:hAnsiTheme="minorHAnsi"/>
                <w:webHidden/>
              </w:rPr>
              <w:fldChar w:fldCharType="end"/>
            </w:r>
          </w:hyperlink>
        </w:p>
        <w:p w:rsidR="00F77AF3" w:rsidRPr="008B6DA3" w:rsidRDefault="00745389">
          <w:pPr>
            <w:pStyle w:val="TOC2"/>
            <w:rPr>
              <w:rFonts w:asciiTheme="minorHAnsi" w:eastAsiaTheme="minorEastAsia" w:hAnsiTheme="minorHAnsi" w:cstheme="minorBidi"/>
              <w:b w:val="0"/>
              <w:sz w:val="22"/>
              <w:szCs w:val="22"/>
            </w:rPr>
          </w:pPr>
          <w:hyperlink w:anchor="_Toc264274058" w:history="1">
            <w:r w:rsidR="00F77AF3" w:rsidRPr="008B6DA3">
              <w:rPr>
                <w:rStyle w:val="Hyperlink"/>
                <w:rFonts w:asciiTheme="minorHAnsi" w:hAnsiTheme="minorHAnsi"/>
              </w:rPr>
              <w:t>1.4 Updates to this Handbook</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_Toc264274058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12</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059" w:history="1">
            <w:r w:rsidR="00F77AF3" w:rsidRPr="008B6DA3">
              <w:rPr>
                <w:rStyle w:val="Hyperlink"/>
                <w:rFonts w:asciiTheme="minorHAnsi" w:hAnsiTheme="minorHAnsi"/>
              </w:rPr>
              <w:t>1.4.1  Integrating Land Use and Transportation</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_Toc264274059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14</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060" w:history="1">
            <w:r w:rsidR="00F77AF3" w:rsidRPr="008B6DA3">
              <w:rPr>
                <w:rStyle w:val="Hyperlink"/>
                <w:rFonts w:asciiTheme="minorHAnsi" w:hAnsiTheme="minorHAnsi"/>
              </w:rPr>
              <w:t>1.4.2  Providing Multimodal Mobility Options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_Toc264274060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15</w:t>
            </w:r>
            <w:r w:rsidRPr="008B6DA3">
              <w:rPr>
                <w:rFonts w:asciiTheme="minorHAnsi" w:hAnsiTheme="minorHAnsi"/>
                <w:webHidden/>
              </w:rPr>
              <w:fldChar w:fldCharType="end"/>
            </w:r>
          </w:hyperlink>
        </w:p>
        <w:p w:rsidR="00F77AF3" w:rsidRPr="008B6DA3" w:rsidRDefault="00745389" w:rsidP="00F77AF3">
          <w:pPr>
            <w:pStyle w:val="TOC1"/>
            <w:rPr>
              <w:rFonts w:asciiTheme="minorHAnsi" w:eastAsiaTheme="minorEastAsia" w:hAnsiTheme="minorHAnsi" w:cstheme="minorBidi"/>
              <w:sz w:val="22"/>
              <w:szCs w:val="22"/>
            </w:rPr>
          </w:pPr>
          <w:hyperlink w:anchor="_Toc264274061" w:history="1">
            <w:r w:rsidR="00F77AF3" w:rsidRPr="008B6DA3">
              <w:rPr>
                <w:rStyle w:val="Hyperlink"/>
                <w:rFonts w:asciiTheme="minorHAnsi" w:hAnsiTheme="minorHAnsi"/>
                <w:b w:val="0"/>
                <w:sz w:val="20"/>
              </w:rPr>
              <w:t>CHAPTER 2</w:t>
            </w:r>
            <w:r w:rsidR="00F77AF3" w:rsidRPr="008B6DA3">
              <w:rPr>
                <w:rStyle w:val="Hyperlink"/>
                <w:rFonts w:asciiTheme="minorHAnsi" w:hAnsiTheme="minorHAnsi"/>
              </w:rPr>
              <w:t xml:space="preserve">   THE TRANSPORTATION IMPACT PROCESS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_Toc264274061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17</w:t>
            </w:r>
            <w:r w:rsidRPr="008B6DA3">
              <w:rPr>
                <w:rFonts w:asciiTheme="minorHAnsi" w:hAnsiTheme="minorHAnsi"/>
                <w:webHidden/>
              </w:rPr>
              <w:fldChar w:fldCharType="end"/>
            </w:r>
          </w:hyperlink>
        </w:p>
        <w:p w:rsidR="00F77AF3" w:rsidRPr="008B6DA3" w:rsidRDefault="00745389">
          <w:pPr>
            <w:pStyle w:val="TOC2"/>
            <w:rPr>
              <w:rFonts w:asciiTheme="minorHAnsi" w:eastAsiaTheme="minorEastAsia" w:hAnsiTheme="minorHAnsi" w:cstheme="minorBidi"/>
              <w:b w:val="0"/>
              <w:sz w:val="22"/>
              <w:szCs w:val="22"/>
            </w:rPr>
          </w:pPr>
          <w:hyperlink w:anchor="_Toc264274062" w:history="1">
            <w:r w:rsidR="00F77AF3" w:rsidRPr="008B6DA3">
              <w:rPr>
                <w:rStyle w:val="Hyperlink"/>
                <w:rFonts w:asciiTheme="minorHAnsi" w:hAnsiTheme="minorHAnsi"/>
              </w:rPr>
              <w:t>2.1 Introduction</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_Toc264274062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17</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063" w:history="1">
            <w:r w:rsidR="00F77AF3" w:rsidRPr="008B6DA3">
              <w:rPr>
                <w:rStyle w:val="Hyperlink"/>
                <w:rFonts w:asciiTheme="minorHAnsi" w:hAnsiTheme="minorHAnsi"/>
              </w:rPr>
              <w:t xml:space="preserve">2.1.1  Importance of </w:t>
            </w:r>
            <w:r w:rsidR="00A72D9B" w:rsidRPr="008B6DA3">
              <w:rPr>
                <w:rStyle w:val="Hyperlink"/>
                <w:rFonts w:asciiTheme="minorHAnsi" w:hAnsiTheme="minorHAnsi"/>
              </w:rPr>
              <w:t>Multimodal</w:t>
            </w:r>
            <w:r w:rsidR="00F77AF3" w:rsidRPr="008B6DA3">
              <w:rPr>
                <w:rStyle w:val="Hyperlink"/>
                <w:rFonts w:asciiTheme="minorHAnsi" w:hAnsiTheme="minorHAnsi"/>
              </w:rPr>
              <w:t xml:space="preserve"> Considerations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_Toc264274063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18</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064" w:history="1">
            <w:r w:rsidR="00F77AF3" w:rsidRPr="008B6DA3">
              <w:rPr>
                <w:rStyle w:val="Hyperlink"/>
                <w:rFonts w:asciiTheme="minorHAnsi" w:hAnsiTheme="minorHAnsi"/>
              </w:rPr>
              <w:t>2.1.2  The Types of Traffic Impact Studies We Review</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_Toc264274064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19</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065" w:history="1">
            <w:r w:rsidR="00F77AF3" w:rsidRPr="008B6DA3">
              <w:rPr>
                <w:rStyle w:val="Hyperlink"/>
                <w:rFonts w:asciiTheme="minorHAnsi" w:hAnsiTheme="minorHAnsi"/>
              </w:rPr>
              <w:t>2.1.3  Considerations for Study Requirements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_Toc264274065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19</w:t>
            </w:r>
            <w:r w:rsidRPr="008B6DA3">
              <w:rPr>
                <w:rFonts w:asciiTheme="minorHAnsi" w:hAnsiTheme="minorHAnsi"/>
                <w:webHidden/>
              </w:rPr>
              <w:fldChar w:fldCharType="end"/>
            </w:r>
          </w:hyperlink>
        </w:p>
        <w:p w:rsidR="00F77AF3" w:rsidRPr="008B6DA3" w:rsidRDefault="00745389">
          <w:pPr>
            <w:pStyle w:val="TOC2"/>
            <w:rPr>
              <w:rFonts w:asciiTheme="minorHAnsi" w:eastAsiaTheme="minorEastAsia" w:hAnsiTheme="minorHAnsi" w:cstheme="minorBidi"/>
              <w:b w:val="0"/>
              <w:sz w:val="22"/>
              <w:szCs w:val="22"/>
            </w:rPr>
          </w:pPr>
          <w:hyperlink w:anchor="_Toc264274066" w:history="1">
            <w:r w:rsidR="00F77AF3" w:rsidRPr="008B6DA3">
              <w:rPr>
                <w:rStyle w:val="Hyperlink"/>
                <w:rFonts w:asciiTheme="minorHAnsi" w:hAnsiTheme="minorHAnsi"/>
              </w:rPr>
              <w:t>2.2   Methodology Development (Step 1)</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_Toc264274066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20</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067" w:history="1">
            <w:r w:rsidR="00F77AF3" w:rsidRPr="008B6DA3">
              <w:rPr>
                <w:rStyle w:val="Hyperlink"/>
                <w:rFonts w:asciiTheme="minorHAnsi" w:hAnsiTheme="minorHAnsi"/>
              </w:rPr>
              <w:t>2.2.1  Study Area Requirements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_Toc264274067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21</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068" w:history="1">
            <w:r w:rsidR="00F77AF3" w:rsidRPr="008B6DA3">
              <w:rPr>
                <w:rStyle w:val="Hyperlink"/>
                <w:rFonts w:asciiTheme="minorHAnsi" w:hAnsiTheme="minorHAnsi"/>
              </w:rPr>
              <w:t>2.2.2  Time Horizons – Analysis Years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_Toc264274068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22</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069" w:history="1">
            <w:r w:rsidR="00F77AF3" w:rsidRPr="008B6DA3">
              <w:rPr>
                <w:rStyle w:val="Hyperlink"/>
                <w:rFonts w:asciiTheme="minorHAnsi" w:hAnsiTheme="minorHAnsi"/>
              </w:rPr>
              <w:t>2.2.3  General Transportation Factors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_Toc264274069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23</w:t>
            </w:r>
            <w:r w:rsidRPr="008B6DA3">
              <w:rPr>
                <w:rFonts w:asciiTheme="minorHAnsi" w:hAnsiTheme="minorHAnsi"/>
                <w:webHidden/>
              </w:rPr>
              <w:fldChar w:fldCharType="end"/>
            </w:r>
          </w:hyperlink>
        </w:p>
        <w:p w:rsidR="00F77AF3" w:rsidRPr="008B6DA3" w:rsidRDefault="00745389">
          <w:pPr>
            <w:pStyle w:val="TOC2"/>
            <w:rPr>
              <w:rFonts w:asciiTheme="minorHAnsi" w:eastAsiaTheme="minorEastAsia" w:hAnsiTheme="minorHAnsi" w:cstheme="minorBidi"/>
              <w:b w:val="0"/>
              <w:sz w:val="22"/>
              <w:szCs w:val="22"/>
            </w:rPr>
          </w:pPr>
          <w:hyperlink w:anchor="_Toc264274070" w:history="1">
            <w:r w:rsidR="00F77AF3" w:rsidRPr="008B6DA3">
              <w:rPr>
                <w:rStyle w:val="Hyperlink"/>
                <w:rFonts w:asciiTheme="minorHAnsi" w:hAnsiTheme="minorHAnsi"/>
              </w:rPr>
              <w:t>2.3   Existing Conditions Analysis and Data Collection (Step 2)</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_Toc264274070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26</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071" w:history="1">
            <w:r w:rsidR="00F77AF3" w:rsidRPr="008B6DA3">
              <w:rPr>
                <w:rStyle w:val="Hyperlink"/>
                <w:rFonts w:asciiTheme="minorHAnsi" w:hAnsiTheme="minorHAnsi"/>
              </w:rPr>
              <w:t>2.3.1  Data Collection</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_Toc264274071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27</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072" w:history="1">
            <w:r w:rsidR="00F77AF3" w:rsidRPr="008B6DA3">
              <w:rPr>
                <w:rStyle w:val="Hyperlink"/>
                <w:rFonts w:asciiTheme="minorHAnsi" w:hAnsiTheme="minorHAnsi"/>
              </w:rPr>
              <w:t>2.3.2  Proposed Site Development Characteristics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_Toc264274072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28</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073" w:history="1">
            <w:r w:rsidR="00F77AF3" w:rsidRPr="008B6DA3">
              <w:rPr>
                <w:rStyle w:val="Hyperlink"/>
                <w:rFonts w:asciiTheme="minorHAnsi" w:hAnsiTheme="minorHAnsi"/>
              </w:rPr>
              <w:t>2.3.3  Existing Transportation System Data</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_Toc264274073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28</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074" w:history="1">
            <w:r w:rsidR="00F77AF3" w:rsidRPr="008B6DA3">
              <w:rPr>
                <w:rStyle w:val="Hyperlink"/>
                <w:rFonts w:asciiTheme="minorHAnsi" w:hAnsiTheme="minorHAnsi"/>
              </w:rPr>
              <w:t>2.3.4  Traffic Counts and other Traffic Data</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_Toc264274074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29</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075" w:history="1">
            <w:r w:rsidR="00F77AF3" w:rsidRPr="008B6DA3">
              <w:rPr>
                <w:rStyle w:val="Hyperlink"/>
                <w:rFonts w:asciiTheme="minorHAnsi" w:hAnsiTheme="minorHAnsi"/>
              </w:rPr>
              <w:t>2.3.5  Land Use and Demographic Data</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_Toc264274075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31</w:t>
            </w:r>
            <w:r w:rsidRPr="008B6DA3">
              <w:rPr>
                <w:rFonts w:asciiTheme="minorHAnsi" w:hAnsiTheme="minorHAnsi"/>
                <w:webHidden/>
              </w:rPr>
              <w:fldChar w:fldCharType="end"/>
            </w:r>
          </w:hyperlink>
        </w:p>
        <w:p w:rsidR="00F77AF3" w:rsidRPr="008B6DA3" w:rsidRDefault="00745389">
          <w:pPr>
            <w:pStyle w:val="TOC2"/>
            <w:rPr>
              <w:rFonts w:asciiTheme="minorHAnsi" w:eastAsiaTheme="minorEastAsia" w:hAnsiTheme="minorHAnsi" w:cstheme="minorBidi"/>
              <w:b w:val="0"/>
              <w:sz w:val="22"/>
              <w:szCs w:val="22"/>
            </w:rPr>
          </w:pPr>
          <w:hyperlink w:anchor="_Toc264274076" w:history="1">
            <w:r w:rsidR="00F77AF3" w:rsidRPr="008B6DA3">
              <w:rPr>
                <w:rStyle w:val="Hyperlink"/>
                <w:rFonts w:asciiTheme="minorHAnsi" w:hAnsiTheme="minorHAnsi"/>
              </w:rPr>
              <w:t>2.4   Projecting Future Conditions (Step 3)</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_Toc264274076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32</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077" w:history="1">
            <w:r w:rsidR="00F77AF3" w:rsidRPr="008B6DA3">
              <w:rPr>
                <w:rStyle w:val="Hyperlink"/>
                <w:rFonts w:asciiTheme="minorHAnsi" w:hAnsiTheme="minorHAnsi"/>
              </w:rPr>
              <w:t>2.4.1  Projecting Background Traffic</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_Toc264274077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32</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078" w:history="1">
            <w:r w:rsidR="00F77AF3" w:rsidRPr="008B6DA3">
              <w:rPr>
                <w:rStyle w:val="Hyperlink"/>
                <w:rFonts w:asciiTheme="minorHAnsi" w:hAnsiTheme="minorHAnsi"/>
              </w:rPr>
              <w:t>2.4.2  The Growth Rate/Trend Method for Projecting Background Traffic</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_Toc264274078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33</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079" w:history="1">
            <w:r w:rsidR="00F77AF3" w:rsidRPr="008B6DA3">
              <w:rPr>
                <w:rStyle w:val="Hyperlink"/>
                <w:rFonts w:asciiTheme="minorHAnsi" w:hAnsiTheme="minorHAnsi"/>
              </w:rPr>
              <w:t>2.4.3  Build-Up Method</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_Toc264274079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38</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080" w:history="1">
            <w:r w:rsidR="00F77AF3" w:rsidRPr="008B6DA3">
              <w:rPr>
                <w:rStyle w:val="Hyperlink"/>
                <w:rFonts w:asciiTheme="minorHAnsi" w:hAnsiTheme="minorHAnsi"/>
              </w:rPr>
              <w:t>2.4.4  Large Scale Transportation Model Methods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_Toc264274080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39</w:t>
            </w:r>
            <w:r w:rsidRPr="008B6DA3">
              <w:rPr>
                <w:rFonts w:asciiTheme="minorHAnsi" w:hAnsiTheme="minorHAnsi"/>
                <w:webHidden/>
              </w:rPr>
              <w:fldChar w:fldCharType="end"/>
            </w:r>
          </w:hyperlink>
        </w:p>
        <w:p w:rsidR="00F77AF3" w:rsidRPr="008B6DA3" w:rsidRDefault="00745389">
          <w:pPr>
            <w:pStyle w:val="TOC2"/>
            <w:rPr>
              <w:rFonts w:asciiTheme="minorHAnsi" w:eastAsiaTheme="minorEastAsia" w:hAnsiTheme="minorHAnsi" w:cstheme="minorBidi"/>
              <w:b w:val="0"/>
              <w:sz w:val="22"/>
              <w:szCs w:val="22"/>
            </w:rPr>
          </w:pPr>
          <w:hyperlink w:anchor="_Toc264274081" w:history="1">
            <w:r w:rsidR="00F77AF3" w:rsidRPr="008B6DA3">
              <w:rPr>
                <w:rStyle w:val="Hyperlink"/>
                <w:rFonts w:asciiTheme="minorHAnsi" w:hAnsiTheme="minorHAnsi"/>
              </w:rPr>
              <w:t>2.5  Trip Generation of the New Development</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_Toc264274081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42</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082" w:history="1">
            <w:r w:rsidR="00F77AF3" w:rsidRPr="008B6DA3">
              <w:rPr>
                <w:rStyle w:val="Hyperlink"/>
                <w:rFonts w:asciiTheme="minorHAnsi" w:hAnsiTheme="minorHAnsi"/>
              </w:rPr>
              <w:t>2.5.1  Trip Generation Data</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_Toc264274082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43</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083" w:history="1">
            <w:r w:rsidR="00F77AF3" w:rsidRPr="008B6DA3">
              <w:rPr>
                <w:rStyle w:val="Hyperlink"/>
                <w:rFonts w:asciiTheme="minorHAnsi" w:hAnsiTheme="minorHAnsi"/>
              </w:rPr>
              <w:t>2.5.2  Use of Trip Generation Rates or Equations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_Toc264274083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45</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084" w:history="1">
            <w:r w:rsidR="00F77AF3" w:rsidRPr="008B6DA3">
              <w:rPr>
                <w:rStyle w:val="Hyperlink"/>
                <w:rFonts w:asciiTheme="minorHAnsi" w:hAnsiTheme="minorHAnsi"/>
              </w:rPr>
              <w:t>2.5.3  Limitations of Trip Generation Data</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_Toc264274084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46</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085" w:history="1">
            <w:r w:rsidR="00F77AF3" w:rsidRPr="008B6DA3">
              <w:rPr>
                <w:rStyle w:val="Hyperlink"/>
                <w:rFonts w:asciiTheme="minorHAnsi" w:hAnsiTheme="minorHAnsi"/>
              </w:rPr>
              <w:t>2.5.4  Internal Capture Rates for Multi Use Developments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_Toc264274085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48</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086" w:history="1">
            <w:r w:rsidR="00F77AF3" w:rsidRPr="008B6DA3">
              <w:rPr>
                <w:rStyle w:val="Hyperlink"/>
                <w:rFonts w:asciiTheme="minorHAnsi" w:hAnsiTheme="minorHAnsi"/>
              </w:rPr>
              <w:t>2.5.5  Community Capture</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_Toc264274086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50</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087" w:history="1">
            <w:r w:rsidR="00F77AF3" w:rsidRPr="008B6DA3">
              <w:rPr>
                <w:rStyle w:val="Hyperlink"/>
                <w:rFonts w:asciiTheme="minorHAnsi" w:hAnsiTheme="minorHAnsi"/>
              </w:rPr>
              <w:t>2.5.6  Trip Types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_Toc264274087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54</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088" w:history="1">
            <w:r w:rsidR="00F77AF3" w:rsidRPr="008B6DA3">
              <w:rPr>
                <w:rStyle w:val="Hyperlink"/>
                <w:rFonts w:asciiTheme="minorHAnsi" w:hAnsiTheme="minorHAnsi"/>
              </w:rPr>
              <w:t>2.5.7  Explanation of the 10 Percent of the Adjacent Street Traffic</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_Toc264274088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57</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089" w:history="1">
            <w:r w:rsidR="00F77AF3" w:rsidRPr="008B6DA3">
              <w:rPr>
                <w:rStyle w:val="Hyperlink"/>
                <w:rFonts w:asciiTheme="minorHAnsi" w:hAnsiTheme="minorHAnsi"/>
              </w:rPr>
              <w:t>2.5.8  Pass-by Trips and Model Volumes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_Toc264274089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59</w:t>
            </w:r>
            <w:r w:rsidRPr="008B6DA3">
              <w:rPr>
                <w:rFonts w:asciiTheme="minorHAnsi" w:hAnsiTheme="minorHAnsi"/>
                <w:webHidden/>
              </w:rPr>
              <w:fldChar w:fldCharType="end"/>
            </w:r>
          </w:hyperlink>
        </w:p>
        <w:p w:rsidR="00F77AF3" w:rsidRPr="008B6DA3" w:rsidRDefault="00745389">
          <w:pPr>
            <w:pStyle w:val="TOC2"/>
            <w:rPr>
              <w:rFonts w:asciiTheme="minorHAnsi" w:eastAsiaTheme="minorEastAsia" w:hAnsiTheme="minorHAnsi" w:cstheme="minorBidi"/>
              <w:b w:val="0"/>
              <w:sz w:val="22"/>
              <w:szCs w:val="22"/>
            </w:rPr>
          </w:pPr>
          <w:hyperlink w:anchor="_Toc264274090" w:history="1">
            <w:r w:rsidR="00F77AF3" w:rsidRPr="008B6DA3">
              <w:rPr>
                <w:rStyle w:val="Hyperlink"/>
                <w:rFonts w:asciiTheme="minorHAnsi" w:hAnsiTheme="minorHAnsi"/>
              </w:rPr>
              <w:t>2.6  Trip Distribution</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_Toc264274090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61</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091" w:history="1">
            <w:r w:rsidR="00F77AF3" w:rsidRPr="008B6DA3">
              <w:rPr>
                <w:rStyle w:val="Hyperlink"/>
                <w:rFonts w:asciiTheme="minorHAnsi" w:hAnsiTheme="minorHAnsi"/>
              </w:rPr>
              <w:t>2.6.1  Manual Methods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_Toc264274091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62</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092" w:history="1">
            <w:r w:rsidR="00F77AF3" w:rsidRPr="008B6DA3">
              <w:rPr>
                <w:rStyle w:val="Hyperlink"/>
                <w:rFonts w:asciiTheme="minorHAnsi" w:hAnsiTheme="minorHAnsi"/>
              </w:rPr>
              <w:t>2.6.2  Model Method and “Blended” Methods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_Toc264274092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64</w:t>
            </w:r>
            <w:r w:rsidRPr="008B6DA3">
              <w:rPr>
                <w:rFonts w:asciiTheme="minorHAnsi" w:hAnsiTheme="minorHAnsi"/>
                <w:webHidden/>
              </w:rPr>
              <w:fldChar w:fldCharType="end"/>
            </w:r>
          </w:hyperlink>
        </w:p>
        <w:p w:rsidR="00F77AF3" w:rsidRPr="008B6DA3" w:rsidRDefault="00745389">
          <w:pPr>
            <w:pStyle w:val="TOC2"/>
            <w:rPr>
              <w:rFonts w:asciiTheme="minorHAnsi" w:eastAsiaTheme="minorEastAsia" w:hAnsiTheme="minorHAnsi" w:cstheme="minorBidi"/>
              <w:b w:val="0"/>
              <w:sz w:val="22"/>
              <w:szCs w:val="22"/>
            </w:rPr>
          </w:pPr>
          <w:hyperlink w:anchor="_Toc264274093" w:history="1">
            <w:r w:rsidR="00F77AF3" w:rsidRPr="008B6DA3">
              <w:rPr>
                <w:rStyle w:val="Hyperlink"/>
                <w:rFonts w:asciiTheme="minorHAnsi" w:hAnsiTheme="minorHAnsi"/>
              </w:rPr>
              <w:t>2.7  Mode Split/Alternative Travel Forecasts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_Toc264274093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65</w:t>
            </w:r>
            <w:r w:rsidRPr="008B6DA3">
              <w:rPr>
                <w:rFonts w:asciiTheme="minorHAnsi" w:hAnsiTheme="minorHAnsi"/>
                <w:webHidden/>
              </w:rPr>
              <w:fldChar w:fldCharType="end"/>
            </w:r>
          </w:hyperlink>
        </w:p>
        <w:p w:rsidR="00F77AF3" w:rsidRPr="008B6DA3" w:rsidRDefault="00745389">
          <w:pPr>
            <w:pStyle w:val="TOC2"/>
            <w:rPr>
              <w:rFonts w:asciiTheme="minorHAnsi" w:eastAsiaTheme="minorEastAsia" w:hAnsiTheme="minorHAnsi" w:cstheme="minorBidi"/>
              <w:b w:val="0"/>
              <w:sz w:val="22"/>
              <w:szCs w:val="22"/>
            </w:rPr>
          </w:pPr>
          <w:hyperlink w:anchor="_Toc264274094" w:history="1">
            <w:r w:rsidR="00F77AF3" w:rsidRPr="008B6DA3">
              <w:rPr>
                <w:rStyle w:val="Hyperlink"/>
                <w:rFonts w:asciiTheme="minorHAnsi" w:hAnsiTheme="minorHAnsi"/>
              </w:rPr>
              <w:t>2.8  Trip Assignment</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_Toc264274094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67</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095" w:history="1">
            <w:r w:rsidR="00F77AF3" w:rsidRPr="008B6DA3">
              <w:rPr>
                <w:rStyle w:val="Hyperlink"/>
                <w:rFonts w:asciiTheme="minorHAnsi" w:hAnsiTheme="minorHAnsi"/>
              </w:rPr>
              <w:t>2.8.1  General Considerations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_Toc264274095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67</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096" w:history="1">
            <w:r w:rsidR="00F77AF3" w:rsidRPr="008B6DA3">
              <w:rPr>
                <w:rStyle w:val="Hyperlink"/>
                <w:rFonts w:asciiTheme="minorHAnsi" w:hAnsiTheme="minorHAnsi"/>
              </w:rPr>
              <w:t>2.8.2  Traffic Attenuation</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_Toc264274096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68</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097" w:history="1">
            <w:r w:rsidR="00F77AF3" w:rsidRPr="008B6DA3">
              <w:rPr>
                <w:rStyle w:val="Hyperlink"/>
                <w:rFonts w:asciiTheme="minorHAnsi" w:hAnsiTheme="minorHAnsi"/>
              </w:rPr>
              <w:t>2.8.3  Documentation</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_Toc264274097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69</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098" w:history="1">
            <w:r w:rsidR="00F77AF3" w:rsidRPr="008B6DA3">
              <w:rPr>
                <w:rStyle w:val="Hyperlink"/>
                <w:rFonts w:asciiTheme="minorHAnsi" w:hAnsiTheme="minorHAnsi"/>
              </w:rPr>
              <w:t>2.8.4  Manual Methods of Trip Assignment</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_Toc264274098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70</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099" w:history="1">
            <w:r w:rsidR="00F77AF3" w:rsidRPr="008B6DA3">
              <w:rPr>
                <w:rStyle w:val="Hyperlink"/>
                <w:rFonts w:asciiTheme="minorHAnsi" w:hAnsiTheme="minorHAnsi"/>
              </w:rPr>
              <w:t>2.8.5  Model Methods of Trip Assignment</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_Toc264274099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71</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100" w:history="1">
            <w:r w:rsidR="00F77AF3" w:rsidRPr="008B6DA3">
              <w:rPr>
                <w:rStyle w:val="Hyperlink"/>
                <w:rFonts w:asciiTheme="minorHAnsi" w:hAnsiTheme="minorHAnsi"/>
              </w:rPr>
              <w:t>2.8.6  Trip Assignment at Intersections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_Toc264274100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73</w:t>
            </w:r>
            <w:r w:rsidRPr="008B6DA3">
              <w:rPr>
                <w:rFonts w:asciiTheme="minorHAnsi" w:hAnsiTheme="minorHAnsi"/>
                <w:webHidden/>
              </w:rPr>
              <w:fldChar w:fldCharType="end"/>
            </w:r>
          </w:hyperlink>
        </w:p>
        <w:p w:rsidR="00F77AF3" w:rsidRPr="008B6DA3" w:rsidRDefault="00745389">
          <w:pPr>
            <w:pStyle w:val="TOC2"/>
            <w:rPr>
              <w:rFonts w:asciiTheme="minorHAnsi" w:eastAsiaTheme="minorEastAsia" w:hAnsiTheme="minorHAnsi" w:cstheme="minorBidi"/>
              <w:b w:val="0"/>
              <w:sz w:val="22"/>
              <w:szCs w:val="22"/>
            </w:rPr>
          </w:pPr>
          <w:hyperlink w:anchor="_Toc264274101" w:history="1">
            <w:r w:rsidR="00F77AF3" w:rsidRPr="008B6DA3">
              <w:rPr>
                <w:rStyle w:val="Hyperlink"/>
                <w:rFonts w:asciiTheme="minorHAnsi" w:hAnsiTheme="minorHAnsi"/>
              </w:rPr>
              <w:t>2.9 Future Conditions Analysis/Mitigation/Determine Future Transportation Needs (Step 4)</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_Toc264274101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74</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102" w:history="1">
            <w:r w:rsidR="00F77AF3" w:rsidRPr="008B6DA3">
              <w:rPr>
                <w:rStyle w:val="Hyperlink"/>
                <w:rFonts w:asciiTheme="minorHAnsi" w:hAnsiTheme="minorHAnsi"/>
              </w:rPr>
              <w:t>2.9.1  Significance and Adversity Testing</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_Toc264274102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74</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103" w:history="1">
            <w:r w:rsidR="00F77AF3" w:rsidRPr="008B6DA3">
              <w:rPr>
                <w:rStyle w:val="Hyperlink"/>
                <w:rFonts w:asciiTheme="minorHAnsi" w:hAnsiTheme="minorHAnsi"/>
              </w:rPr>
              <w:t>2.9.2  Florida's Planning LOS Standards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_Toc264274103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75</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104" w:history="1">
            <w:r w:rsidR="00F77AF3" w:rsidRPr="008B6DA3">
              <w:rPr>
                <w:rStyle w:val="Hyperlink"/>
                <w:rFonts w:asciiTheme="minorHAnsi" w:hAnsiTheme="minorHAnsi"/>
              </w:rPr>
              <w:t>2.9.3  LOS Analysis Tools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_Toc264274104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77</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105" w:history="1">
            <w:r w:rsidR="00F77AF3" w:rsidRPr="008B6DA3">
              <w:rPr>
                <w:rStyle w:val="Hyperlink"/>
                <w:rFonts w:asciiTheme="minorHAnsi" w:hAnsiTheme="minorHAnsi"/>
              </w:rPr>
              <w:t>2.9.4  The Tiered Level of Service Approach</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_Toc264274105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78</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106" w:history="1">
            <w:r w:rsidR="00F77AF3" w:rsidRPr="008B6DA3">
              <w:rPr>
                <w:rStyle w:val="Hyperlink"/>
                <w:rFonts w:asciiTheme="minorHAnsi" w:hAnsiTheme="minorHAnsi"/>
              </w:rPr>
              <w:t>2.9.5 Bicycle &amp; Pedestrian LOS Analysis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_Toc264274106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80</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107" w:history="1">
            <w:r w:rsidR="00F77AF3" w:rsidRPr="008B6DA3">
              <w:rPr>
                <w:rStyle w:val="Hyperlink"/>
                <w:rFonts w:asciiTheme="minorHAnsi" w:hAnsiTheme="minorHAnsi"/>
              </w:rPr>
              <w:t>2.9.6  More Detailed Transit Quality of Service Tools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_Toc264274107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81</w:t>
            </w:r>
            <w:r w:rsidRPr="008B6DA3">
              <w:rPr>
                <w:rFonts w:asciiTheme="minorHAnsi" w:hAnsiTheme="minorHAnsi"/>
                <w:webHidden/>
              </w:rPr>
              <w:fldChar w:fldCharType="end"/>
            </w:r>
          </w:hyperlink>
        </w:p>
        <w:p w:rsidR="00F77AF3" w:rsidRPr="008B6DA3" w:rsidRDefault="00745389">
          <w:pPr>
            <w:pStyle w:val="TOC2"/>
            <w:rPr>
              <w:rFonts w:asciiTheme="minorHAnsi" w:eastAsiaTheme="minorEastAsia" w:hAnsiTheme="minorHAnsi" w:cstheme="minorBidi"/>
              <w:b w:val="0"/>
              <w:sz w:val="22"/>
              <w:szCs w:val="22"/>
            </w:rPr>
          </w:pPr>
          <w:hyperlink w:anchor="_Toc264274108" w:history="1">
            <w:r w:rsidR="00F77AF3" w:rsidRPr="008B6DA3">
              <w:rPr>
                <w:rStyle w:val="Hyperlink"/>
                <w:rFonts w:asciiTheme="minorHAnsi" w:hAnsiTheme="minorHAnsi"/>
              </w:rPr>
              <w:t>2.10 Access Management, Site Access, and Internal Circulation</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_Toc264274108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83</w:t>
            </w:r>
            <w:r w:rsidRPr="008B6DA3">
              <w:rPr>
                <w:rFonts w:asciiTheme="minorHAnsi" w:hAnsiTheme="minorHAnsi"/>
                <w:webHidden/>
              </w:rPr>
              <w:fldChar w:fldCharType="end"/>
            </w:r>
          </w:hyperlink>
        </w:p>
        <w:p w:rsidR="00F77AF3" w:rsidRPr="008B6DA3" w:rsidRDefault="00745389" w:rsidP="00F77AF3">
          <w:pPr>
            <w:pStyle w:val="TOC1"/>
            <w:rPr>
              <w:rFonts w:asciiTheme="minorHAnsi" w:eastAsiaTheme="minorEastAsia" w:hAnsiTheme="minorHAnsi" w:cstheme="minorBidi"/>
              <w:sz w:val="22"/>
              <w:szCs w:val="22"/>
            </w:rPr>
          </w:pPr>
          <w:hyperlink w:anchor="_Toc264274109" w:history="1">
            <w:r w:rsidR="00F77AF3" w:rsidRPr="008B6DA3">
              <w:rPr>
                <w:rStyle w:val="Hyperlink"/>
                <w:rFonts w:asciiTheme="minorHAnsi" w:hAnsiTheme="minorHAnsi"/>
                <w:b w:val="0"/>
                <w:sz w:val="20"/>
              </w:rPr>
              <w:t>CHAPTER 3</w:t>
            </w:r>
            <w:r w:rsidR="00F77AF3" w:rsidRPr="008B6DA3">
              <w:rPr>
                <w:rStyle w:val="Hyperlink"/>
                <w:rFonts w:asciiTheme="minorHAnsi" w:hAnsiTheme="minorHAnsi"/>
              </w:rPr>
              <w:t xml:space="preserve">    </w:t>
            </w:r>
            <w:r w:rsidR="00CC002A" w:rsidRPr="008B6DA3">
              <w:rPr>
                <w:rStyle w:val="Hyperlink"/>
                <w:rFonts w:asciiTheme="minorHAnsi" w:hAnsiTheme="minorHAnsi"/>
              </w:rPr>
              <w:t>LOCAL GOVERNMENT COMPREHENSIVE PLAN REVIEWS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_Toc264274109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85</w:t>
            </w:r>
            <w:r w:rsidRPr="008B6DA3">
              <w:rPr>
                <w:rFonts w:asciiTheme="minorHAnsi" w:hAnsiTheme="minorHAnsi"/>
                <w:webHidden/>
              </w:rPr>
              <w:fldChar w:fldCharType="end"/>
            </w:r>
          </w:hyperlink>
        </w:p>
        <w:p w:rsidR="00F77AF3" w:rsidRPr="008B6DA3" w:rsidRDefault="00745389">
          <w:pPr>
            <w:pStyle w:val="TOC2"/>
            <w:rPr>
              <w:rFonts w:asciiTheme="minorHAnsi" w:eastAsiaTheme="minorEastAsia" w:hAnsiTheme="minorHAnsi" w:cstheme="minorBidi"/>
              <w:b w:val="0"/>
              <w:sz w:val="22"/>
              <w:szCs w:val="22"/>
            </w:rPr>
          </w:pPr>
          <w:hyperlink w:anchor="_Toc264274110" w:history="1">
            <w:r w:rsidR="00F77AF3" w:rsidRPr="008B6DA3">
              <w:rPr>
                <w:rStyle w:val="Hyperlink"/>
                <w:rFonts w:asciiTheme="minorHAnsi" w:hAnsiTheme="minorHAnsi"/>
              </w:rPr>
              <w:t>3.1 Comprehensive Plans and Plan Amendments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_Toc264274110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85</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111" w:history="1">
            <w:r w:rsidR="00F77AF3" w:rsidRPr="008B6DA3">
              <w:rPr>
                <w:rStyle w:val="Hyperlink"/>
                <w:rFonts w:asciiTheme="minorHAnsi" w:hAnsiTheme="minorHAnsi"/>
              </w:rPr>
              <w:t>3.1.1 Introduction</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_Toc264274111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85</w:t>
            </w:r>
            <w:r w:rsidRPr="008B6DA3">
              <w:rPr>
                <w:rFonts w:asciiTheme="minorHAnsi" w:hAnsiTheme="minorHAnsi"/>
                <w:webHidden/>
              </w:rPr>
              <w:fldChar w:fldCharType="end"/>
            </w:r>
          </w:hyperlink>
        </w:p>
        <w:p w:rsidR="00F77AF3" w:rsidRPr="008B6DA3" w:rsidRDefault="00745389">
          <w:pPr>
            <w:pStyle w:val="TOC2"/>
            <w:rPr>
              <w:rFonts w:asciiTheme="minorHAnsi" w:eastAsiaTheme="minorEastAsia" w:hAnsiTheme="minorHAnsi" w:cstheme="minorBidi"/>
              <w:b w:val="0"/>
              <w:sz w:val="22"/>
              <w:szCs w:val="22"/>
            </w:rPr>
          </w:pPr>
          <w:hyperlink w:anchor="_Toc264274112" w:history="1">
            <w:r w:rsidR="00F77AF3" w:rsidRPr="008B6DA3">
              <w:rPr>
                <w:rStyle w:val="Hyperlink"/>
                <w:rFonts w:asciiTheme="minorHAnsi" w:hAnsiTheme="minorHAnsi"/>
                <w:lang w:eastAsia="ko-KR"/>
              </w:rPr>
              <w:t>3.2 The Comprehensive Plan Amendment Process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_Toc264274112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87</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113" w:history="1">
            <w:r w:rsidR="00F77AF3" w:rsidRPr="008B6DA3">
              <w:rPr>
                <w:rStyle w:val="Hyperlink"/>
                <w:rFonts w:asciiTheme="minorHAnsi" w:hAnsiTheme="minorHAnsi"/>
              </w:rPr>
              <w:t>3.2.1  FLUM - Future Land Use Map</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_Toc264274113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87</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114" w:history="1">
            <w:r w:rsidR="00F77AF3" w:rsidRPr="008B6DA3">
              <w:rPr>
                <w:rStyle w:val="Hyperlink"/>
                <w:rFonts w:asciiTheme="minorHAnsi" w:hAnsiTheme="minorHAnsi"/>
                <w:lang w:eastAsia="ko-KR"/>
              </w:rPr>
              <w:t xml:space="preserve">3.2.2 Proposed Large </w:t>
            </w:r>
            <w:r w:rsidR="00F77AF3" w:rsidRPr="008B6DA3">
              <w:rPr>
                <w:rStyle w:val="Hyperlink"/>
                <w:rFonts w:asciiTheme="minorHAnsi" w:hAnsiTheme="minorHAnsi"/>
              </w:rPr>
              <w:t>Scale</w:t>
            </w:r>
            <w:r w:rsidR="00F77AF3" w:rsidRPr="008B6DA3">
              <w:rPr>
                <w:rStyle w:val="Hyperlink"/>
                <w:rFonts w:asciiTheme="minorHAnsi" w:hAnsiTheme="minorHAnsi"/>
                <w:lang w:eastAsia="ko-KR"/>
              </w:rPr>
              <w:t xml:space="preserve"> Plan Amendment Process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_Toc264274114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88</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115" w:history="1">
            <w:r w:rsidR="00F77AF3" w:rsidRPr="008B6DA3">
              <w:rPr>
                <w:rStyle w:val="Hyperlink"/>
                <w:rFonts w:asciiTheme="minorHAnsi" w:hAnsiTheme="minorHAnsi"/>
                <w:lang w:eastAsia="ko-KR"/>
              </w:rPr>
              <w:t>3.2.3 Adopted Large Scale Plan Amendment Process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_Toc264274115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89</w:t>
            </w:r>
            <w:r w:rsidRPr="008B6DA3">
              <w:rPr>
                <w:rFonts w:asciiTheme="minorHAnsi" w:hAnsiTheme="minorHAnsi"/>
                <w:webHidden/>
              </w:rPr>
              <w:fldChar w:fldCharType="end"/>
            </w:r>
          </w:hyperlink>
        </w:p>
        <w:p w:rsidR="00F77AF3" w:rsidRPr="008B6DA3" w:rsidRDefault="00745389">
          <w:pPr>
            <w:pStyle w:val="TOC2"/>
            <w:rPr>
              <w:rFonts w:asciiTheme="minorHAnsi" w:eastAsiaTheme="minorEastAsia" w:hAnsiTheme="minorHAnsi" w:cstheme="minorBidi"/>
              <w:b w:val="0"/>
              <w:sz w:val="22"/>
              <w:szCs w:val="22"/>
            </w:rPr>
          </w:pPr>
          <w:hyperlink w:anchor="_Toc264274116" w:history="1">
            <w:r w:rsidR="00F77AF3" w:rsidRPr="008B6DA3">
              <w:rPr>
                <w:rStyle w:val="Hyperlink"/>
                <w:rFonts w:asciiTheme="minorHAnsi" w:hAnsiTheme="minorHAnsi"/>
                <w:lang w:eastAsia="ko-KR"/>
              </w:rPr>
              <w:t>3.3 Review of Future Land Use Map (FLUM) Amendments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_Toc264274116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90</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117" w:history="1">
            <w:r w:rsidR="00F77AF3" w:rsidRPr="008B6DA3">
              <w:rPr>
                <w:rStyle w:val="Hyperlink"/>
                <w:rFonts w:asciiTheme="minorHAnsi" w:hAnsiTheme="minorHAnsi"/>
                <w:lang w:eastAsia="ko-KR"/>
              </w:rPr>
              <w:t xml:space="preserve">3.3.1 </w:t>
            </w:r>
            <w:r w:rsidR="00F77AF3" w:rsidRPr="008B6DA3">
              <w:rPr>
                <w:rStyle w:val="Hyperlink"/>
                <w:rFonts w:asciiTheme="minorHAnsi" w:hAnsiTheme="minorHAnsi"/>
              </w:rPr>
              <w:t>Legal Authorities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_Toc264274117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90</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118" w:history="1">
            <w:r w:rsidR="00F77AF3" w:rsidRPr="008B6DA3">
              <w:rPr>
                <w:rStyle w:val="Hyperlink"/>
                <w:rFonts w:asciiTheme="minorHAnsi" w:hAnsiTheme="minorHAnsi"/>
              </w:rPr>
              <w:t>3.3.2 Review Procedure</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_Toc264274118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91</w:t>
            </w:r>
            <w:r w:rsidRPr="008B6DA3">
              <w:rPr>
                <w:rFonts w:asciiTheme="minorHAnsi" w:hAnsiTheme="minorHAnsi"/>
                <w:webHidden/>
              </w:rPr>
              <w:fldChar w:fldCharType="end"/>
            </w:r>
          </w:hyperlink>
        </w:p>
        <w:p w:rsidR="00F77AF3" w:rsidRPr="008B6DA3" w:rsidRDefault="00745389">
          <w:pPr>
            <w:pStyle w:val="TOC2"/>
            <w:rPr>
              <w:rFonts w:asciiTheme="minorHAnsi" w:eastAsiaTheme="minorEastAsia" w:hAnsiTheme="minorHAnsi" w:cstheme="minorBidi"/>
              <w:b w:val="0"/>
              <w:sz w:val="22"/>
              <w:szCs w:val="22"/>
            </w:rPr>
          </w:pPr>
          <w:hyperlink w:anchor="_Toc264274119" w:history="1">
            <w:r w:rsidR="00F77AF3" w:rsidRPr="008B6DA3">
              <w:rPr>
                <w:rStyle w:val="Hyperlink"/>
                <w:rFonts w:asciiTheme="minorHAnsi" w:hAnsiTheme="minorHAnsi"/>
                <w:lang w:eastAsia="ko-KR"/>
              </w:rPr>
              <w:t>3.4 Review of Text Amendments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_Toc264274119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94</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120" w:history="1">
            <w:r w:rsidR="00F77AF3" w:rsidRPr="008B6DA3">
              <w:rPr>
                <w:rStyle w:val="Hyperlink"/>
                <w:rFonts w:asciiTheme="minorHAnsi" w:hAnsiTheme="minorHAnsi"/>
              </w:rPr>
              <w:t>3.4.1  Review Procedure</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_Toc264274120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95</w:t>
            </w:r>
            <w:r w:rsidRPr="008B6DA3">
              <w:rPr>
                <w:rFonts w:asciiTheme="minorHAnsi" w:hAnsiTheme="minorHAnsi"/>
                <w:webHidden/>
              </w:rPr>
              <w:fldChar w:fldCharType="end"/>
            </w:r>
          </w:hyperlink>
        </w:p>
        <w:p w:rsidR="00F77AF3" w:rsidRPr="008B6DA3" w:rsidRDefault="00745389">
          <w:pPr>
            <w:pStyle w:val="TOC2"/>
            <w:rPr>
              <w:rFonts w:asciiTheme="minorHAnsi" w:eastAsiaTheme="minorEastAsia" w:hAnsiTheme="minorHAnsi" w:cstheme="minorBidi"/>
              <w:b w:val="0"/>
              <w:sz w:val="22"/>
              <w:szCs w:val="22"/>
            </w:rPr>
          </w:pPr>
          <w:hyperlink w:anchor="_Toc264274121" w:history="1">
            <w:r w:rsidR="00F77AF3" w:rsidRPr="008B6DA3">
              <w:rPr>
                <w:rStyle w:val="Hyperlink"/>
                <w:rFonts w:asciiTheme="minorHAnsi" w:hAnsiTheme="minorHAnsi"/>
              </w:rPr>
              <w:t>3.5 Future Land Use Element</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_Toc264274121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95</w:t>
            </w:r>
            <w:r w:rsidRPr="008B6DA3">
              <w:rPr>
                <w:rFonts w:asciiTheme="minorHAnsi" w:hAnsiTheme="minorHAnsi"/>
                <w:webHidden/>
              </w:rPr>
              <w:fldChar w:fldCharType="end"/>
            </w:r>
          </w:hyperlink>
        </w:p>
        <w:p w:rsidR="00F77AF3" w:rsidRPr="008B6DA3" w:rsidRDefault="00745389">
          <w:pPr>
            <w:pStyle w:val="TOC2"/>
            <w:rPr>
              <w:rFonts w:asciiTheme="minorHAnsi" w:eastAsiaTheme="minorEastAsia" w:hAnsiTheme="minorHAnsi" w:cstheme="minorBidi"/>
              <w:b w:val="0"/>
              <w:sz w:val="22"/>
              <w:szCs w:val="22"/>
            </w:rPr>
          </w:pPr>
          <w:hyperlink w:anchor="_Toc264274122" w:history="1">
            <w:r w:rsidR="00F77AF3" w:rsidRPr="008B6DA3">
              <w:rPr>
                <w:rStyle w:val="Hyperlink"/>
                <w:rFonts w:asciiTheme="minorHAnsi" w:hAnsiTheme="minorHAnsi"/>
                <w:lang w:eastAsia="ko-KR"/>
              </w:rPr>
              <w:t>3.6 Transportation Element</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_Toc264274122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96</w:t>
            </w:r>
            <w:r w:rsidRPr="008B6DA3">
              <w:rPr>
                <w:rFonts w:asciiTheme="minorHAnsi" w:hAnsiTheme="minorHAnsi"/>
                <w:webHidden/>
              </w:rPr>
              <w:fldChar w:fldCharType="end"/>
            </w:r>
          </w:hyperlink>
        </w:p>
        <w:p w:rsidR="00F77AF3" w:rsidRPr="008B6DA3" w:rsidRDefault="00745389">
          <w:pPr>
            <w:pStyle w:val="TOC2"/>
            <w:rPr>
              <w:rFonts w:asciiTheme="minorHAnsi" w:eastAsiaTheme="minorEastAsia" w:hAnsiTheme="minorHAnsi" w:cstheme="minorBidi"/>
              <w:b w:val="0"/>
              <w:sz w:val="22"/>
              <w:szCs w:val="22"/>
            </w:rPr>
          </w:pPr>
          <w:hyperlink w:anchor="_Toc264274123" w:history="1">
            <w:r w:rsidR="00F77AF3" w:rsidRPr="008B6DA3">
              <w:rPr>
                <w:rStyle w:val="Hyperlink"/>
                <w:rFonts w:asciiTheme="minorHAnsi" w:hAnsiTheme="minorHAnsi"/>
                <w:lang w:eastAsia="ko-KR"/>
              </w:rPr>
              <w:t>3.7 Capital Improvements Element</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_Toc264274123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97</w:t>
            </w:r>
            <w:r w:rsidRPr="008B6DA3">
              <w:rPr>
                <w:rFonts w:asciiTheme="minorHAnsi" w:hAnsiTheme="minorHAnsi"/>
                <w:webHidden/>
              </w:rPr>
              <w:fldChar w:fldCharType="end"/>
            </w:r>
          </w:hyperlink>
        </w:p>
        <w:p w:rsidR="00F77AF3" w:rsidRPr="008B6DA3" w:rsidRDefault="00745389">
          <w:pPr>
            <w:pStyle w:val="TOC2"/>
            <w:rPr>
              <w:rFonts w:asciiTheme="minorHAnsi" w:eastAsiaTheme="minorEastAsia" w:hAnsiTheme="minorHAnsi" w:cstheme="minorBidi"/>
              <w:b w:val="0"/>
              <w:sz w:val="22"/>
              <w:szCs w:val="22"/>
            </w:rPr>
          </w:pPr>
          <w:hyperlink w:anchor="_Toc264274124" w:history="1">
            <w:r w:rsidR="00F77AF3" w:rsidRPr="008B6DA3">
              <w:rPr>
                <w:rStyle w:val="Hyperlink"/>
                <w:rFonts w:asciiTheme="minorHAnsi" w:hAnsiTheme="minorHAnsi"/>
                <w:lang w:eastAsia="ko-KR"/>
              </w:rPr>
              <w:t>3.8 Transportation Concurrency-Related Amendments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_Toc264274124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98</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125" w:history="1">
            <w:r w:rsidR="00F77AF3" w:rsidRPr="008B6DA3">
              <w:rPr>
                <w:rStyle w:val="Hyperlink"/>
                <w:rFonts w:asciiTheme="minorHAnsi" w:hAnsiTheme="minorHAnsi"/>
              </w:rPr>
              <w:t>3.8.1 Concurrency Alternatives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_Toc264274125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99</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126" w:history="1">
            <w:r w:rsidR="00F77AF3" w:rsidRPr="008B6DA3">
              <w:rPr>
                <w:rStyle w:val="Hyperlink"/>
                <w:rFonts w:asciiTheme="minorHAnsi" w:hAnsiTheme="minorHAnsi"/>
              </w:rPr>
              <w:t>3.8.2 Transportation Concurrency Exception Areas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_Toc264274126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100</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127" w:history="1">
            <w:r w:rsidR="00F77AF3" w:rsidRPr="008B6DA3">
              <w:rPr>
                <w:rStyle w:val="Hyperlink"/>
                <w:rFonts w:asciiTheme="minorHAnsi" w:hAnsiTheme="minorHAnsi"/>
              </w:rPr>
              <w:t>3.8.3 Dense Urban Land Area TCEAs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_Toc264274127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102</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128" w:history="1">
            <w:r w:rsidR="00F77AF3" w:rsidRPr="008B6DA3">
              <w:rPr>
                <w:rStyle w:val="Hyperlink"/>
                <w:rFonts w:asciiTheme="minorHAnsi" w:hAnsiTheme="minorHAnsi"/>
              </w:rPr>
              <w:t>3.8.4 Land Use and Transportation Strategies to Support Mobility</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_Toc264274128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104</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129" w:history="1">
            <w:r w:rsidR="00F77AF3" w:rsidRPr="008B6DA3">
              <w:rPr>
                <w:rStyle w:val="Hyperlink"/>
                <w:rFonts w:asciiTheme="minorHAnsi" w:hAnsiTheme="minorHAnsi"/>
              </w:rPr>
              <w:t>3.8.5 Multimodal Transportation Districts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_Toc264274129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105</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130" w:history="1">
            <w:r w:rsidR="00F77AF3" w:rsidRPr="008B6DA3">
              <w:rPr>
                <w:rStyle w:val="Hyperlink"/>
                <w:rFonts w:asciiTheme="minorHAnsi" w:hAnsiTheme="minorHAnsi"/>
              </w:rPr>
              <w:t>3.8.6 Long-Term Transportation Concurrency Management Systems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_Toc264274130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107</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131" w:history="1">
            <w:r w:rsidR="00F77AF3" w:rsidRPr="008B6DA3">
              <w:rPr>
                <w:rStyle w:val="Hyperlink"/>
                <w:rFonts w:asciiTheme="minorHAnsi" w:hAnsiTheme="minorHAnsi"/>
              </w:rPr>
              <w:t>3.8.7 Transportation Concurrency Management Areas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_Toc264274131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108</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132" w:history="1">
            <w:r w:rsidR="00F77AF3" w:rsidRPr="008B6DA3">
              <w:rPr>
                <w:rStyle w:val="Hyperlink"/>
                <w:rFonts w:asciiTheme="minorHAnsi" w:hAnsiTheme="minorHAnsi"/>
              </w:rPr>
              <w:t>3.8.8 Transportation Concurrency Backlog Authorities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_Toc264274132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109</w:t>
            </w:r>
            <w:r w:rsidRPr="008B6DA3">
              <w:rPr>
                <w:rFonts w:asciiTheme="minorHAnsi" w:hAnsiTheme="minorHAnsi"/>
                <w:webHidden/>
              </w:rPr>
              <w:fldChar w:fldCharType="end"/>
            </w:r>
          </w:hyperlink>
        </w:p>
        <w:p w:rsidR="00F77AF3" w:rsidRPr="008B6DA3" w:rsidRDefault="00745389">
          <w:pPr>
            <w:pStyle w:val="TOC2"/>
            <w:rPr>
              <w:rFonts w:asciiTheme="minorHAnsi" w:eastAsiaTheme="minorEastAsia" w:hAnsiTheme="minorHAnsi" w:cstheme="minorBidi"/>
              <w:b w:val="0"/>
              <w:sz w:val="22"/>
              <w:szCs w:val="22"/>
            </w:rPr>
          </w:pPr>
          <w:hyperlink w:anchor="_Toc264274133" w:history="1">
            <w:r w:rsidR="00F77AF3" w:rsidRPr="008B6DA3">
              <w:rPr>
                <w:rStyle w:val="Hyperlink"/>
                <w:rFonts w:asciiTheme="minorHAnsi" w:hAnsiTheme="minorHAnsi"/>
              </w:rPr>
              <w:t>3.9 Other Local Government Comprehensive Plan Reviews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_Toc264274133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110</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134" w:history="1">
            <w:r w:rsidR="00F77AF3" w:rsidRPr="008B6DA3">
              <w:rPr>
                <w:rStyle w:val="Hyperlink"/>
                <w:rFonts w:asciiTheme="minorHAnsi" w:hAnsiTheme="minorHAnsi"/>
                <w:lang w:eastAsia="ko-KR"/>
              </w:rPr>
              <w:t>3.9.1 Evaluation and Appraisal Reports and Amendments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_Toc264274134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110</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135" w:history="1">
            <w:r w:rsidR="00F77AF3" w:rsidRPr="008B6DA3">
              <w:rPr>
                <w:rStyle w:val="Hyperlink"/>
                <w:rFonts w:asciiTheme="minorHAnsi" w:hAnsiTheme="minorHAnsi"/>
                <w:lang w:eastAsia="ko-KR"/>
              </w:rPr>
              <w:t>3.9.2 EAR-based Amendments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_Toc264274135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112</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136" w:history="1">
            <w:r w:rsidR="00F77AF3" w:rsidRPr="008B6DA3">
              <w:rPr>
                <w:rStyle w:val="Hyperlink"/>
                <w:rFonts w:asciiTheme="minorHAnsi" w:hAnsiTheme="minorHAnsi"/>
                <w:lang w:eastAsia="ko-KR"/>
              </w:rPr>
              <w:t>3.9.3 Development of Regional Impact-based Amendments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_Toc264274136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113</w:t>
            </w:r>
            <w:r w:rsidRPr="008B6DA3">
              <w:rPr>
                <w:rFonts w:asciiTheme="minorHAnsi" w:hAnsiTheme="minorHAnsi"/>
                <w:webHidden/>
              </w:rPr>
              <w:fldChar w:fldCharType="end"/>
            </w:r>
          </w:hyperlink>
        </w:p>
        <w:p w:rsidR="00F77AF3" w:rsidRPr="008B6DA3" w:rsidRDefault="00745389">
          <w:pPr>
            <w:pStyle w:val="TOC2"/>
            <w:rPr>
              <w:rFonts w:asciiTheme="minorHAnsi" w:eastAsiaTheme="minorEastAsia" w:hAnsiTheme="minorHAnsi" w:cstheme="minorBidi"/>
              <w:b w:val="0"/>
              <w:sz w:val="22"/>
              <w:szCs w:val="22"/>
            </w:rPr>
          </w:pPr>
          <w:hyperlink w:anchor="_Toc264274137" w:history="1">
            <w:r w:rsidR="00F77AF3" w:rsidRPr="008B6DA3">
              <w:rPr>
                <w:rStyle w:val="Hyperlink"/>
                <w:rFonts w:asciiTheme="minorHAnsi" w:hAnsiTheme="minorHAnsi"/>
              </w:rPr>
              <w:t>Resource Guide 1.  Legal Authority for Department Review</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_Toc264274137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114</w:t>
            </w:r>
            <w:r w:rsidRPr="008B6DA3">
              <w:rPr>
                <w:rFonts w:asciiTheme="minorHAnsi" w:hAnsiTheme="minorHAnsi"/>
                <w:webHidden/>
              </w:rPr>
              <w:fldChar w:fldCharType="end"/>
            </w:r>
          </w:hyperlink>
        </w:p>
        <w:p w:rsidR="00F77AF3" w:rsidRPr="008B6DA3" w:rsidRDefault="00745389">
          <w:pPr>
            <w:pStyle w:val="TOC2"/>
            <w:rPr>
              <w:rFonts w:asciiTheme="minorHAnsi" w:eastAsiaTheme="minorEastAsia" w:hAnsiTheme="minorHAnsi" w:cstheme="minorBidi"/>
              <w:b w:val="0"/>
              <w:sz w:val="22"/>
              <w:szCs w:val="22"/>
            </w:rPr>
          </w:pPr>
          <w:hyperlink w:anchor="_Toc264274138" w:history="1">
            <w:r w:rsidR="00F77AF3" w:rsidRPr="008B6DA3">
              <w:rPr>
                <w:rStyle w:val="Hyperlink"/>
                <w:rFonts w:asciiTheme="minorHAnsi" w:hAnsiTheme="minorHAnsi"/>
              </w:rPr>
              <w:t>Resource Guide 2.  Online Resources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_Toc264274138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117</w:t>
            </w:r>
            <w:r w:rsidRPr="008B6DA3">
              <w:rPr>
                <w:rFonts w:asciiTheme="minorHAnsi" w:hAnsiTheme="minorHAnsi"/>
                <w:webHidden/>
              </w:rPr>
              <w:fldChar w:fldCharType="end"/>
            </w:r>
          </w:hyperlink>
        </w:p>
        <w:p w:rsidR="00F77AF3" w:rsidRPr="008B6DA3" w:rsidRDefault="00745389">
          <w:pPr>
            <w:pStyle w:val="TOC2"/>
            <w:rPr>
              <w:rFonts w:asciiTheme="minorHAnsi" w:eastAsiaTheme="minorEastAsia" w:hAnsiTheme="minorHAnsi" w:cstheme="minorBidi"/>
              <w:b w:val="0"/>
              <w:sz w:val="22"/>
              <w:szCs w:val="22"/>
            </w:rPr>
          </w:pPr>
          <w:hyperlink w:anchor="_Toc264274139" w:history="1">
            <w:r w:rsidR="00F77AF3" w:rsidRPr="008B6DA3">
              <w:rPr>
                <w:rStyle w:val="Hyperlink"/>
                <w:rFonts w:asciiTheme="minorHAnsi" w:hAnsiTheme="minorHAnsi"/>
              </w:rPr>
              <w:t>Resource Guide 3.  Evaluation and Appraisal Reports (EARs)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_Toc264274139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118</w:t>
            </w:r>
            <w:r w:rsidRPr="008B6DA3">
              <w:rPr>
                <w:rFonts w:asciiTheme="minorHAnsi" w:hAnsiTheme="minorHAnsi"/>
                <w:webHidden/>
              </w:rPr>
              <w:fldChar w:fldCharType="end"/>
            </w:r>
          </w:hyperlink>
        </w:p>
        <w:p w:rsidR="00F77AF3" w:rsidRPr="008B6DA3" w:rsidRDefault="00745389">
          <w:pPr>
            <w:pStyle w:val="TOC2"/>
            <w:rPr>
              <w:rFonts w:asciiTheme="minorHAnsi" w:eastAsiaTheme="minorEastAsia" w:hAnsiTheme="minorHAnsi" w:cstheme="minorBidi"/>
              <w:b w:val="0"/>
              <w:sz w:val="22"/>
              <w:szCs w:val="22"/>
            </w:rPr>
          </w:pPr>
          <w:hyperlink w:anchor="_Toc264274140" w:history="1">
            <w:r w:rsidR="00F77AF3" w:rsidRPr="008B6DA3">
              <w:rPr>
                <w:rStyle w:val="Hyperlink"/>
                <w:rFonts w:asciiTheme="minorHAnsi" w:hAnsiTheme="minorHAnsi"/>
              </w:rPr>
              <w:t>Resource Guide 4.  Concurrency Alternatives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_Toc264274140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118</w:t>
            </w:r>
            <w:r w:rsidRPr="008B6DA3">
              <w:rPr>
                <w:rFonts w:asciiTheme="minorHAnsi" w:hAnsiTheme="minorHAnsi"/>
                <w:webHidden/>
              </w:rPr>
              <w:fldChar w:fldCharType="end"/>
            </w:r>
          </w:hyperlink>
        </w:p>
        <w:p w:rsidR="00F77AF3" w:rsidRPr="008B6DA3" w:rsidRDefault="00745389">
          <w:pPr>
            <w:pStyle w:val="TOC2"/>
            <w:rPr>
              <w:rFonts w:asciiTheme="minorHAnsi" w:eastAsiaTheme="minorEastAsia" w:hAnsiTheme="minorHAnsi" w:cstheme="minorBidi"/>
              <w:b w:val="0"/>
              <w:sz w:val="22"/>
              <w:szCs w:val="22"/>
            </w:rPr>
          </w:pPr>
          <w:hyperlink w:anchor="_Toc264274141" w:history="1">
            <w:r w:rsidR="00F77AF3" w:rsidRPr="008B6DA3">
              <w:rPr>
                <w:rStyle w:val="Hyperlink"/>
                <w:rFonts w:asciiTheme="minorHAnsi" w:hAnsiTheme="minorHAnsi"/>
              </w:rPr>
              <w:t>Resource Guide 5.   Multimodal Transportation Districts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_Toc264274141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118</w:t>
            </w:r>
            <w:r w:rsidRPr="008B6DA3">
              <w:rPr>
                <w:rFonts w:asciiTheme="minorHAnsi" w:hAnsiTheme="minorHAnsi"/>
                <w:webHidden/>
              </w:rPr>
              <w:fldChar w:fldCharType="end"/>
            </w:r>
          </w:hyperlink>
        </w:p>
        <w:p w:rsidR="00F77AF3" w:rsidRPr="008B6DA3" w:rsidRDefault="00745389">
          <w:pPr>
            <w:pStyle w:val="TOC2"/>
            <w:rPr>
              <w:rFonts w:asciiTheme="minorHAnsi" w:eastAsiaTheme="minorEastAsia" w:hAnsiTheme="minorHAnsi" w:cstheme="minorBidi"/>
              <w:b w:val="0"/>
              <w:sz w:val="22"/>
              <w:szCs w:val="22"/>
            </w:rPr>
          </w:pPr>
          <w:hyperlink w:anchor="_Toc264274142" w:history="1">
            <w:r w:rsidR="00F77AF3" w:rsidRPr="008B6DA3">
              <w:rPr>
                <w:rStyle w:val="Hyperlink"/>
                <w:rFonts w:asciiTheme="minorHAnsi" w:hAnsiTheme="minorHAnsi"/>
              </w:rPr>
              <w:t>Resource Guide 6.    Transportation and Land Use Strategies that Support Mobility</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_Toc264274142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119</w:t>
            </w:r>
            <w:r w:rsidRPr="008B6DA3">
              <w:rPr>
                <w:rFonts w:asciiTheme="minorHAnsi" w:hAnsiTheme="minorHAnsi"/>
                <w:webHidden/>
              </w:rPr>
              <w:fldChar w:fldCharType="end"/>
            </w:r>
          </w:hyperlink>
        </w:p>
        <w:p w:rsidR="00F77AF3" w:rsidRPr="008B6DA3" w:rsidRDefault="00745389">
          <w:pPr>
            <w:pStyle w:val="TOC2"/>
            <w:rPr>
              <w:rFonts w:asciiTheme="minorHAnsi" w:eastAsiaTheme="minorEastAsia" w:hAnsiTheme="minorHAnsi" w:cstheme="minorBidi"/>
              <w:b w:val="0"/>
              <w:sz w:val="22"/>
              <w:szCs w:val="22"/>
            </w:rPr>
          </w:pPr>
          <w:hyperlink w:anchor="_Toc264274143" w:history="1">
            <w:r w:rsidR="00F77AF3" w:rsidRPr="008B6DA3">
              <w:rPr>
                <w:rStyle w:val="Hyperlink"/>
                <w:rFonts w:asciiTheme="minorHAnsi" w:hAnsiTheme="minorHAnsi"/>
              </w:rPr>
              <w:t>Resource Guide 8.  LGCP Amendment Review Checklist</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_Toc264274143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120</w:t>
            </w:r>
            <w:r w:rsidRPr="008B6DA3">
              <w:rPr>
                <w:rFonts w:asciiTheme="minorHAnsi" w:hAnsiTheme="minorHAnsi"/>
                <w:webHidden/>
              </w:rPr>
              <w:fldChar w:fldCharType="end"/>
            </w:r>
          </w:hyperlink>
        </w:p>
        <w:p w:rsidR="00F77AF3" w:rsidRPr="008B6DA3" w:rsidRDefault="00745389">
          <w:pPr>
            <w:pStyle w:val="TOC2"/>
            <w:rPr>
              <w:rFonts w:asciiTheme="minorHAnsi" w:eastAsiaTheme="minorEastAsia" w:hAnsiTheme="minorHAnsi" w:cstheme="minorBidi"/>
              <w:b w:val="0"/>
              <w:sz w:val="22"/>
              <w:szCs w:val="22"/>
            </w:rPr>
          </w:pPr>
          <w:hyperlink w:anchor="_Toc264274144" w:history="1">
            <w:r w:rsidR="00F77AF3" w:rsidRPr="008B6DA3">
              <w:rPr>
                <w:rStyle w:val="Hyperlink"/>
                <w:rFonts w:asciiTheme="minorHAnsi" w:hAnsiTheme="minorHAnsi"/>
              </w:rPr>
              <w:t>Resource Guide 9.  Standardized Comprehensive Plan Review Process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_Toc264274144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121</w:t>
            </w:r>
            <w:r w:rsidRPr="008B6DA3">
              <w:rPr>
                <w:rFonts w:asciiTheme="minorHAnsi" w:hAnsiTheme="minorHAnsi"/>
                <w:webHidden/>
              </w:rPr>
              <w:fldChar w:fldCharType="end"/>
            </w:r>
          </w:hyperlink>
        </w:p>
        <w:p w:rsidR="00F77AF3" w:rsidRPr="008B6DA3" w:rsidRDefault="00745389" w:rsidP="00F77AF3">
          <w:pPr>
            <w:pStyle w:val="TOC1"/>
            <w:rPr>
              <w:rFonts w:asciiTheme="minorHAnsi" w:eastAsiaTheme="minorEastAsia" w:hAnsiTheme="minorHAnsi" w:cstheme="minorBidi"/>
              <w:sz w:val="22"/>
              <w:szCs w:val="22"/>
            </w:rPr>
          </w:pPr>
          <w:hyperlink w:anchor="_Toc264274145" w:history="1">
            <w:r w:rsidR="00F77AF3" w:rsidRPr="008B6DA3">
              <w:rPr>
                <w:rStyle w:val="Hyperlink"/>
                <w:rFonts w:asciiTheme="minorHAnsi" w:hAnsiTheme="minorHAnsi"/>
                <w:b w:val="0"/>
                <w:sz w:val="20"/>
              </w:rPr>
              <w:t xml:space="preserve">CHAPTER 4 </w:t>
            </w:r>
            <w:r w:rsidR="00F77AF3" w:rsidRPr="008B6DA3">
              <w:rPr>
                <w:rStyle w:val="Hyperlink"/>
                <w:rFonts w:asciiTheme="minorHAnsi" w:hAnsiTheme="minorHAnsi"/>
              </w:rPr>
              <w:t xml:space="preserve">  </w:t>
            </w:r>
            <w:r w:rsidR="00CC002A" w:rsidRPr="008B6DA3">
              <w:rPr>
                <w:rStyle w:val="Hyperlink"/>
                <w:rFonts w:asciiTheme="minorHAnsi" w:hAnsiTheme="minorHAnsi"/>
              </w:rPr>
              <w:t>DEVELOPMENTS OF REGIONAL IMPACT</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_Toc264274145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124</w:t>
            </w:r>
            <w:r w:rsidRPr="008B6DA3">
              <w:rPr>
                <w:rFonts w:asciiTheme="minorHAnsi" w:hAnsiTheme="minorHAnsi"/>
                <w:webHidden/>
              </w:rPr>
              <w:fldChar w:fldCharType="end"/>
            </w:r>
          </w:hyperlink>
        </w:p>
        <w:p w:rsidR="00F77AF3" w:rsidRPr="008B6DA3" w:rsidRDefault="00745389">
          <w:pPr>
            <w:pStyle w:val="TOC2"/>
            <w:rPr>
              <w:rFonts w:asciiTheme="minorHAnsi" w:eastAsiaTheme="minorEastAsia" w:hAnsiTheme="minorHAnsi" w:cstheme="minorBidi"/>
              <w:b w:val="0"/>
              <w:sz w:val="22"/>
              <w:szCs w:val="22"/>
            </w:rPr>
          </w:pPr>
          <w:hyperlink w:anchor="_Toc264274146" w:history="1">
            <w:r w:rsidR="00F77AF3" w:rsidRPr="008B6DA3">
              <w:rPr>
                <w:rStyle w:val="Hyperlink"/>
                <w:rFonts w:asciiTheme="minorHAnsi" w:hAnsiTheme="minorHAnsi"/>
              </w:rPr>
              <w:t>4.1    Introduction to Development of Regional Impact Review</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_Toc264274146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124</w:t>
            </w:r>
            <w:r w:rsidRPr="008B6DA3">
              <w:rPr>
                <w:rFonts w:asciiTheme="minorHAnsi" w:hAnsiTheme="minorHAnsi"/>
                <w:webHidden/>
              </w:rPr>
              <w:fldChar w:fldCharType="end"/>
            </w:r>
          </w:hyperlink>
        </w:p>
        <w:p w:rsidR="00F77AF3" w:rsidRPr="008B6DA3" w:rsidRDefault="00745389">
          <w:pPr>
            <w:pStyle w:val="TOC2"/>
            <w:rPr>
              <w:rFonts w:asciiTheme="minorHAnsi" w:eastAsiaTheme="minorEastAsia" w:hAnsiTheme="minorHAnsi" w:cstheme="minorBidi"/>
              <w:b w:val="0"/>
              <w:sz w:val="22"/>
              <w:szCs w:val="22"/>
            </w:rPr>
          </w:pPr>
          <w:hyperlink w:anchor="_Toc264274147" w:history="1">
            <w:r w:rsidR="00F77AF3" w:rsidRPr="008B6DA3">
              <w:rPr>
                <w:rStyle w:val="Hyperlink"/>
                <w:rFonts w:asciiTheme="minorHAnsi" w:hAnsiTheme="minorHAnsi"/>
              </w:rPr>
              <w:t>4.2   Review Requirements for proposed DRIs/Substantial Deviations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_Toc264274147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130</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148" w:history="1">
            <w:r w:rsidR="00F77AF3" w:rsidRPr="008B6DA3">
              <w:rPr>
                <w:rStyle w:val="Hyperlink"/>
                <w:rFonts w:asciiTheme="minorHAnsi" w:hAnsiTheme="minorHAnsi"/>
              </w:rPr>
              <w:t>4.2.1   Transportation Methodology Development</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_Toc264274148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132</w:t>
            </w:r>
            <w:r w:rsidRPr="008B6DA3">
              <w:rPr>
                <w:rFonts w:asciiTheme="minorHAnsi" w:hAnsiTheme="minorHAnsi"/>
                <w:webHidden/>
              </w:rPr>
              <w:fldChar w:fldCharType="end"/>
            </w:r>
          </w:hyperlink>
        </w:p>
        <w:p w:rsidR="00F77AF3" w:rsidRPr="008B6DA3" w:rsidRDefault="008B6DA3">
          <w:pPr>
            <w:pStyle w:val="TOC3"/>
            <w:rPr>
              <w:rFonts w:asciiTheme="minorHAnsi" w:eastAsiaTheme="minorEastAsia" w:hAnsiTheme="minorHAnsi" w:cstheme="minorBidi"/>
              <w:sz w:val="22"/>
              <w:szCs w:val="22"/>
            </w:rPr>
          </w:pPr>
          <w:r w:rsidRPr="008B6DA3">
            <w:rPr>
              <w:rFonts w:asciiTheme="minorHAnsi" w:hAnsiTheme="minorHAnsi"/>
            </w:rPr>
            <w:t xml:space="preserve">4.2.2   </w:t>
          </w:r>
          <w:hyperlink w:anchor="_Toc264274149" w:history="1">
            <w:r w:rsidR="00F77AF3" w:rsidRPr="008B6DA3">
              <w:rPr>
                <w:rStyle w:val="Hyperlink"/>
                <w:rFonts w:asciiTheme="minorHAnsi" w:hAnsiTheme="minorHAnsi"/>
              </w:rPr>
              <w:t>Pre-application Conference/Transportation Methodology</w:t>
            </w:r>
            <w:r w:rsidR="00F77AF3" w:rsidRPr="008B6DA3">
              <w:rPr>
                <w:rFonts w:asciiTheme="minorHAnsi" w:hAnsiTheme="minorHAnsi"/>
                <w:webHidden/>
              </w:rPr>
              <w:tab/>
            </w:r>
            <w:r w:rsidR="00745389" w:rsidRPr="008B6DA3">
              <w:rPr>
                <w:rFonts w:asciiTheme="minorHAnsi" w:hAnsiTheme="minorHAnsi"/>
                <w:webHidden/>
              </w:rPr>
              <w:fldChar w:fldCharType="begin"/>
            </w:r>
            <w:r w:rsidR="00F77AF3" w:rsidRPr="008B6DA3">
              <w:rPr>
                <w:rFonts w:asciiTheme="minorHAnsi" w:hAnsiTheme="minorHAnsi"/>
                <w:webHidden/>
              </w:rPr>
              <w:instrText xml:space="preserve"> PAGEREF _Toc264274149 \h </w:instrText>
            </w:r>
            <w:r w:rsidR="00745389" w:rsidRPr="008B6DA3">
              <w:rPr>
                <w:rFonts w:asciiTheme="minorHAnsi" w:hAnsiTheme="minorHAnsi"/>
                <w:webHidden/>
              </w:rPr>
            </w:r>
            <w:r w:rsidR="00745389" w:rsidRPr="008B6DA3">
              <w:rPr>
                <w:rFonts w:asciiTheme="minorHAnsi" w:hAnsiTheme="minorHAnsi"/>
                <w:webHidden/>
              </w:rPr>
              <w:fldChar w:fldCharType="separate"/>
            </w:r>
            <w:r w:rsidR="00F77AF3" w:rsidRPr="008B6DA3">
              <w:rPr>
                <w:rFonts w:asciiTheme="minorHAnsi" w:hAnsiTheme="minorHAnsi"/>
                <w:webHidden/>
              </w:rPr>
              <w:t>136</w:t>
            </w:r>
            <w:r w:rsidR="00745389"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150" w:history="1">
            <w:r w:rsidR="00F77AF3" w:rsidRPr="008B6DA3">
              <w:rPr>
                <w:rStyle w:val="Hyperlink"/>
                <w:rFonts w:asciiTheme="minorHAnsi" w:hAnsiTheme="minorHAnsi"/>
              </w:rPr>
              <w:t>4.2.</w:t>
            </w:r>
            <w:r w:rsidR="008B6DA3" w:rsidRPr="008B6DA3">
              <w:rPr>
                <w:rStyle w:val="Hyperlink"/>
                <w:rFonts w:asciiTheme="minorHAnsi" w:hAnsiTheme="minorHAnsi"/>
              </w:rPr>
              <w:t>3</w:t>
            </w:r>
            <w:r w:rsidR="00F77AF3" w:rsidRPr="008B6DA3">
              <w:rPr>
                <w:rStyle w:val="Hyperlink"/>
                <w:rFonts w:asciiTheme="minorHAnsi" w:hAnsiTheme="minorHAnsi"/>
              </w:rPr>
              <w:t xml:space="preserve">   Application for Development Approval (ADA) Process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_Toc264274150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136</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151" w:history="1">
            <w:r w:rsidR="008B6DA3" w:rsidRPr="008B6DA3">
              <w:rPr>
                <w:rStyle w:val="Hyperlink"/>
                <w:rFonts w:asciiTheme="minorHAnsi" w:hAnsiTheme="minorHAnsi"/>
              </w:rPr>
              <w:t>4.2.4</w:t>
            </w:r>
            <w:r w:rsidR="00F77AF3" w:rsidRPr="008B6DA3">
              <w:rPr>
                <w:rStyle w:val="Hyperlink"/>
                <w:rFonts w:asciiTheme="minorHAnsi" w:hAnsiTheme="minorHAnsi"/>
              </w:rPr>
              <w:t xml:space="preserve">   ADA Review/ 1</w:t>
            </w:r>
            <w:r w:rsidR="00F77AF3" w:rsidRPr="008B6DA3">
              <w:rPr>
                <w:rStyle w:val="Hyperlink"/>
                <w:rFonts w:asciiTheme="minorHAnsi" w:hAnsiTheme="minorHAnsi"/>
                <w:vertAlign w:val="superscript"/>
              </w:rPr>
              <w:t>st</w:t>
            </w:r>
            <w:r w:rsidR="00F77AF3" w:rsidRPr="008B6DA3">
              <w:rPr>
                <w:rStyle w:val="Hyperlink"/>
                <w:rFonts w:asciiTheme="minorHAnsi" w:hAnsiTheme="minorHAnsi"/>
              </w:rPr>
              <w:t xml:space="preserve"> Sufficiency Determination/1</w:t>
            </w:r>
            <w:r w:rsidR="00F77AF3" w:rsidRPr="008B6DA3">
              <w:rPr>
                <w:rStyle w:val="Hyperlink"/>
                <w:rFonts w:asciiTheme="minorHAnsi" w:hAnsiTheme="minorHAnsi"/>
                <w:vertAlign w:val="superscript"/>
              </w:rPr>
              <w:t>st</w:t>
            </w:r>
            <w:r w:rsidR="00F77AF3" w:rsidRPr="008B6DA3">
              <w:rPr>
                <w:rStyle w:val="Hyperlink"/>
                <w:rFonts w:asciiTheme="minorHAnsi" w:hAnsiTheme="minorHAnsi"/>
              </w:rPr>
              <w:t xml:space="preserve"> Request for Additional Information</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_Toc264274151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138</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152" w:history="1">
            <w:r w:rsidR="008B6DA3" w:rsidRPr="008B6DA3">
              <w:rPr>
                <w:rStyle w:val="Hyperlink"/>
                <w:rFonts w:asciiTheme="minorHAnsi" w:hAnsiTheme="minorHAnsi"/>
              </w:rPr>
              <w:t>4.2.5</w:t>
            </w:r>
            <w:r w:rsidR="00F77AF3" w:rsidRPr="008B6DA3">
              <w:rPr>
                <w:rStyle w:val="Hyperlink"/>
                <w:rFonts w:asciiTheme="minorHAnsi" w:hAnsiTheme="minorHAnsi"/>
              </w:rPr>
              <w:t xml:space="preserve">   2</w:t>
            </w:r>
            <w:r w:rsidR="00F77AF3" w:rsidRPr="008B6DA3">
              <w:rPr>
                <w:rStyle w:val="Hyperlink"/>
                <w:rFonts w:asciiTheme="minorHAnsi" w:hAnsiTheme="minorHAnsi"/>
                <w:vertAlign w:val="superscript"/>
              </w:rPr>
              <w:t>nd</w:t>
            </w:r>
            <w:r w:rsidR="00F77AF3" w:rsidRPr="008B6DA3">
              <w:rPr>
                <w:rStyle w:val="Hyperlink"/>
                <w:rFonts w:asciiTheme="minorHAnsi" w:hAnsiTheme="minorHAnsi"/>
              </w:rPr>
              <w:t xml:space="preserve"> Sufficiency Determination/2</w:t>
            </w:r>
            <w:r w:rsidR="00F77AF3" w:rsidRPr="008B6DA3">
              <w:rPr>
                <w:rStyle w:val="Hyperlink"/>
                <w:rFonts w:asciiTheme="minorHAnsi" w:hAnsiTheme="minorHAnsi"/>
                <w:vertAlign w:val="superscript"/>
              </w:rPr>
              <w:t>nd</w:t>
            </w:r>
            <w:r w:rsidR="00F77AF3" w:rsidRPr="008B6DA3">
              <w:rPr>
                <w:rStyle w:val="Hyperlink"/>
                <w:rFonts w:asciiTheme="minorHAnsi" w:hAnsiTheme="minorHAnsi"/>
              </w:rPr>
              <w:t xml:space="preserve"> Request for Additional Information</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_Toc264274152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140</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153" w:history="1">
            <w:r w:rsidR="008B6DA3" w:rsidRPr="008B6DA3">
              <w:rPr>
                <w:rStyle w:val="Hyperlink"/>
                <w:rFonts w:asciiTheme="minorHAnsi" w:hAnsiTheme="minorHAnsi"/>
              </w:rPr>
              <w:t>4.2.6</w:t>
            </w:r>
            <w:r w:rsidR="00F77AF3" w:rsidRPr="008B6DA3">
              <w:rPr>
                <w:rStyle w:val="Hyperlink"/>
                <w:rFonts w:asciiTheme="minorHAnsi" w:hAnsiTheme="minorHAnsi"/>
              </w:rPr>
              <w:t xml:space="preserve">   Review of Applicant Response to 2</w:t>
            </w:r>
            <w:r w:rsidR="00F77AF3" w:rsidRPr="008B6DA3">
              <w:rPr>
                <w:rStyle w:val="Hyperlink"/>
                <w:rFonts w:asciiTheme="minorHAnsi" w:hAnsiTheme="minorHAnsi"/>
                <w:vertAlign w:val="superscript"/>
              </w:rPr>
              <w:t>nd</w:t>
            </w:r>
            <w:r w:rsidR="00F77AF3" w:rsidRPr="008B6DA3">
              <w:rPr>
                <w:rStyle w:val="Hyperlink"/>
                <w:rFonts w:asciiTheme="minorHAnsi" w:hAnsiTheme="minorHAnsi"/>
              </w:rPr>
              <w:t xml:space="preserve"> Request for Additional Information</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_Toc264274153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141</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154" w:history="1">
            <w:r w:rsidR="008B6DA3" w:rsidRPr="008B6DA3">
              <w:rPr>
                <w:rStyle w:val="Hyperlink"/>
                <w:rFonts w:asciiTheme="minorHAnsi" w:hAnsiTheme="minorHAnsi"/>
              </w:rPr>
              <w:t>4.2.7</w:t>
            </w:r>
            <w:r w:rsidR="00F77AF3" w:rsidRPr="008B6DA3">
              <w:rPr>
                <w:rStyle w:val="Hyperlink"/>
                <w:rFonts w:asciiTheme="minorHAnsi" w:hAnsiTheme="minorHAnsi"/>
              </w:rPr>
              <w:t xml:space="preserve">   Recommendations and Conditions Development</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_Toc264274154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142</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155" w:history="1">
            <w:r w:rsidR="008B6DA3" w:rsidRPr="008B6DA3">
              <w:rPr>
                <w:rStyle w:val="Hyperlink"/>
                <w:rFonts w:asciiTheme="minorHAnsi" w:hAnsiTheme="minorHAnsi"/>
              </w:rPr>
              <w:t>4.2.8</w:t>
            </w:r>
            <w:r w:rsidR="00F77AF3" w:rsidRPr="008B6DA3">
              <w:rPr>
                <w:rStyle w:val="Hyperlink"/>
                <w:rFonts w:asciiTheme="minorHAnsi" w:hAnsiTheme="minorHAnsi"/>
              </w:rPr>
              <w:t xml:space="preserve">   RPC Assessment Report</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_Toc264274155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143</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156" w:history="1">
            <w:r w:rsidR="008B6DA3" w:rsidRPr="008B6DA3">
              <w:rPr>
                <w:rStyle w:val="Hyperlink"/>
                <w:rFonts w:asciiTheme="minorHAnsi" w:hAnsiTheme="minorHAnsi"/>
              </w:rPr>
              <w:t>4.2.9</w:t>
            </w:r>
            <w:r w:rsidR="00F77AF3" w:rsidRPr="008B6DA3">
              <w:rPr>
                <w:rStyle w:val="Hyperlink"/>
                <w:rFonts w:asciiTheme="minorHAnsi" w:hAnsiTheme="minorHAnsi"/>
              </w:rPr>
              <w:t xml:space="preserve">   Local Government Draft Development Order Review</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_Toc264274156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144</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157" w:history="1">
            <w:r w:rsidR="008B6DA3" w:rsidRPr="008B6DA3">
              <w:rPr>
                <w:rStyle w:val="Hyperlink"/>
                <w:rFonts w:asciiTheme="minorHAnsi" w:hAnsiTheme="minorHAnsi"/>
              </w:rPr>
              <w:t>4.2.10</w:t>
            </w:r>
            <w:r w:rsidR="00F77AF3" w:rsidRPr="008B6DA3">
              <w:rPr>
                <w:rStyle w:val="Hyperlink"/>
                <w:rFonts w:asciiTheme="minorHAnsi" w:hAnsiTheme="minorHAnsi"/>
              </w:rPr>
              <w:t xml:space="preserve">  Rendered Development Order Review</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_Toc264274157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144</w:t>
            </w:r>
            <w:r w:rsidRPr="008B6DA3">
              <w:rPr>
                <w:rFonts w:asciiTheme="minorHAnsi" w:hAnsiTheme="minorHAnsi"/>
                <w:webHidden/>
              </w:rPr>
              <w:fldChar w:fldCharType="end"/>
            </w:r>
          </w:hyperlink>
        </w:p>
        <w:p w:rsidR="00F77AF3" w:rsidRPr="008B6DA3" w:rsidRDefault="00745389">
          <w:pPr>
            <w:pStyle w:val="TOC2"/>
            <w:rPr>
              <w:rFonts w:asciiTheme="minorHAnsi" w:eastAsiaTheme="minorEastAsia" w:hAnsiTheme="minorHAnsi" w:cstheme="minorBidi"/>
              <w:b w:val="0"/>
              <w:sz w:val="22"/>
              <w:szCs w:val="22"/>
            </w:rPr>
          </w:pPr>
          <w:hyperlink w:anchor="_Toc264274158" w:history="1">
            <w:r w:rsidR="00F77AF3" w:rsidRPr="008B6DA3">
              <w:rPr>
                <w:rStyle w:val="Hyperlink"/>
                <w:rFonts w:asciiTheme="minorHAnsi" w:hAnsiTheme="minorHAnsi"/>
              </w:rPr>
              <w:t>4.3   Modification of Approved DRIs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_Toc264274158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145</w:t>
            </w:r>
            <w:r w:rsidRPr="008B6DA3">
              <w:rPr>
                <w:rFonts w:asciiTheme="minorHAnsi" w:hAnsiTheme="minorHAnsi"/>
                <w:webHidden/>
              </w:rPr>
              <w:fldChar w:fldCharType="end"/>
            </w:r>
          </w:hyperlink>
        </w:p>
        <w:p w:rsidR="00F77AF3" w:rsidRPr="008B6DA3" w:rsidRDefault="00745389">
          <w:pPr>
            <w:pStyle w:val="TOC2"/>
            <w:rPr>
              <w:rFonts w:asciiTheme="minorHAnsi" w:eastAsiaTheme="minorEastAsia" w:hAnsiTheme="minorHAnsi" w:cstheme="minorBidi"/>
              <w:b w:val="0"/>
              <w:sz w:val="22"/>
              <w:szCs w:val="22"/>
            </w:rPr>
          </w:pPr>
          <w:hyperlink w:anchor="_Toc264274159" w:history="1">
            <w:r w:rsidR="00F77AF3" w:rsidRPr="008B6DA3">
              <w:rPr>
                <w:rStyle w:val="Hyperlink"/>
                <w:rFonts w:asciiTheme="minorHAnsi" w:hAnsiTheme="minorHAnsi"/>
              </w:rPr>
              <w:t>4.4 DRI Reporting</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_Toc264274159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147</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160" w:history="1">
            <w:r w:rsidR="00F77AF3" w:rsidRPr="008B6DA3">
              <w:rPr>
                <w:rStyle w:val="Hyperlink"/>
                <w:rFonts w:asciiTheme="minorHAnsi" w:hAnsiTheme="minorHAnsi"/>
              </w:rPr>
              <w:t>4.4.1   Annual or Biennial Reports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_Toc264274160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147</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161" w:history="1">
            <w:r w:rsidR="00F77AF3" w:rsidRPr="008B6DA3">
              <w:rPr>
                <w:rStyle w:val="Hyperlink"/>
                <w:rFonts w:asciiTheme="minorHAnsi" w:hAnsiTheme="minorHAnsi"/>
              </w:rPr>
              <w:t>4.4.2   Transportation Monitoring Studies</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_Toc264274161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147</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162" w:history="1">
            <w:r w:rsidR="00F77AF3" w:rsidRPr="008B6DA3">
              <w:rPr>
                <w:rStyle w:val="Hyperlink"/>
                <w:rFonts w:asciiTheme="minorHAnsi" w:hAnsiTheme="minorHAnsi"/>
              </w:rPr>
              <w:t>4.4.3   Transportation Monitoring and Modeling Studies (M &amp; M)</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_Toc264274162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148</w:t>
            </w:r>
            <w:r w:rsidRPr="008B6DA3">
              <w:rPr>
                <w:rFonts w:asciiTheme="minorHAnsi" w:hAnsiTheme="minorHAnsi"/>
                <w:webHidden/>
              </w:rPr>
              <w:fldChar w:fldCharType="end"/>
            </w:r>
          </w:hyperlink>
        </w:p>
        <w:p w:rsidR="00F77AF3" w:rsidRPr="008B6DA3" w:rsidRDefault="00745389">
          <w:pPr>
            <w:pStyle w:val="TOC3"/>
            <w:rPr>
              <w:rFonts w:asciiTheme="minorHAnsi" w:eastAsiaTheme="minorEastAsia" w:hAnsiTheme="minorHAnsi" w:cstheme="minorBidi"/>
              <w:sz w:val="22"/>
              <w:szCs w:val="22"/>
            </w:rPr>
          </w:pPr>
          <w:hyperlink w:anchor="_Toc264274163" w:history="1">
            <w:r w:rsidR="00F77AF3" w:rsidRPr="008B6DA3">
              <w:rPr>
                <w:rStyle w:val="Hyperlink"/>
                <w:rFonts w:asciiTheme="minorHAnsi" w:hAnsiTheme="minorHAnsi"/>
              </w:rPr>
              <w:t>4.4.4   Community Capture Monitoring</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_Toc264274163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149</w:t>
            </w:r>
            <w:r w:rsidRPr="008B6DA3">
              <w:rPr>
                <w:rFonts w:asciiTheme="minorHAnsi" w:hAnsiTheme="minorHAnsi"/>
                <w:webHidden/>
              </w:rPr>
              <w:fldChar w:fldCharType="end"/>
            </w:r>
          </w:hyperlink>
        </w:p>
        <w:p w:rsidR="00F77AF3" w:rsidRPr="008B6DA3" w:rsidRDefault="00745389">
          <w:pPr>
            <w:pStyle w:val="TOC2"/>
            <w:tabs>
              <w:tab w:val="left" w:pos="4076"/>
            </w:tabs>
            <w:rPr>
              <w:rFonts w:asciiTheme="minorHAnsi" w:eastAsiaTheme="minorEastAsia" w:hAnsiTheme="minorHAnsi" w:cstheme="minorBidi"/>
              <w:b w:val="0"/>
              <w:sz w:val="22"/>
              <w:szCs w:val="22"/>
            </w:rPr>
          </w:pPr>
          <w:hyperlink w:anchor="_Toc264274164" w:history="1">
            <w:r w:rsidR="00F77AF3" w:rsidRPr="008B6DA3">
              <w:rPr>
                <w:rStyle w:val="Hyperlink"/>
                <w:rFonts w:asciiTheme="minorHAnsi" w:hAnsiTheme="minorHAnsi"/>
              </w:rPr>
              <w:t>DRI Pre-Application Checklist</w:t>
            </w:r>
            <w:r w:rsidR="008B6DA3" w:rsidRPr="008B6DA3">
              <w:rPr>
                <w:rStyle w:val="Hyperlink"/>
                <w:rFonts w:asciiTheme="minorHAnsi" w:hAnsiTheme="minorHAnsi"/>
              </w:rPr>
              <w:tab/>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_Toc264274164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150</w:t>
            </w:r>
            <w:r w:rsidRPr="008B6DA3">
              <w:rPr>
                <w:rFonts w:asciiTheme="minorHAnsi" w:hAnsiTheme="minorHAnsi"/>
                <w:webHidden/>
              </w:rPr>
              <w:fldChar w:fldCharType="end"/>
            </w:r>
          </w:hyperlink>
        </w:p>
        <w:p w:rsidR="00F77AF3" w:rsidRPr="008B6DA3" w:rsidRDefault="00745389">
          <w:pPr>
            <w:pStyle w:val="TOC2"/>
            <w:tabs>
              <w:tab w:val="left" w:pos="5165"/>
            </w:tabs>
            <w:rPr>
              <w:rFonts w:asciiTheme="minorHAnsi" w:eastAsiaTheme="minorEastAsia" w:hAnsiTheme="minorHAnsi" w:cstheme="minorBidi"/>
              <w:b w:val="0"/>
              <w:sz w:val="22"/>
              <w:szCs w:val="22"/>
            </w:rPr>
          </w:pPr>
          <w:hyperlink w:anchor="_Toc264274165" w:history="1">
            <w:r w:rsidR="00F77AF3" w:rsidRPr="008B6DA3">
              <w:rPr>
                <w:rStyle w:val="Hyperlink"/>
                <w:rFonts w:asciiTheme="minorHAnsi" w:hAnsiTheme="minorHAnsi"/>
              </w:rPr>
              <w:t xml:space="preserve">DRI Checklist 1 | Methodology Meeting </w:t>
            </w:r>
            <w:r w:rsidR="00F77AF3" w:rsidRPr="008B6DA3">
              <w:rPr>
                <w:rFonts w:asciiTheme="minorHAnsi" w:eastAsiaTheme="minorEastAsia" w:hAnsiTheme="minorHAnsi" w:cstheme="minorBidi"/>
                <w:b w:val="0"/>
                <w:sz w:val="22"/>
                <w:szCs w:val="22"/>
              </w:rPr>
              <w:tab/>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_Toc264274165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154</w:t>
            </w:r>
            <w:r w:rsidRPr="008B6DA3">
              <w:rPr>
                <w:rFonts w:asciiTheme="minorHAnsi" w:hAnsiTheme="minorHAnsi"/>
                <w:webHidden/>
              </w:rPr>
              <w:fldChar w:fldCharType="end"/>
            </w:r>
          </w:hyperlink>
        </w:p>
        <w:p w:rsidR="00F77AF3" w:rsidRPr="008B6DA3" w:rsidRDefault="00745389">
          <w:pPr>
            <w:pStyle w:val="TOC2"/>
            <w:rPr>
              <w:rFonts w:asciiTheme="minorHAnsi" w:eastAsiaTheme="minorEastAsia" w:hAnsiTheme="minorHAnsi" w:cstheme="minorBidi"/>
              <w:b w:val="0"/>
              <w:sz w:val="22"/>
              <w:szCs w:val="22"/>
            </w:rPr>
          </w:pPr>
          <w:hyperlink w:anchor="_Toc264274166" w:history="1">
            <w:r w:rsidR="00F77AF3" w:rsidRPr="008B6DA3">
              <w:rPr>
                <w:rStyle w:val="Hyperlink"/>
                <w:rFonts w:asciiTheme="minorHAnsi" w:hAnsiTheme="minorHAnsi"/>
              </w:rPr>
              <w:t>DRI Checklist 2 |   ADA Sufficiency Review</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_Toc264274166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158</w:t>
            </w:r>
            <w:r w:rsidRPr="008B6DA3">
              <w:rPr>
                <w:rFonts w:asciiTheme="minorHAnsi" w:hAnsiTheme="minorHAnsi"/>
                <w:webHidden/>
              </w:rPr>
              <w:fldChar w:fldCharType="end"/>
            </w:r>
          </w:hyperlink>
        </w:p>
        <w:p w:rsidR="00F77AF3" w:rsidRPr="008B6DA3" w:rsidRDefault="00745389">
          <w:pPr>
            <w:pStyle w:val="TOC2"/>
            <w:tabs>
              <w:tab w:val="left" w:pos="4102"/>
            </w:tabs>
            <w:rPr>
              <w:rFonts w:asciiTheme="minorHAnsi" w:eastAsiaTheme="minorEastAsia" w:hAnsiTheme="minorHAnsi" w:cstheme="minorBidi"/>
              <w:b w:val="0"/>
              <w:sz w:val="22"/>
              <w:szCs w:val="22"/>
            </w:rPr>
          </w:pPr>
          <w:hyperlink w:anchor="_Toc264274167" w:history="1">
            <w:r w:rsidR="00F77AF3" w:rsidRPr="008B6DA3">
              <w:rPr>
                <w:rStyle w:val="Hyperlink"/>
                <w:rFonts w:asciiTheme="minorHAnsi" w:hAnsiTheme="minorHAnsi"/>
              </w:rPr>
              <w:t>DRI Checklist 3 | ADA Review</w:t>
            </w:r>
            <w:r w:rsidR="008B6DA3" w:rsidRPr="008B6DA3">
              <w:rPr>
                <w:rStyle w:val="Hyperlink"/>
                <w:rFonts w:asciiTheme="minorHAnsi" w:hAnsiTheme="minorHAnsi"/>
              </w:rPr>
              <w:tab/>
            </w:r>
            <w:r w:rsidR="008B6DA3" w:rsidRPr="008B6DA3">
              <w:rPr>
                <w:rStyle w:val="Hyperlink"/>
                <w:rFonts w:asciiTheme="minorHAnsi" w:hAnsiTheme="minorHAnsi"/>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_Toc264274167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159</w:t>
            </w:r>
            <w:r w:rsidRPr="008B6DA3">
              <w:rPr>
                <w:rFonts w:asciiTheme="minorHAnsi" w:hAnsiTheme="minorHAnsi"/>
                <w:webHidden/>
              </w:rPr>
              <w:fldChar w:fldCharType="end"/>
            </w:r>
          </w:hyperlink>
        </w:p>
        <w:p w:rsidR="00F77AF3" w:rsidRPr="008B6DA3" w:rsidRDefault="00745389">
          <w:pPr>
            <w:pStyle w:val="TOC2"/>
            <w:rPr>
              <w:rFonts w:asciiTheme="minorHAnsi" w:eastAsiaTheme="minorEastAsia" w:hAnsiTheme="minorHAnsi" w:cstheme="minorBidi"/>
              <w:b w:val="0"/>
              <w:sz w:val="22"/>
              <w:szCs w:val="22"/>
            </w:rPr>
          </w:pPr>
          <w:hyperlink w:anchor="_Toc264274168" w:history="1">
            <w:r w:rsidR="00F77AF3" w:rsidRPr="008B6DA3">
              <w:rPr>
                <w:rStyle w:val="Hyperlink"/>
                <w:rFonts w:asciiTheme="minorHAnsi" w:hAnsiTheme="minorHAnsi"/>
              </w:rPr>
              <w:t>DRI Checklist 4 | DO Review</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_Toc264274168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165</w:t>
            </w:r>
            <w:r w:rsidRPr="008B6DA3">
              <w:rPr>
                <w:rFonts w:asciiTheme="minorHAnsi" w:hAnsiTheme="minorHAnsi"/>
                <w:webHidden/>
              </w:rPr>
              <w:fldChar w:fldCharType="end"/>
            </w:r>
          </w:hyperlink>
        </w:p>
        <w:p w:rsidR="00F77AF3" w:rsidRPr="008B6DA3" w:rsidRDefault="00745389">
          <w:pPr>
            <w:pStyle w:val="TOC2"/>
            <w:rPr>
              <w:rFonts w:asciiTheme="minorHAnsi" w:eastAsiaTheme="minorEastAsia" w:hAnsiTheme="minorHAnsi" w:cstheme="minorBidi"/>
              <w:b w:val="0"/>
              <w:sz w:val="22"/>
              <w:szCs w:val="22"/>
            </w:rPr>
          </w:pPr>
          <w:hyperlink w:anchor="_Toc264274169" w:history="1">
            <w:r w:rsidR="00F77AF3" w:rsidRPr="008B6DA3">
              <w:rPr>
                <w:rStyle w:val="Hyperlink"/>
                <w:rFonts w:asciiTheme="minorHAnsi" w:hAnsiTheme="minorHAnsi"/>
              </w:rPr>
              <w:t>DRI Checklist 5 | Project Monitoring &amp; Report Review</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_Toc264274169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167</w:t>
            </w:r>
            <w:r w:rsidRPr="008B6DA3">
              <w:rPr>
                <w:rFonts w:asciiTheme="minorHAnsi" w:hAnsiTheme="minorHAnsi"/>
                <w:webHidden/>
              </w:rPr>
              <w:fldChar w:fldCharType="end"/>
            </w:r>
          </w:hyperlink>
        </w:p>
        <w:p w:rsidR="00F77AF3" w:rsidRPr="008B6DA3" w:rsidRDefault="00745389">
          <w:pPr>
            <w:pStyle w:val="TOC2"/>
            <w:rPr>
              <w:rFonts w:asciiTheme="minorHAnsi" w:eastAsiaTheme="minorEastAsia" w:hAnsiTheme="minorHAnsi" w:cstheme="minorBidi"/>
              <w:b w:val="0"/>
              <w:sz w:val="22"/>
              <w:szCs w:val="22"/>
            </w:rPr>
          </w:pPr>
          <w:hyperlink w:anchor="_Toc264274170" w:history="1">
            <w:r w:rsidR="00F77AF3" w:rsidRPr="008B6DA3">
              <w:rPr>
                <w:rStyle w:val="Hyperlink"/>
                <w:rFonts w:asciiTheme="minorHAnsi" w:hAnsiTheme="minorHAnsi"/>
              </w:rPr>
              <w:t>DRI Checklist 6 | Conceptual Site Access Review</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_Toc264274170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169</w:t>
            </w:r>
            <w:r w:rsidRPr="008B6DA3">
              <w:rPr>
                <w:rFonts w:asciiTheme="minorHAnsi" w:hAnsiTheme="minorHAnsi"/>
                <w:webHidden/>
              </w:rPr>
              <w:fldChar w:fldCharType="end"/>
            </w:r>
          </w:hyperlink>
        </w:p>
        <w:p w:rsidR="00F77AF3" w:rsidRPr="008B6DA3" w:rsidRDefault="00745389">
          <w:pPr>
            <w:pStyle w:val="TOC2"/>
            <w:rPr>
              <w:rFonts w:asciiTheme="minorHAnsi" w:eastAsiaTheme="minorEastAsia" w:hAnsiTheme="minorHAnsi" w:cstheme="minorBidi"/>
              <w:b w:val="0"/>
              <w:sz w:val="22"/>
              <w:szCs w:val="22"/>
            </w:rPr>
          </w:pPr>
          <w:hyperlink w:anchor="_Toc264274171" w:history="1">
            <w:r w:rsidR="00F77AF3" w:rsidRPr="008B6DA3">
              <w:rPr>
                <w:rStyle w:val="Hyperlink"/>
                <w:rFonts w:asciiTheme="minorHAnsi" w:hAnsiTheme="minorHAnsi"/>
              </w:rPr>
              <w:t>DRI Checklist 7 | Notice of Proposed Changes/Substantial Deviation Determination</w:t>
            </w:r>
            <w:r w:rsidR="00F77AF3" w:rsidRPr="008B6DA3">
              <w:rPr>
                <w:rFonts w:asciiTheme="minorHAnsi" w:hAnsiTheme="minorHAnsi"/>
                <w:webHidden/>
              </w:rPr>
              <w:tab/>
            </w:r>
            <w:r w:rsidRPr="008B6DA3">
              <w:rPr>
                <w:rFonts w:asciiTheme="minorHAnsi" w:hAnsiTheme="minorHAnsi"/>
                <w:webHidden/>
              </w:rPr>
              <w:fldChar w:fldCharType="begin"/>
            </w:r>
            <w:r w:rsidR="00F77AF3" w:rsidRPr="008B6DA3">
              <w:rPr>
                <w:rFonts w:asciiTheme="minorHAnsi" w:hAnsiTheme="minorHAnsi"/>
                <w:webHidden/>
              </w:rPr>
              <w:instrText xml:space="preserve"> PAGEREF _Toc264274171 \h </w:instrText>
            </w:r>
            <w:r w:rsidRPr="008B6DA3">
              <w:rPr>
                <w:rFonts w:asciiTheme="minorHAnsi" w:hAnsiTheme="minorHAnsi"/>
                <w:webHidden/>
              </w:rPr>
            </w:r>
            <w:r w:rsidRPr="008B6DA3">
              <w:rPr>
                <w:rFonts w:asciiTheme="minorHAnsi" w:hAnsiTheme="minorHAnsi"/>
                <w:webHidden/>
              </w:rPr>
              <w:fldChar w:fldCharType="separate"/>
            </w:r>
            <w:r w:rsidR="00F77AF3" w:rsidRPr="008B6DA3">
              <w:rPr>
                <w:rFonts w:asciiTheme="minorHAnsi" w:hAnsiTheme="minorHAnsi"/>
                <w:webHidden/>
              </w:rPr>
              <w:t>171</w:t>
            </w:r>
            <w:r w:rsidRPr="008B6DA3">
              <w:rPr>
                <w:rFonts w:asciiTheme="minorHAnsi" w:hAnsiTheme="minorHAnsi"/>
                <w:webHidden/>
              </w:rPr>
              <w:fldChar w:fldCharType="end"/>
            </w:r>
          </w:hyperlink>
        </w:p>
        <w:p w:rsidR="00F77AF3" w:rsidRDefault="00745389" w:rsidP="00F77AF3">
          <w:pPr>
            <w:pStyle w:val="TOC1"/>
            <w:rPr>
              <w:rFonts w:asciiTheme="minorHAnsi" w:eastAsiaTheme="minorEastAsia" w:hAnsiTheme="minorHAnsi" w:cstheme="minorBidi"/>
              <w:sz w:val="22"/>
              <w:szCs w:val="22"/>
            </w:rPr>
          </w:pPr>
          <w:hyperlink w:anchor="_Toc264274172" w:history="1">
            <w:r w:rsidR="00F77AF3" w:rsidRPr="00F77AF3">
              <w:rPr>
                <w:rStyle w:val="Hyperlink"/>
                <w:b w:val="0"/>
                <w:sz w:val="20"/>
              </w:rPr>
              <w:t>CHAPTER 5</w:t>
            </w:r>
            <w:r w:rsidR="00F77AF3">
              <w:rPr>
                <w:rStyle w:val="Hyperlink"/>
              </w:rPr>
              <w:t xml:space="preserve">  M</w:t>
            </w:r>
            <w:r w:rsidR="00F77AF3" w:rsidRPr="00FC4F79">
              <w:rPr>
                <w:rStyle w:val="Hyperlink"/>
              </w:rPr>
              <w:t>ITIGATION</w:t>
            </w:r>
            <w:r w:rsidR="00F77AF3">
              <w:rPr>
                <w:webHidden/>
              </w:rPr>
              <w:tab/>
            </w:r>
            <w:r>
              <w:rPr>
                <w:webHidden/>
              </w:rPr>
              <w:fldChar w:fldCharType="begin"/>
            </w:r>
            <w:r w:rsidR="00F77AF3">
              <w:rPr>
                <w:webHidden/>
              </w:rPr>
              <w:instrText xml:space="preserve"> PAGEREF _Toc264274172 \h </w:instrText>
            </w:r>
            <w:r>
              <w:rPr>
                <w:webHidden/>
              </w:rPr>
            </w:r>
            <w:r>
              <w:rPr>
                <w:webHidden/>
              </w:rPr>
              <w:fldChar w:fldCharType="separate"/>
            </w:r>
            <w:r w:rsidR="00F77AF3">
              <w:rPr>
                <w:webHidden/>
              </w:rPr>
              <w:t>173</w:t>
            </w:r>
            <w:r>
              <w:rPr>
                <w:webHidden/>
              </w:rPr>
              <w:fldChar w:fldCharType="end"/>
            </w:r>
          </w:hyperlink>
        </w:p>
        <w:p w:rsidR="00F77AF3" w:rsidRDefault="00745389">
          <w:pPr>
            <w:pStyle w:val="TOC2"/>
            <w:rPr>
              <w:rFonts w:asciiTheme="minorHAnsi" w:eastAsiaTheme="minorEastAsia" w:hAnsiTheme="minorHAnsi" w:cstheme="minorBidi"/>
              <w:b w:val="0"/>
              <w:sz w:val="22"/>
              <w:szCs w:val="22"/>
            </w:rPr>
          </w:pPr>
          <w:hyperlink w:anchor="_Toc264274173" w:history="1">
            <w:r w:rsidR="00F77AF3" w:rsidRPr="00FC4F79">
              <w:rPr>
                <w:rStyle w:val="Hyperlink"/>
              </w:rPr>
              <w:t>5.1  Introduction</w:t>
            </w:r>
            <w:r w:rsidR="00F77AF3">
              <w:rPr>
                <w:webHidden/>
              </w:rPr>
              <w:tab/>
            </w:r>
            <w:r>
              <w:rPr>
                <w:webHidden/>
              </w:rPr>
              <w:fldChar w:fldCharType="begin"/>
            </w:r>
            <w:r w:rsidR="00F77AF3">
              <w:rPr>
                <w:webHidden/>
              </w:rPr>
              <w:instrText xml:space="preserve"> PAGEREF _Toc264274173 \h </w:instrText>
            </w:r>
            <w:r>
              <w:rPr>
                <w:webHidden/>
              </w:rPr>
            </w:r>
            <w:r>
              <w:rPr>
                <w:webHidden/>
              </w:rPr>
              <w:fldChar w:fldCharType="separate"/>
            </w:r>
            <w:r w:rsidR="00F77AF3">
              <w:rPr>
                <w:webHidden/>
              </w:rPr>
              <w:t>173</w:t>
            </w:r>
            <w:r>
              <w:rPr>
                <w:webHidden/>
              </w:rPr>
              <w:fldChar w:fldCharType="end"/>
            </w:r>
          </w:hyperlink>
        </w:p>
        <w:p w:rsidR="00F77AF3" w:rsidRDefault="00745389">
          <w:pPr>
            <w:pStyle w:val="TOC3"/>
            <w:rPr>
              <w:rFonts w:asciiTheme="minorHAnsi" w:eastAsiaTheme="minorEastAsia" w:hAnsiTheme="minorHAnsi" w:cstheme="minorBidi"/>
              <w:sz w:val="22"/>
              <w:szCs w:val="22"/>
            </w:rPr>
          </w:pPr>
          <w:hyperlink w:anchor="_Toc264274174" w:history="1">
            <w:r w:rsidR="00F77AF3" w:rsidRPr="00FC4F79">
              <w:rPr>
                <w:rStyle w:val="Hyperlink"/>
              </w:rPr>
              <w:t>5.1.1  Context-Sensitive Solutions (CSS)</w:t>
            </w:r>
            <w:r w:rsidR="00F77AF3">
              <w:rPr>
                <w:webHidden/>
              </w:rPr>
              <w:tab/>
            </w:r>
            <w:r>
              <w:rPr>
                <w:webHidden/>
              </w:rPr>
              <w:fldChar w:fldCharType="begin"/>
            </w:r>
            <w:r w:rsidR="00F77AF3">
              <w:rPr>
                <w:webHidden/>
              </w:rPr>
              <w:instrText xml:space="preserve"> PAGEREF _Toc264274174 \h </w:instrText>
            </w:r>
            <w:r>
              <w:rPr>
                <w:webHidden/>
              </w:rPr>
            </w:r>
            <w:r>
              <w:rPr>
                <w:webHidden/>
              </w:rPr>
              <w:fldChar w:fldCharType="separate"/>
            </w:r>
            <w:r w:rsidR="00F77AF3">
              <w:rPr>
                <w:webHidden/>
              </w:rPr>
              <w:t>175</w:t>
            </w:r>
            <w:r>
              <w:rPr>
                <w:webHidden/>
              </w:rPr>
              <w:fldChar w:fldCharType="end"/>
            </w:r>
          </w:hyperlink>
        </w:p>
        <w:p w:rsidR="00F77AF3" w:rsidRDefault="00745389">
          <w:pPr>
            <w:pStyle w:val="TOC3"/>
            <w:rPr>
              <w:rFonts w:asciiTheme="minorHAnsi" w:eastAsiaTheme="minorEastAsia" w:hAnsiTheme="minorHAnsi" w:cstheme="minorBidi"/>
              <w:sz w:val="22"/>
              <w:szCs w:val="22"/>
            </w:rPr>
          </w:pPr>
          <w:hyperlink w:anchor="_Toc264274175" w:history="1">
            <w:r w:rsidR="00F77AF3" w:rsidRPr="00FC4F79">
              <w:rPr>
                <w:rStyle w:val="Hyperlink"/>
              </w:rPr>
              <w:t>5.1.2  Development or Land Use Changes</w:t>
            </w:r>
            <w:r w:rsidR="00F77AF3">
              <w:rPr>
                <w:webHidden/>
              </w:rPr>
              <w:tab/>
            </w:r>
            <w:r>
              <w:rPr>
                <w:webHidden/>
              </w:rPr>
              <w:fldChar w:fldCharType="begin"/>
            </w:r>
            <w:r w:rsidR="00F77AF3">
              <w:rPr>
                <w:webHidden/>
              </w:rPr>
              <w:instrText xml:space="preserve"> PAGEREF _Toc264274175 \h </w:instrText>
            </w:r>
            <w:r>
              <w:rPr>
                <w:webHidden/>
              </w:rPr>
            </w:r>
            <w:r>
              <w:rPr>
                <w:webHidden/>
              </w:rPr>
              <w:fldChar w:fldCharType="separate"/>
            </w:r>
            <w:r w:rsidR="00F77AF3">
              <w:rPr>
                <w:webHidden/>
              </w:rPr>
              <w:t>176</w:t>
            </w:r>
            <w:r>
              <w:rPr>
                <w:webHidden/>
              </w:rPr>
              <w:fldChar w:fldCharType="end"/>
            </w:r>
          </w:hyperlink>
        </w:p>
        <w:p w:rsidR="00F77AF3" w:rsidRDefault="00745389">
          <w:pPr>
            <w:pStyle w:val="TOC2"/>
            <w:tabs>
              <w:tab w:val="left" w:pos="1320"/>
            </w:tabs>
            <w:rPr>
              <w:rFonts w:asciiTheme="minorHAnsi" w:eastAsiaTheme="minorEastAsia" w:hAnsiTheme="minorHAnsi" w:cstheme="minorBidi"/>
              <w:b w:val="0"/>
              <w:sz w:val="22"/>
              <w:szCs w:val="22"/>
            </w:rPr>
          </w:pPr>
          <w:hyperlink w:anchor="_Toc264274176" w:history="1">
            <w:r w:rsidR="00F77AF3" w:rsidRPr="00FC4F79">
              <w:rPr>
                <w:rStyle w:val="Hyperlink"/>
              </w:rPr>
              <w:t>5.2</w:t>
            </w:r>
            <w:r w:rsidR="00F77AF3">
              <w:rPr>
                <w:rFonts w:asciiTheme="minorHAnsi" w:eastAsiaTheme="minorEastAsia" w:hAnsiTheme="minorHAnsi" w:cstheme="minorBidi"/>
                <w:b w:val="0"/>
                <w:sz w:val="22"/>
                <w:szCs w:val="22"/>
              </w:rPr>
              <w:tab/>
            </w:r>
            <w:r w:rsidR="00F77AF3" w:rsidRPr="00FC4F79">
              <w:rPr>
                <w:rStyle w:val="Hyperlink"/>
              </w:rPr>
              <w:t>Strategies</w:t>
            </w:r>
            <w:r w:rsidR="00F77AF3">
              <w:rPr>
                <w:webHidden/>
              </w:rPr>
              <w:tab/>
            </w:r>
            <w:r>
              <w:rPr>
                <w:webHidden/>
              </w:rPr>
              <w:fldChar w:fldCharType="begin"/>
            </w:r>
            <w:r w:rsidR="00F77AF3">
              <w:rPr>
                <w:webHidden/>
              </w:rPr>
              <w:instrText xml:space="preserve"> PAGEREF _Toc264274176 \h </w:instrText>
            </w:r>
            <w:r>
              <w:rPr>
                <w:webHidden/>
              </w:rPr>
            </w:r>
            <w:r>
              <w:rPr>
                <w:webHidden/>
              </w:rPr>
              <w:fldChar w:fldCharType="separate"/>
            </w:r>
            <w:r w:rsidR="00F77AF3">
              <w:rPr>
                <w:webHidden/>
              </w:rPr>
              <w:t>177</w:t>
            </w:r>
            <w:r>
              <w:rPr>
                <w:webHidden/>
              </w:rPr>
              <w:fldChar w:fldCharType="end"/>
            </w:r>
          </w:hyperlink>
        </w:p>
        <w:p w:rsidR="00F77AF3" w:rsidRDefault="00745389">
          <w:pPr>
            <w:pStyle w:val="TOC2"/>
            <w:tabs>
              <w:tab w:val="left" w:pos="1320"/>
            </w:tabs>
            <w:rPr>
              <w:rFonts w:asciiTheme="minorHAnsi" w:eastAsiaTheme="minorEastAsia" w:hAnsiTheme="minorHAnsi" w:cstheme="minorBidi"/>
              <w:b w:val="0"/>
              <w:sz w:val="22"/>
              <w:szCs w:val="22"/>
            </w:rPr>
          </w:pPr>
          <w:hyperlink w:anchor="_Toc264274177" w:history="1">
            <w:r w:rsidR="00F77AF3" w:rsidRPr="00FC4F79">
              <w:rPr>
                <w:rStyle w:val="Hyperlink"/>
              </w:rPr>
              <w:t>5.3</w:t>
            </w:r>
            <w:r w:rsidR="00F77AF3">
              <w:rPr>
                <w:rFonts w:asciiTheme="minorHAnsi" w:eastAsiaTheme="minorEastAsia" w:hAnsiTheme="minorHAnsi" w:cstheme="minorBidi"/>
                <w:b w:val="0"/>
                <w:sz w:val="22"/>
                <w:szCs w:val="22"/>
              </w:rPr>
              <w:tab/>
            </w:r>
            <w:r w:rsidR="00F77AF3" w:rsidRPr="00FC4F79">
              <w:rPr>
                <w:rStyle w:val="Hyperlink"/>
              </w:rPr>
              <w:t>Three Basic Categories of Mitigation Strategies</w:t>
            </w:r>
            <w:r w:rsidR="00F77AF3">
              <w:rPr>
                <w:webHidden/>
              </w:rPr>
              <w:tab/>
            </w:r>
            <w:r>
              <w:rPr>
                <w:webHidden/>
              </w:rPr>
              <w:fldChar w:fldCharType="begin"/>
            </w:r>
            <w:r w:rsidR="00F77AF3">
              <w:rPr>
                <w:webHidden/>
              </w:rPr>
              <w:instrText xml:space="preserve"> PAGEREF _Toc264274177 \h </w:instrText>
            </w:r>
            <w:r>
              <w:rPr>
                <w:webHidden/>
              </w:rPr>
            </w:r>
            <w:r>
              <w:rPr>
                <w:webHidden/>
              </w:rPr>
              <w:fldChar w:fldCharType="separate"/>
            </w:r>
            <w:r w:rsidR="00F77AF3">
              <w:rPr>
                <w:webHidden/>
              </w:rPr>
              <w:t>179</w:t>
            </w:r>
            <w:r>
              <w:rPr>
                <w:webHidden/>
              </w:rPr>
              <w:fldChar w:fldCharType="end"/>
            </w:r>
          </w:hyperlink>
        </w:p>
        <w:p w:rsidR="00F77AF3" w:rsidRDefault="00745389">
          <w:pPr>
            <w:pStyle w:val="TOC3"/>
            <w:rPr>
              <w:rFonts w:asciiTheme="minorHAnsi" w:eastAsiaTheme="minorEastAsia" w:hAnsiTheme="minorHAnsi" w:cstheme="minorBidi"/>
              <w:sz w:val="22"/>
              <w:szCs w:val="22"/>
            </w:rPr>
          </w:pPr>
          <w:hyperlink w:anchor="_Toc264274178" w:history="1">
            <w:r w:rsidR="00F77AF3" w:rsidRPr="00FC4F79">
              <w:rPr>
                <w:rStyle w:val="Hyperlink"/>
              </w:rPr>
              <w:t>5.3.1. Enhancing Operational Efficiency on Existing Transportation System</w:t>
            </w:r>
            <w:r w:rsidR="00F77AF3">
              <w:rPr>
                <w:webHidden/>
              </w:rPr>
              <w:tab/>
            </w:r>
            <w:r>
              <w:rPr>
                <w:webHidden/>
              </w:rPr>
              <w:fldChar w:fldCharType="begin"/>
            </w:r>
            <w:r w:rsidR="00F77AF3">
              <w:rPr>
                <w:webHidden/>
              </w:rPr>
              <w:instrText xml:space="preserve"> PAGEREF _Toc264274178 \h </w:instrText>
            </w:r>
            <w:r>
              <w:rPr>
                <w:webHidden/>
              </w:rPr>
            </w:r>
            <w:r>
              <w:rPr>
                <w:webHidden/>
              </w:rPr>
              <w:fldChar w:fldCharType="separate"/>
            </w:r>
            <w:r w:rsidR="00F77AF3">
              <w:rPr>
                <w:webHidden/>
              </w:rPr>
              <w:t>179</w:t>
            </w:r>
            <w:r>
              <w:rPr>
                <w:webHidden/>
              </w:rPr>
              <w:fldChar w:fldCharType="end"/>
            </w:r>
          </w:hyperlink>
        </w:p>
        <w:p w:rsidR="00F77AF3" w:rsidRDefault="00745389">
          <w:pPr>
            <w:pStyle w:val="TOC3"/>
            <w:rPr>
              <w:rFonts w:asciiTheme="minorHAnsi" w:eastAsiaTheme="minorEastAsia" w:hAnsiTheme="minorHAnsi" w:cstheme="minorBidi"/>
              <w:sz w:val="22"/>
              <w:szCs w:val="22"/>
            </w:rPr>
          </w:pPr>
          <w:hyperlink w:anchor="_Toc264274180" w:history="1">
            <w:r w:rsidR="00F77AF3" w:rsidRPr="00FC4F79">
              <w:rPr>
                <w:rStyle w:val="Hyperlink"/>
              </w:rPr>
              <w:t>5.3.2. Increasing Other Modal Options</w:t>
            </w:r>
            <w:r w:rsidR="00F77AF3">
              <w:rPr>
                <w:webHidden/>
              </w:rPr>
              <w:tab/>
            </w:r>
            <w:r>
              <w:rPr>
                <w:webHidden/>
              </w:rPr>
              <w:fldChar w:fldCharType="begin"/>
            </w:r>
            <w:r w:rsidR="00F77AF3">
              <w:rPr>
                <w:webHidden/>
              </w:rPr>
              <w:instrText xml:space="preserve"> PAGEREF _Toc264274180 \h </w:instrText>
            </w:r>
            <w:r>
              <w:rPr>
                <w:webHidden/>
              </w:rPr>
            </w:r>
            <w:r>
              <w:rPr>
                <w:webHidden/>
              </w:rPr>
              <w:fldChar w:fldCharType="separate"/>
            </w:r>
            <w:r w:rsidR="00F77AF3">
              <w:rPr>
                <w:webHidden/>
              </w:rPr>
              <w:t>184</w:t>
            </w:r>
            <w:r>
              <w:rPr>
                <w:webHidden/>
              </w:rPr>
              <w:fldChar w:fldCharType="end"/>
            </w:r>
          </w:hyperlink>
        </w:p>
        <w:p w:rsidR="00F77AF3" w:rsidRDefault="00745389">
          <w:pPr>
            <w:pStyle w:val="TOC3"/>
            <w:rPr>
              <w:rFonts w:asciiTheme="minorHAnsi" w:eastAsiaTheme="minorEastAsia" w:hAnsiTheme="minorHAnsi" w:cstheme="minorBidi"/>
              <w:sz w:val="22"/>
              <w:szCs w:val="22"/>
            </w:rPr>
          </w:pPr>
          <w:hyperlink w:anchor="_Toc264274181" w:history="1">
            <w:r w:rsidR="00F77AF3" w:rsidRPr="00FC4F79">
              <w:rPr>
                <w:rStyle w:val="Hyperlink"/>
              </w:rPr>
              <w:t>5.3.3. Increasing System Capacity</w:t>
            </w:r>
            <w:r w:rsidR="00F77AF3">
              <w:rPr>
                <w:webHidden/>
              </w:rPr>
              <w:tab/>
            </w:r>
            <w:r>
              <w:rPr>
                <w:webHidden/>
              </w:rPr>
              <w:fldChar w:fldCharType="begin"/>
            </w:r>
            <w:r w:rsidR="00F77AF3">
              <w:rPr>
                <w:webHidden/>
              </w:rPr>
              <w:instrText xml:space="preserve"> PAGEREF _Toc264274181 \h </w:instrText>
            </w:r>
            <w:r>
              <w:rPr>
                <w:webHidden/>
              </w:rPr>
            </w:r>
            <w:r>
              <w:rPr>
                <w:webHidden/>
              </w:rPr>
              <w:fldChar w:fldCharType="separate"/>
            </w:r>
            <w:r w:rsidR="00F77AF3">
              <w:rPr>
                <w:webHidden/>
              </w:rPr>
              <w:t>185</w:t>
            </w:r>
            <w:r>
              <w:rPr>
                <w:webHidden/>
              </w:rPr>
              <w:fldChar w:fldCharType="end"/>
            </w:r>
          </w:hyperlink>
        </w:p>
        <w:p w:rsidR="00F77AF3" w:rsidRDefault="00745389">
          <w:pPr>
            <w:pStyle w:val="TOC2"/>
            <w:tabs>
              <w:tab w:val="left" w:pos="1320"/>
            </w:tabs>
            <w:rPr>
              <w:rFonts w:asciiTheme="minorHAnsi" w:eastAsiaTheme="minorEastAsia" w:hAnsiTheme="minorHAnsi" w:cstheme="minorBidi"/>
              <w:b w:val="0"/>
              <w:sz w:val="22"/>
              <w:szCs w:val="22"/>
            </w:rPr>
          </w:pPr>
          <w:hyperlink w:anchor="_Toc264274182" w:history="1">
            <w:r w:rsidR="00F77AF3" w:rsidRPr="00FC4F79">
              <w:rPr>
                <w:rStyle w:val="Hyperlink"/>
              </w:rPr>
              <w:t>5.4</w:t>
            </w:r>
            <w:r w:rsidR="00F77AF3">
              <w:rPr>
                <w:rFonts w:asciiTheme="minorHAnsi" w:eastAsiaTheme="minorEastAsia" w:hAnsiTheme="minorHAnsi" w:cstheme="minorBidi"/>
                <w:b w:val="0"/>
                <w:sz w:val="22"/>
                <w:szCs w:val="22"/>
              </w:rPr>
              <w:tab/>
            </w:r>
            <w:r w:rsidR="00F77AF3" w:rsidRPr="00FC4F79">
              <w:rPr>
                <w:rStyle w:val="Hyperlink"/>
              </w:rPr>
              <w:t>Other Mitigation Strategies:  Land Use</w:t>
            </w:r>
            <w:r w:rsidR="008B6DA3">
              <w:rPr>
                <w:rStyle w:val="Hyperlink"/>
              </w:rPr>
              <w:t xml:space="preserve"> and Transportation Strategies</w:t>
            </w:r>
            <w:r w:rsidR="008B6DA3">
              <w:rPr>
                <w:rStyle w:val="Hyperlink"/>
              </w:rPr>
              <w:tab/>
            </w:r>
            <w:r>
              <w:rPr>
                <w:webHidden/>
              </w:rPr>
              <w:fldChar w:fldCharType="begin"/>
            </w:r>
            <w:r w:rsidR="00F77AF3">
              <w:rPr>
                <w:webHidden/>
              </w:rPr>
              <w:instrText xml:space="preserve"> PAGEREF _Toc264274182 \h </w:instrText>
            </w:r>
            <w:r>
              <w:rPr>
                <w:webHidden/>
              </w:rPr>
            </w:r>
            <w:r>
              <w:rPr>
                <w:webHidden/>
              </w:rPr>
              <w:fldChar w:fldCharType="separate"/>
            </w:r>
            <w:r w:rsidR="00F77AF3">
              <w:rPr>
                <w:webHidden/>
              </w:rPr>
              <w:t>188</w:t>
            </w:r>
            <w:r>
              <w:rPr>
                <w:webHidden/>
              </w:rPr>
              <w:fldChar w:fldCharType="end"/>
            </w:r>
          </w:hyperlink>
        </w:p>
        <w:p w:rsidR="00F77AF3" w:rsidRDefault="00745389">
          <w:pPr>
            <w:pStyle w:val="TOC3"/>
            <w:rPr>
              <w:rFonts w:asciiTheme="minorHAnsi" w:eastAsiaTheme="minorEastAsia" w:hAnsiTheme="minorHAnsi" w:cstheme="minorBidi"/>
              <w:sz w:val="22"/>
              <w:szCs w:val="22"/>
            </w:rPr>
          </w:pPr>
          <w:hyperlink w:anchor="_Toc264274183" w:history="1">
            <w:r w:rsidR="00F77AF3" w:rsidRPr="00FC4F79">
              <w:rPr>
                <w:rStyle w:val="Hyperlink"/>
              </w:rPr>
              <w:t>5.4.1  Transportation Concurrency Alternatives (TCEAs, TCMAs, and MMTDs)</w:t>
            </w:r>
            <w:r w:rsidR="00F77AF3">
              <w:rPr>
                <w:webHidden/>
              </w:rPr>
              <w:tab/>
            </w:r>
            <w:r>
              <w:rPr>
                <w:webHidden/>
              </w:rPr>
              <w:fldChar w:fldCharType="begin"/>
            </w:r>
            <w:r w:rsidR="00F77AF3">
              <w:rPr>
                <w:webHidden/>
              </w:rPr>
              <w:instrText xml:space="preserve"> PAGEREF _Toc264274183 \h </w:instrText>
            </w:r>
            <w:r>
              <w:rPr>
                <w:webHidden/>
              </w:rPr>
            </w:r>
            <w:r>
              <w:rPr>
                <w:webHidden/>
              </w:rPr>
              <w:fldChar w:fldCharType="separate"/>
            </w:r>
            <w:r w:rsidR="00F77AF3">
              <w:rPr>
                <w:webHidden/>
              </w:rPr>
              <w:t>188</w:t>
            </w:r>
            <w:r>
              <w:rPr>
                <w:webHidden/>
              </w:rPr>
              <w:fldChar w:fldCharType="end"/>
            </w:r>
          </w:hyperlink>
        </w:p>
        <w:p w:rsidR="00F77AF3" w:rsidRDefault="00745389">
          <w:pPr>
            <w:pStyle w:val="TOC3"/>
            <w:rPr>
              <w:rFonts w:asciiTheme="minorHAnsi" w:eastAsiaTheme="minorEastAsia" w:hAnsiTheme="minorHAnsi" w:cstheme="minorBidi"/>
              <w:sz w:val="22"/>
              <w:szCs w:val="22"/>
            </w:rPr>
          </w:pPr>
          <w:hyperlink w:anchor="_Toc264274184" w:history="1">
            <w:r w:rsidR="00F77AF3" w:rsidRPr="00FC4F79">
              <w:rPr>
                <w:rStyle w:val="Hyperlink"/>
              </w:rPr>
              <w:t>5.4.2 Long Term Concurrency Management Systems and Variances to FDOT LOS Rule</w:t>
            </w:r>
            <w:r w:rsidR="00F77AF3">
              <w:rPr>
                <w:webHidden/>
              </w:rPr>
              <w:tab/>
            </w:r>
            <w:r>
              <w:rPr>
                <w:webHidden/>
              </w:rPr>
              <w:fldChar w:fldCharType="begin"/>
            </w:r>
            <w:r w:rsidR="00F77AF3">
              <w:rPr>
                <w:webHidden/>
              </w:rPr>
              <w:instrText xml:space="preserve"> PAGEREF _Toc264274184 \h </w:instrText>
            </w:r>
            <w:r>
              <w:rPr>
                <w:webHidden/>
              </w:rPr>
            </w:r>
            <w:r>
              <w:rPr>
                <w:webHidden/>
              </w:rPr>
              <w:fldChar w:fldCharType="separate"/>
            </w:r>
            <w:r w:rsidR="00F77AF3">
              <w:rPr>
                <w:webHidden/>
              </w:rPr>
              <w:t>189</w:t>
            </w:r>
            <w:r>
              <w:rPr>
                <w:webHidden/>
              </w:rPr>
              <w:fldChar w:fldCharType="end"/>
            </w:r>
          </w:hyperlink>
        </w:p>
        <w:p w:rsidR="00F77AF3" w:rsidRDefault="00745389">
          <w:pPr>
            <w:pStyle w:val="TOC3"/>
            <w:rPr>
              <w:rFonts w:asciiTheme="minorHAnsi" w:eastAsiaTheme="minorEastAsia" w:hAnsiTheme="minorHAnsi" w:cstheme="minorBidi"/>
              <w:sz w:val="22"/>
              <w:szCs w:val="22"/>
            </w:rPr>
          </w:pPr>
          <w:hyperlink w:anchor="_Toc264274185" w:history="1">
            <w:r w:rsidR="00F77AF3" w:rsidRPr="00FC4F79">
              <w:rPr>
                <w:rStyle w:val="Hyperlink"/>
              </w:rPr>
              <w:t>5.4.3  Funding of Mitigation Improvements</w:t>
            </w:r>
            <w:r w:rsidR="00F77AF3">
              <w:rPr>
                <w:webHidden/>
              </w:rPr>
              <w:tab/>
            </w:r>
            <w:r>
              <w:rPr>
                <w:webHidden/>
              </w:rPr>
              <w:fldChar w:fldCharType="begin"/>
            </w:r>
            <w:r w:rsidR="00F77AF3">
              <w:rPr>
                <w:webHidden/>
              </w:rPr>
              <w:instrText xml:space="preserve"> PAGEREF _Toc264274185 \h </w:instrText>
            </w:r>
            <w:r>
              <w:rPr>
                <w:webHidden/>
              </w:rPr>
            </w:r>
            <w:r>
              <w:rPr>
                <w:webHidden/>
              </w:rPr>
              <w:fldChar w:fldCharType="separate"/>
            </w:r>
            <w:r w:rsidR="00F77AF3">
              <w:rPr>
                <w:webHidden/>
              </w:rPr>
              <w:t>190</w:t>
            </w:r>
            <w:r>
              <w:rPr>
                <w:webHidden/>
              </w:rPr>
              <w:fldChar w:fldCharType="end"/>
            </w:r>
          </w:hyperlink>
        </w:p>
        <w:p w:rsidR="00F77AF3" w:rsidRDefault="00745389">
          <w:pPr>
            <w:pStyle w:val="TOC3"/>
            <w:rPr>
              <w:rFonts w:asciiTheme="minorHAnsi" w:eastAsiaTheme="minorEastAsia" w:hAnsiTheme="minorHAnsi" w:cstheme="minorBidi"/>
              <w:sz w:val="22"/>
              <w:szCs w:val="22"/>
            </w:rPr>
          </w:pPr>
          <w:hyperlink w:anchor="_Toc264274186" w:history="1">
            <w:r w:rsidR="00F77AF3" w:rsidRPr="00FC4F79">
              <w:rPr>
                <w:rStyle w:val="Hyperlink"/>
              </w:rPr>
              <w:t>5.4.4  Proportionate Share (DRI) Mitigation</w:t>
            </w:r>
            <w:r w:rsidR="00F77AF3">
              <w:rPr>
                <w:webHidden/>
              </w:rPr>
              <w:tab/>
            </w:r>
            <w:r>
              <w:rPr>
                <w:webHidden/>
              </w:rPr>
              <w:fldChar w:fldCharType="begin"/>
            </w:r>
            <w:r w:rsidR="00F77AF3">
              <w:rPr>
                <w:webHidden/>
              </w:rPr>
              <w:instrText xml:space="preserve"> PAGEREF _Toc264274186 \h </w:instrText>
            </w:r>
            <w:r>
              <w:rPr>
                <w:webHidden/>
              </w:rPr>
            </w:r>
            <w:r>
              <w:rPr>
                <w:webHidden/>
              </w:rPr>
              <w:fldChar w:fldCharType="separate"/>
            </w:r>
            <w:r w:rsidR="00F77AF3">
              <w:rPr>
                <w:webHidden/>
              </w:rPr>
              <w:t>192</w:t>
            </w:r>
            <w:r>
              <w:rPr>
                <w:webHidden/>
              </w:rPr>
              <w:fldChar w:fldCharType="end"/>
            </w:r>
          </w:hyperlink>
        </w:p>
        <w:p w:rsidR="00F77AF3" w:rsidRDefault="00745389">
          <w:pPr>
            <w:pStyle w:val="TOC3"/>
            <w:rPr>
              <w:rFonts w:asciiTheme="minorHAnsi" w:eastAsiaTheme="minorEastAsia" w:hAnsiTheme="minorHAnsi" w:cstheme="minorBidi"/>
              <w:sz w:val="22"/>
              <w:szCs w:val="22"/>
            </w:rPr>
          </w:pPr>
          <w:hyperlink w:anchor="_Toc264274187" w:history="1">
            <w:r w:rsidR="00F77AF3" w:rsidRPr="00FC4F79">
              <w:rPr>
                <w:rStyle w:val="Hyperlink"/>
              </w:rPr>
              <w:t>5.4.5  Example Proportionate Share (DRI) Calculations</w:t>
            </w:r>
            <w:r w:rsidR="00F77AF3">
              <w:rPr>
                <w:webHidden/>
              </w:rPr>
              <w:tab/>
            </w:r>
            <w:r>
              <w:rPr>
                <w:webHidden/>
              </w:rPr>
              <w:fldChar w:fldCharType="begin"/>
            </w:r>
            <w:r w:rsidR="00F77AF3">
              <w:rPr>
                <w:webHidden/>
              </w:rPr>
              <w:instrText xml:space="preserve"> PAGEREF _Toc264274187 \h </w:instrText>
            </w:r>
            <w:r>
              <w:rPr>
                <w:webHidden/>
              </w:rPr>
            </w:r>
            <w:r>
              <w:rPr>
                <w:webHidden/>
              </w:rPr>
              <w:fldChar w:fldCharType="separate"/>
            </w:r>
            <w:r w:rsidR="00F77AF3">
              <w:rPr>
                <w:webHidden/>
              </w:rPr>
              <w:t>195</w:t>
            </w:r>
            <w:r>
              <w:rPr>
                <w:webHidden/>
              </w:rPr>
              <w:fldChar w:fldCharType="end"/>
            </w:r>
          </w:hyperlink>
        </w:p>
        <w:p w:rsidR="00F77AF3" w:rsidRDefault="00745389">
          <w:pPr>
            <w:pStyle w:val="TOC3"/>
            <w:rPr>
              <w:rFonts w:asciiTheme="minorHAnsi" w:eastAsiaTheme="minorEastAsia" w:hAnsiTheme="minorHAnsi" w:cstheme="minorBidi"/>
              <w:sz w:val="22"/>
              <w:szCs w:val="22"/>
            </w:rPr>
          </w:pPr>
          <w:hyperlink w:anchor="_Toc264274188" w:history="1">
            <w:r w:rsidR="00F77AF3" w:rsidRPr="00FC4F79">
              <w:rPr>
                <w:rStyle w:val="Hyperlink"/>
              </w:rPr>
              <w:t>5.4.6  Proportionate Fair Share (Sub-DRI) Mitigation</w:t>
            </w:r>
            <w:r w:rsidR="00F77AF3">
              <w:rPr>
                <w:webHidden/>
              </w:rPr>
              <w:tab/>
            </w:r>
            <w:r>
              <w:rPr>
                <w:webHidden/>
              </w:rPr>
              <w:fldChar w:fldCharType="begin"/>
            </w:r>
            <w:r w:rsidR="00F77AF3">
              <w:rPr>
                <w:webHidden/>
              </w:rPr>
              <w:instrText xml:space="preserve"> PAGEREF _Toc264274188 \h </w:instrText>
            </w:r>
            <w:r>
              <w:rPr>
                <w:webHidden/>
              </w:rPr>
            </w:r>
            <w:r>
              <w:rPr>
                <w:webHidden/>
              </w:rPr>
              <w:fldChar w:fldCharType="separate"/>
            </w:r>
            <w:r w:rsidR="00F77AF3">
              <w:rPr>
                <w:webHidden/>
              </w:rPr>
              <w:t>196</w:t>
            </w:r>
            <w:r>
              <w:rPr>
                <w:webHidden/>
              </w:rPr>
              <w:fldChar w:fldCharType="end"/>
            </w:r>
          </w:hyperlink>
        </w:p>
        <w:p w:rsidR="00F77AF3" w:rsidRDefault="00745389">
          <w:pPr>
            <w:pStyle w:val="TOC3"/>
            <w:rPr>
              <w:rFonts w:asciiTheme="minorHAnsi" w:eastAsiaTheme="minorEastAsia" w:hAnsiTheme="minorHAnsi" w:cstheme="minorBidi"/>
              <w:sz w:val="22"/>
              <w:szCs w:val="22"/>
            </w:rPr>
          </w:pPr>
          <w:hyperlink w:anchor="_Toc264274189" w:history="1">
            <w:r w:rsidR="00F77AF3" w:rsidRPr="00FC4F79">
              <w:rPr>
                <w:rStyle w:val="Hyperlink"/>
              </w:rPr>
              <w:t>5.4.7  Examples of Proportionate Fair-Share (Sub-DRI) Mitigation</w:t>
            </w:r>
            <w:r w:rsidR="00F77AF3">
              <w:rPr>
                <w:webHidden/>
              </w:rPr>
              <w:tab/>
            </w:r>
            <w:r>
              <w:rPr>
                <w:webHidden/>
              </w:rPr>
              <w:fldChar w:fldCharType="begin"/>
            </w:r>
            <w:r w:rsidR="00F77AF3">
              <w:rPr>
                <w:webHidden/>
              </w:rPr>
              <w:instrText xml:space="preserve"> PAGEREF _Toc264274189 \h </w:instrText>
            </w:r>
            <w:r>
              <w:rPr>
                <w:webHidden/>
              </w:rPr>
            </w:r>
            <w:r>
              <w:rPr>
                <w:webHidden/>
              </w:rPr>
              <w:fldChar w:fldCharType="separate"/>
            </w:r>
            <w:r w:rsidR="00F77AF3">
              <w:rPr>
                <w:webHidden/>
              </w:rPr>
              <w:t>200</w:t>
            </w:r>
            <w:r>
              <w:rPr>
                <w:webHidden/>
              </w:rPr>
              <w:fldChar w:fldCharType="end"/>
            </w:r>
          </w:hyperlink>
        </w:p>
        <w:p w:rsidR="00F77AF3" w:rsidRDefault="00745389" w:rsidP="00F77AF3">
          <w:pPr>
            <w:pStyle w:val="TOC1"/>
            <w:rPr>
              <w:rFonts w:asciiTheme="minorHAnsi" w:eastAsiaTheme="minorEastAsia" w:hAnsiTheme="minorHAnsi" w:cstheme="minorBidi"/>
              <w:sz w:val="22"/>
              <w:szCs w:val="22"/>
            </w:rPr>
          </w:pPr>
          <w:hyperlink w:anchor="_Toc264274190" w:history="1">
            <w:r w:rsidR="00F77AF3" w:rsidRPr="00FC4F79">
              <w:rPr>
                <w:rStyle w:val="Hyperlink"/>
              </w:rPr>
              <w:t>APPENDIX A</w:t>
            </w:r>
            <w:r w:rsidR="00F77AF3">
              <w:rPr>
                <w:rStyle w:val="Hyperlink"/>
              </w:rPr>
              <w:t xml:space="preserve"> – FDOT Review Chart</w:t>
            </w:r>
            <w:r w:rsidR="00F77AF3">
              <w:rPr>
                <w:webHidden/>
              </w:rPr>
              <w:tab/>
            </w:r>
            <w:r>
              <w:rPr>
                <w:webHidden/>
              </w:rPr>
              <w:fldChar w:fldCharType="begin"/>
            </w:r>
            <w:r w:rsidR="00F77AF3">
              <w:rPr>
                <w:webHidden/>
              </w:rPr>
              <w:instrText xml:space="preserve"> PAGEREF _Toc264274190 \h </w:instrText>
            </w:r>
            <w:r>
              <w:rPr>
                <w:webHidden/>
              </w:rPr>
            </w:r>
            <w:r>
              <w:rPr>
                <w:webHidden/>
              </w:rPr>
              <w:fldChar w:fldCharType="separate"/>
            </w:r>
            <w:r w:rsidR="00F77AF3">
              <w:rPr>
                <w:webHidden/>
              </w:rPr>
              <w:t>203</w:t>
            </w:r>
            <w:r>
              <w:rPr>
                <w:webHidden/>
              </w:rPr>
              <w:fldChar w:fldCharType="end"/>
            </w:r>
          </w:hyperlink>
        </w:p>
        <w:p w:rsidR="00F77AF3" w:rsidRDefault="00745389" w:rsidP="00F77AF3">
          <w:pPr>
            <w:pStyle w:val="TOC1"/>
            <w:rPr>
              <w:rFonts w:asciiTheme="minorHAnsi" w:eastAsiaTheme="minorEastAsia" w:hAnsiTheme="minorHAnsi" w:cstheme="minorBidi"/>
              <w:sz w:val="22"/>
              <w:szCs w:val="22"/>
            </w:rPr>
          </w:pPr>
          <w:hyperlink w:anchor="_Toc264274191" w:history="1">
            <w:r w:rsidR="00F77AF3" w:rsidRPr="00FC4F79">
              <w:rPr>
                <w:rStyle w:val="Hyperlink"/>
              </w:rPr>
              <w:t xml:space="preserve">APPENDIX B </w:t>
            </w:r>
            <w:r w:rsidR="00F77AF3" w:rsidRPr="00F77AF3">
              <w:rPr>
                <w:rStyle w:val="Hyperlink"/>
              </w:rPr>
              <w:t xml:space="preserve">– </w:t>
            </w:r>
            <w:r w:rsidR="00F77AF3" w:rsidRPr="00FC4F79">
              <w:rPr>
                <w:rStyle w:val="Hyperlink"/>
              </w:rPr>
              <w:t>Questions 21 &amp; 22</w:t>
            </w:r>
            <w:r w:rsidR="00F77AF3">
              <w:rPr>
                <w:webHidden/>
              </w:rPr>
              <w:tab/>
            </w:r>
            <w:r>
              <w:rPr>
                <w:webHidden/>
              </w:rPr>
              <w:fldChar w:fldCharType="begin"/>
            </w:r>
            <w:r w:rsidR="00F77AF3">
              <w:rPr>
                <w:webHidden/>
              </w:rPr>
              <w:instrText xml:space="preserve"> PAGEREF _Toc264274191 \h </w:instrText>
            </w:r>
            <w:r>
              <w:rPr>
                <w:webHidden/>
              </w:rPr>
            </w:r>
            <w:r>
              <w:rPr>
                <w:webHidden/>
              </w:rPr>
              <w:fldChar w:fldCharType="separate"/>
            </w:r>
            <w:r w:rsidR="00F77AF3">
              <w:rPr>
                <w:webHidden/>
              </w:rPr>
              <w:t>204</w:t>
            </w:r>
            <w:r>
              <w:rPr>
                <w:webHidden/>
              </w:rPr>
              <w:fldChar w:fldCharType="end"/>
            </w:r>
          </w:hyperlink>
        </w:p>
        <w:p w:rsidR="00F77AF3" w:rsidRDefault="00745389" w:rsidP="00F77AF3">
          <w:pPr>
            <w:pStyle w:val="TOC1"/>
            <w:rPr>
              <w:rFonts w:asciiTheme="minorHAnsi" w:eastAsiaTheme="minorEastAsia" w:hAnsiTheme="minorHAnsi" w:cstheme="minorBidi"/>
              <w:sz w:val="22"/>
              <w:szCs w:val="22"/>
            </w:rPr>
          </w:pPr>
          <w:hyperlink w:anchor="_Toc264274194" w:history="1">
            <w:r w:rsidR="00F77AF3" w:rsidRPr="00FC4F79">
              <w:rPr>
                <w:rStyle w:val="Hyperlink"/>
              </w:rPr>
              <w:t xml:space="preserve">APPENDIX C – </w:t>
            </w:r>
            <w:r w:rsidR="00F77AF3">
              <w:rPr>
                <w:rStyle w:val="Hyperlink"/>
              </w:rPr>
              <w:t>Generic</w:t>
            </w:r>
            <w:r w:rsidR="00F77AF3" w:rsidRPr="00FC4F79">
              <w:rPr>
                <w:rStyle w:val="Hyperlink"/>
              </w:rPr>
              <w:t xml:space="preserve"> Transportation Impact Methodology</w:t>
            </w:r>
            <w:r w:rsidR="00F77AF3">
              <w:rPr>
                <w:webHidden/>
              </w:rPr>
              <w:tab/>
            </w:r>
            <w:r>
              <w:rPr>
                <w:webHidden/>
              </w:rPr>
              <w:fldChar w:fldCharType="begin"/>
            </w:r>
            <w:r w:rsidR="00F77AF3">
              <w:rPr>
                <w:webHidden/>
              </w:rPr>
              <w:instrText xml:space="preserve"> PAGEREF _Toc264274194 \h </w:instrText>
            </w:r>
            <w:r>
              <w:rPr>
                <w:webHidden/>
              </w:rPr>
            </w:r>
            <w:r>
              <w:rPr>
                <w:webHidden/>
              </w:rPr>
              <w:fldChar w:fldCharType="separate"/>
            </w:r>
            <w:r w:rsidR="00F77AF3">
              <w:rPr>
                <w:webHidden/>
              </w:rPr>
              <w:t>207</w:t>
            </w:r>
            <w:r>
              <w:rPr>
                <w:webHidden/>
              </w:rPr>
              <w:fldChar w:fldCharType="end"/>
            </w:r>
          </w:hyperlink>
        </w:p>
        <w:p w:rsidR="00F77AF3" w:rsidRDefault="00745389" w:rsidP="00F77AF3">
          <w:pPr>
            <w:pStyle w:val="TOC1"/>
            <w:rPr>
              <w:rFonts w:asciiTheme="minorHAnsi" w:eastAsiaTheme="minorEastAsia" w:hAnsiTheme="minorHAnsi" w:cstheme="minorBidi"/>
              <w:sz w:val="22"/>
              <w:szCs w:val="22"/>
            </w:rPr>
          </w:pPr>
          <w:hyperlink w:anchor="_Toc264274202" w:history="1">
            <w:r w:rsidR="00F77AF3" w:rsidRPr="00FC4F79">
              <w:rPr>
                <w:rStyle w:val="Hyperlink"/>
              </w:rPr>
              <w:t>APPENDIX D – Sample Proposed Transportation Methodology Comments</w:t>
            </w:r>
            <w:r w:rsidR="00F77AF3">
              <w:rPr>
                <w:rStyle w:val="Hyperlink"/>
              </w:rPr>
              <w:t xml:space="preserve"> (Orchard Park DRI)</w:t>
            </w:r>
            <w:r w:rsidR="00F77AF3">
              <w:rPr>
                <w:webHidden/>
              </w:rPr>
              <w:tab/>
            </w:r>
            <w:r>
              <w:rPr>
                <w:webHidden/>
              </w:rPr>
              <w:fldChar w:fldCharType="begin"/>
            </w:r>
            <w:r w:rsidR="00F77AF3">
              <w:rPr>
                <w:webHidden/>
              </w:rPr>
              <w:instrText xml:space="preserve"> PAGEREF _Toc264274202 \h </w:instrText>
            </w:r>
            <w:r>
              <w:rPr>
                <w:webHidden/>
              </w:rPr>
            </w:r>
            <w:r>
              <w:rPr>
                <w:webHidden/>
              </w:rPr>
              <w:fldChar w:fldCharType="separate"/>
            </w:r>
            <w:r w:rsidR="00F77AF3">
              <w:rPr>
                <w:webHidden/>
              </w:rPr>
              <w:t>213</w:t>
            </w:r>
            <w:r>
              <w:rPr>
                <w:webHidden/>
              </w:rPr>
              <w:fldChar w:fldCharType="end"/>
            </w:r>
          </w:hyperlink>
        </w:p>
        <w:p w:rsidR="00F77AF3" w:rsidRDefault="00745389" w:rsidP="00F77AF3">
          <w:pPr>
            <w:pStyle w:val="TOC1"/>
            <w:rPr>
              <w:rFonts w:asciiTheme="minorHAnsi" w:eastAsiaTheme="minorEastAsia" w:hAnsiTheme="minorHAnsi" w:cstheme="minorBidi"/>
              <w:sz w:val="22"/>
              <w:szCs w:val="22"/>
            </w:rPr>
          </w:pPr>
          <w:hyperlink w:anchor="_Toc264274204" w:history="1">
            <w:r w:rsidR="00F77AF3" w:rsidRPr="00FC4F79">
              <w:rPr>
                <w:rStyle w:val="Hyperlink"/>
              </w:rPr>
              <w:t>APPENDIX E – Sample Proposed Transportation Methodology Comments</w:t>
            </w:r>
            <w:r w:rsidR="00F77AF3">
              <w:rPr>
                <w:webHidden/>
              </w:rPr>
              <w:tab/>
            </w:r>
            <w:r>
              <w:rPr>
                <w:webHidden/>
              </w:rPr>
              <w:fldChar w:fldCharType="begin"/>
            </w:r>
            <w:r w:rsidR="00F77AF3">
              <w:rPr>
                <w:webHidden/>
              </w:rPr>
              <w:instrText xml:space="preserve"> PAGEREF _Toc264274204 \h </w:instrText>
            </w:r>
            <w:r>
              <w:rPr>
                <w:webHidden/>
              </w:rPr>
            </w:r>
            <w:r>
              <w:rPr>
                <w:webHidden/>
              </w:rPr>
              <w:fldChar w:fldCharType="separate"/>
            </w:r>
            <w:r w:rsidR="00F77AF3">
              <w:rPr>
                <w:webHidden/>
              </w:rPr>
              <w:t>215</w:t>
            </w:r>
            <w:r>
              <w:rPr>
                <w:webHidden/>
              </w:rPr>
              <w:fldChar w:fldCharType="end"/>
            </w:r>
          </w:hyperlink>
        </w:p>
        <w:p w:rsidR="00F77AF3" w:rsidRDefault="00745389" w:rsidP="00F77AF3">
          <w:pPr>
            <w:pStyle w:val="TOC1"/>
            <w:rPr>
              <w:rFonts w:asciiTheme="minorHAnsi" w:eastAsiaTheme="minorEastAsia" w:hAnsiTheme="minorHAnsi" w:cstheme="minorBidi"/>
              <w:sz w:val="22"/>
              <w:szCs w:val="22"/>
            </w:rPr>
          </w:pPr>
          <w:hyperlink w:anchor="_Toc264274205" w:history="1">
            <w:r w:rsidR="00F77AF3" w:rsidRPr="00FC4F79">
              <w:rPr>
                <w:rStyle w:val="Hyperlink"/>
              </w:rPr>
              <w:t>APPENDIX F –</w:t>
            </w:r>
            <w:r w:rsidR="00F77AF3">
              <w:rPr>
                <w:rStyle w:val="Hyperlink"/>
              </w:rPr>
              <w:t xml:space="preserve"> </w:t>
            </w:r>
            <w:r w:rsidR="00F77AF3" w:rsidRPr="00FC4F79">
              <w:rPr>
                <w:rStyle w:val="Hyperlink"/>
              </w:rPr>
              <w:t>Example</w:t>
            </w:r>
            <w:r w:rsidR="00F77AF3">
              <w:rPr>
                <w:rStyle w:val="Hyperlink"/>
              </w:rPr>
              <w:t xml:space="preserve"> </w:t>
            </w:r>
            <w:r w:rsidR="00F77AF3" w:rsidRPr="00FC4F79">
              <w:rPr>
                <w:rStyle w:val="Hyperlink"/>
              </w:rPr>
              <w:t>of Modal Development (OMD) Multimodal Sufficiency Comments</w:t>
            </w:r>
            <w:r w:rsidR="00F77AF3">
              <w:rPr>
                <w:webHidden/>
              </w:rPr>
              <w:tab/>
            </w:r>
            <w:r>
              <w:rPr>
                <w:webHidden/>
              </w:rPr>
              <w:fldChar w:fldCharType="begin"/>
            </w:r>
            <w:r w:rsidR="00F77AF3">
              <w:rPr>
                <w:webHidden/>
              </w:rPr>
              <w:instrText xml:space="preserve"> PAGEREF _Toc264274205 \h </w:instrText>
            </w:r>
            <w:r>
              <w:rPr>
                <w:webHidden/>
              </w:rPr>
            </w:r>
            <w:r>
              <w:rPr>
                <w:webHidden/>
              </w:rPr>
              <w:fldChar w:fldCharType="separate"/>
            </w:r>
            <w:r w:rsidR="00F77AF3">
              <w:rPr>
                <w:webHidden/>
              </w:rPr>
              <w:t>219</w:t>
            </w:r>
            <w:r>
              <w:rPr>
                <w:webHidden/>
              </w:rPr>
              <w:fldChar w:fldCharType="end"/>
            </w:r>
          </w:hyperlink>
        </w:p>
        <w:p w:rsidR="00F77AF3" w:rsidRDefault="00745389" w:rsidP="00F77AF3">
          <w:pPr>
            <w:pStyle w:val="TOC1"/>
            <w:rPr>
              <w:rFonts w:asciiTheme="minorHAnsi" w:eastAsiaTheme="minorEastAsia" w:hAnsiTheme="minorHAnsi" w:cstheme="minorBidi"/>
              <w:sz w:val="22"/>
              <w:szCs w:val="22"/>
            </w:rPr>
          </w:pPr>
          <w:hyperlink w:anchor="_Toc264274206" w:history="1">
            <w:r w:rsidR="00F77AF3" w:rsidRPr="00FC4F79">
              <w:rPr>
                <w:rStyle w:val="Hyperlink"/>
              </w:rPr>
              <w:t>APPENDIX G</w:t>
            </w:r>
            <w:r w:rsidR="00F77AF3">
              <w:rPr>
                <w:rStyle w:val="Hyperlink"/>
              </w:rPr>
              <w:t xml:space="preserve"> </w:t>
            </w:r>
            <w:r w:rsidR="00F77AF3" w:rsidRPr="00F77AF3">
              <w:rPr>
                <w:rStyle w:val="Hyperlink"/>
              </w:rPr>
              <w:t xml:space="preserve">– </w:t>
            </w:r>
            <w:r w:rsidR="00F77AF3" w:rsidRPr="00FC4F79">
              <w:rPr>
                <w:rStyle w:val="Hyperlink"/>
              </w:rPr>
              <w:t>Examples of Multimodal NOPC</w:t>
            </w:r>
            <w:r w:rsidR="00F77AF3">
              <w:rPr>
                <w:webHidden/>
              </w:rPr>
              <w:tab/>
            </w:r>
            <w:r>
              <w:rPr>
                <w:webHidden/>
              </w:rPr>
              <w:fldChar w:fldCharType="begin"/>
            </w:r>
            <w:r w:rsidR="00F77AF3">
              <w:rPr>
                <w:webHidden/>
              </w:rPr>
              <w:instrText xml:space="preserve"> PAGEREF _Toc264274206 \h </w:instrText>
            </w:r>
            <w:r>
              <w:rPr>
                <w:webHidden/>
              </w:rPr>
            </w:r>
            <w:r>
              <w:rPr>
                <w:webHidden/>
              </w:rPr>
              <w:fldChar w:fldCharType="separate"/>
            </w:r>
            <w:r w:rsidR="00F77AF3">
              <w:rPr>
                <w:webHidden/>
              </w:rPr>
              <w:t>221</w:t>
            </w:r>
            <w:r>
              <w:rPr>
                <w:webHidden/>
              </w:rPr>
              <w:fldChar w:fldCharType="end"/>
            </w:r>
          </w:hyperlink>
        </w:p>
        <w:p w:rsidR="00F77AF3" w:rsidRDefault="00745389" w:rsidP="00F77AF3">
          <w:pPr>
            <w:pStyle w:val="TOC1"/>
            <w:rPr>
              <w:rFonts w:asciiTheme="minorHAnsi" w:eastAsiaTheme="minorEastAsia" w:hAnsiTheme="minorHAnsi" w:cstheme="minorBidi"/>
              <w:sz w:val="22"/>
              <w:szCs w:val="22"/>
            </w:rPr>
          </w:pPr>
          <w:hyperlink w:anchor="_Toc264274207" w:history="1">
            <w:r w:rsidR="00F77AF3" w:rsidRPr="00FC4F79">
              <w:rPr>
                <w:rStyle w:val="Hyperlink"/>
              </w:rPr>
              <w:t>APPENDIX H – GLOSSARY</w:t>
            </w:r>
            <w:r w:rsidR="00F77AF3">
              <w:rPr>
                <w:webHidden/>
              </w:rPr>
              <w:tab/>
            </w:r>
            <w:r>
              <w:rPr>
                <w:webHidden/>
              </w:rPr>
              <w:fldChar w:fldCharType="begin"/>
            </w:r>
            <w:r w:rsidR="00F77AF3">
              <w:rPr>
                <w:webHidden/>
              </w:rPr>
              <w:instrText xml:space="preserve"> PAGEREF _Toc264274207 \h </w:instrText>
            </w:r>
            <w:r>
              <w:rPr>
                <w:webHidden/>
              </w:rPr>
            </w:r>
            <w:r>
              <w:rPr>
                <w:webHidden/>
              </w:rPr>
              <w:fldChar w:fldCharType="separate"/>
            </w:r>
            <w:r w:rsidR="00F77AF3">
              <w:rPr>
                <w:webHidden/>
              </w:rPr>
              <w:t>223</w:t>
            </w:r>
            <w:r>
              <w:rPr>
                <w:webHidden/>
              </w:rPr>
              <w:fldChar w:fldCharType="end"/>
            </w:r>
          </w:hyperlink>
        </w:p>
        <w:p w:rsidR="00E9518D" w:rsidRDefault="00745389">
          <w:r>
            <w:fldChar w:fldCharType="end"/>
          </w:r>
        </w:p>
      </w:sdtContent>
    </w:sdt>
    <w:p w:rsidR="003F432A" w:rsidRDefault="003F432A" w:rsidP="003F432A">
      <w:pPr>
        <w:rPr>
          <w:color w:val="FFFFFF" w:themeColor="background1"/>
        </w:rPr>
        <w:sectPr w:rsidR="003F432A" w:rsidSect="003F432A">
          <w:headerReference w:type="default" r:id="rId11"/>
          <w:type w:val="continuous"/>
          <w:pgSz w:w="12240" w:h="15840"/>
          <w:pgMar w:top="1440" w:right="720" w:bottom="1440" w:left="1152" w:header="720" w:footer="720" w:gutter="0"/>
          <w:cols w:space="720"/>
          <w:docGrid w:linePitch="360"/>
        </w:sectPr>
      </w:pPr>
    </w:p>
    <w:tbl>
      <w:tblPr>
        <w:tblW w:w="10375" w:type="dxa"/>
        <w:tblLayout w:type="fixed"/>
        <w:tblLook w:val="0000"/>
      </w:tblPr>
      <w:tblGrid>
        <w:gridCol w:w="2455"/>
        <w:gridCol w:w="7920"/>
      </w:tblGrid>
      <w:tr w:rsidR="00225952" w:rsidRPr="00BA502C" w:rsidTr="00225952">
        <w:trPr>
          <w:trHeight w:val="891"/>
        </w:trPr>
        <w:tc>
          <w:tcPr>
            <w:tcW w:w="2455" w:type="dxa"/>
            <w:vMerge w:val="restart"/>
            <w:tcMar>
              <w:left w:w="0" w:type="dxa"/>
              <w:right w:w="0" w:type="dxa"/>
            </w:tcMar>
            <w:vAlign w:val="bottom"/>
          </w:tcPr>
          <w:p w:rsidR="003F432A" w:rsidRPr="003F432A" w:rsidRDefault="003F432A" w:rsidP="003F432A">
            <w:pPr>
              <w:rPr>
                <w:color w:val="FFFFFF" w:themeColor="background1"/>
              </w:rPr>
            </w:pPr>
            <w:r w:rsidRPr="003F432A">
              <w:rPr>
                <w:color w:val="FFFFFF" w:themeColor="background1"/>
              </w:rPr>
              <w:lastRenderedPageBreak/>
              <w:t xml:space="preserve">. </w:t>
            </w:r>
          </w:p>
          <w:p w:rsidR="003F432A" w:rsidRDefault="003F432A" w:rsidP="00225952">
            <w:pPr>
              <w:jc w:val="right"/>
              <w:rPr>
                <w:rFonts w:ascii="Tahoma" w:hAnsi="Tahoma" w:cs="Tahoma"/>
                <w:color w:val="008080"/>
                <w:sz w:val="160"/>
                <w:szCs w:val="196"/>
              </w:rPr>
            </w:pPr>
          </w:p>
          <w:p w:rsidR="00225952" w:rsidRPr="00C50406" w:rsidRDefault="00225952" w:rsidP="00225952">
            <w:pPr>
              <w:jc w:val="right"/>
              <w:rPr>
                <w:rFonts w:ascii="Tahoma" w:hAnsi="Tahoma" w:cs="Tahoma"/>
                <w:color w:val="008080"/>
                <w:sz w:val="196"/>
                <w:szCs w:val="196"/>
              </w:rPr>
            </w:pPr>
            <w:r w:rsidRPr="00C50406">
              <w:rPr>
                <w:rFonts w:ascii="Tahoma" w:hAnsi="Tahoma" w:cs="Tahoma"/>
                <w:color w:val="008080"/>
                <w:sz w:val="160"/>
                <w:szCs w:val="196"/>
              </w:rPr>
              <w:t>1</w:t>
            </w:r>
          </w:p>
        </w:tc>
        <w:tc>
          <w:tcPr>
            <w:tcW w:w="7920" w:type="dxa"/>
            <w:tcMar>
              <w:left w:w="0" w:type="dxa"/>
              <w:right w:w="0" w:type="dxa"/>
            </w:tcMar>
          </w:tcPr>
          <w:p w:rsidR="00225952" w:rsidRPr="00D86707" w:rsidRDefault="00225952" w:rsidP="00225952">
            <w:r>
              <w:rPr>
                <w:noProof/>
              </w:rPr>
              <w:drawing>
                <wp:inline distT="0" distB="0" distL="0" distR="0">
                  <wp:extent cx="4897642" cy="3985146"/>
                  <wp:effectExtent l="19050" t="0" r="0" b="0"/>
                  <wp:docPr id="9" name="Picture 4" descr="C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1.jpg"/>
                          <pic:cNvPicPr/>
                        </pic:nvPicPr>
                        <pic:blipFill>
                          <a:blip r:embed="rId12" cstate="print"/>
                          <a:srcRect l="2711"/>
                          <a:stretch>
                            <a:fillRect/>
                          </a:stretch>
                        </pic:blipFill>
                        <pic:spPr>
                          <a:xfrm>
                            <a:off x="0" y="0"/>
                            <a:ext cx="4897642" cy="3985146"/>
                          </a:xfrm>
                          <a:prstGeom prst="rect">
                            <a:avLst/>
                          </a:prstGeom>
                        </pic:spPr>
                      </pic:pic>
                    </a:graphicData>
                  </a:graphic>
                </wp:inline>
              </w:drawing>
            </w:r>
          </w:p>
        </w:tc>
      </w:tr>
      <w:tr w:rsidR="00225952" w:rsidRPr="00BA502C" w:rsidTr="00225952">
        <w:trPr>
          <w:trHeight w:val="891"/>
        </w:trPr>
        <w:tc>
          <w:tcPr>
            <w:tcW w:w="2455" w:type="dxa"/>
            <w:vMerge/>
            <w:tcMar>
              <w:left w:w="0" w:type="dxa"/>
              <w:right w:w="0" w:type="dxa"/>
            </w:tcMar>
          </w:tcPr>
          <w:p w:rsidR="00225952" w:rsidRPr="004D21A6" w:rsidRDefault="00225952" w:rsidP="00225952">
            <w:pPr>
              <w:jc w:val="right"/>
              <w:rPr>
                <w:rFonts w:ascii="Tahoma" w:hAnsi="Tahoma" w:cs="Tahoma"/>
                <w:color w:val="4F6228"/>
                <w:sz w:val="72"/>
                <w:szCs w:val="72"/>
              </w:rPr>
            </w:pPr>
          </w:p>
        </w:tc>
        <w:tc>
          <w:tcPr>
            <w:tcW w:w="7920" w:type="dxa"/>
            <w:tcMar>
              <w:left w:w="0" w:type="dxa"/>
              <w:right w:w="0" w:type="dxa"/>
            </w:tcMar>
          </w:tcPr>
          <w:p w:rsidR="00225952" w:rsidRPr="00BA502C" w:rsidRDefault="00CC002A" w:rsidP="00CC002A">
            <w:pPr>
              <w:pStyle w:val="Heading1"/>
            </w:pPr>
            <w:bookmarkStart w:id="0" w:name="_INTRODUCTION"/>
            <w:bookmarkStart w:id="1" w:name="_Toc230351949"/>
            <w:bookmarkStart w:id="2" w:name="_Toc232341335"/>
            <w:bookmarkStart w:id="3" w:name="_Toc232912573"/>
            <w:bookmarkStart w:id="4" w:name="_Toc264274054"/>
            <w:bookmarkEnd w:id="0"/>
            <w:r w:rsidRPr="00D86707">
              <w:t>Introduction</w:t>
            </w:r>
            <w:bookmarkEnd w:id="1"/>
            <w:bookmarkEnd w:id="2"/>
            <w:bookmarkEnd w:id="3"/>
            <w:bookmarkEnd w:id="4"/>
          </w:p>
        </w:tc>
      </w:tr>
      <w:tr w:rsidR="00225952" w:rsidRPr="00380CF5" w:rsidTr="00225952">
        <w:trPr>
          <w:trHeight w:val="639"/>
        </w:trPr>
        <w:tc>
          <w:tcPr>
            <w:tcW w:w="10375" w:type="dxa"/>
            <w:gridSpan w:val="2"/>
          </w:tcPr>
          <w:p w:rsidR="00225952" w:rsidRPr="00BA502C" w:rsidRDefault="00225952" w:rsidP="00225952">
            <w:pPr>
              <w:pStyle w:val="Heading2"/>
            </w:pPr>
            <w:bookmarkStart w:id="5" w:name="_Toc232912574"/>
            <w:bookmarkStart w:id="6" w:name="_Toc264274055"/>
            <w:r w:rsidRPr="00D86707">
              <w:t>1.1 Introduction</w:t>
            </w:r>
            <w:bookmarkEnd w:id="5"/>
            <w:bookmarkEnd w:id="6"/>
          </w:p>
        </w:tc>
      </w:tr>
      <w:tr w:rsidR="00225952" w:rsidRPr="00380CF5" w:rsidTr="00225952">
        <w:trPr>
          <w:trHeight w:val="3015"/>
        </w:trPr>
        <w:tc>
          <w:tcPr>
            <w:tcW w:w="2455" w:type="dxa"/>
          </w:tcPr>
          <w:p w:rsidR="00225952" w:rsidRDefault="00225952" w:rsidP="00225952">
            <w:pPr>
              <w:rPr>
                <w:noProof/>
              </w:rPr>
            </w:pPr>
            <w:bookmarkStart w:id="7" w:name="_Toc227993583"/>
          </w:p>
          <w:bookmarkEnd w:id="7"/>
          <w:p w:rsidR="00225952" w:rsidRPr="00EE4CA5" w:rsidRDefault="00225952" w:rsidP="00225952"/>
        </w:tc>
        <w:tc>
          <w:tcPr>
            <w:tcW w:w="7920" w:type="dxa"/>
          </w:tcPr>
          <w:p w:rsidR="00225952" w:rsidRPr="004B4486" w:rsidRDefault="00225952" w:rsidP="00225952">
            <w:pPr>
              <w:rPr>
                <w:i/>
              </w:rPr>
            </w:pPr>
            <w:r w:rsidRPr="004B4486">
              <w:rPr>
                <w:i/>
              </w:rPr>
              <w:t xml:space="preserve">The </w:t>
            </w:r>
            <w:bookmarkStart w:id="8" w:name="OLE_LINK1"/>
            <w:bookmarkStart w:id="9" w:name="OLE_LINK2"/>
            <w:r w:rsidRPr="004B4486">
              <w:rPr>
                <w:i/>
              </w:rPr>
              <w:t xml:space="preserve">Florida Department of Transportation </w:t>
            </w:r>
            <w:bookmarkEnd w:id="8"/>
            <w:bookmarkEnd w:id="9"/>
            <w:r w:rsidRPr="004B4486">
              <w:rPr>
                <w:i/>
              </w:rPr>
              <w:t>(FDOT</w:t>
            </w:r>
            <w:r>
              <w:rPr>
                <w:i/>
              </w:rPr>
              <w:t>)</w:t>
            </w:r>
            <w:r w:rsidRPr="004B4486">
              <w:rPr>
                <w:i/>
              </w:rPr>
              <w:t xml:space="preserve"> has </w:t>
            </w:r>
            <w:r>
              <w:rPr>
                <w:i/>
              </w:rPr>
              <w:t xml:space="preserve">developed these </w:t>
            </w:r>
            <w:r w:rsidRPr="004B4486">
              <w:rPr>
                <w:i/>
              </w:rPr>
              <w:t>guidelines</w:t>
            </w:r>
            <w:r>
              <w:rPr>
                <w:i/>
              </w:rPr>
              <w:t xml:space="preserve"> to </w:t>
            </w:r>
            <w:r w:rsidRPr="004B4486">
              <w:rPr>
                <w:i/>
              </w:rPr>
              <w:t xml:space="preserve">assist FDOT staff in their review of developments. While this handbook is primarily for FDOT staff, it is available to local governments and other transportation partners in an effort to communicate the FDOT’s expectations and criteria for reviewing various documents. This update has been titled “Transportation Impact Handbook” to reflect the broader scope of work including local government comprehensive plans, growth management responsibilities, and multimodal transportation – rather than simply traffic analysis. </w:t>
            </w:r>
            <w:r>
              <w:rPr>
                <w:i/>
              </w:rPr>
              <w:t>This</w:t>
            </w:r>
            <w:r w:rsidRPr="004B4486">
              <w:rPr>
                <w:i/>
              </w:rPr>
              <w:t xml:space="preserve"> handbook </w:t>
            </w:r>
            <w:r>
              <w:rPr>
                <w:i/>
              </w:rPr>
              <w:t>is</w:t>
            </w:r>
            <w:r w:rsidRPr="004B4486">
              <w:rPr>
                <w:i/>
              </w:rPr>
              <w:t xml:space="preserve"> designed to reflect legislative and other changes that have taken place since 1997.</w:t>
            </w:r>
          </w:p>
        </w:tc>
      </w:tr>
    </w:tbl>
    <w:p w:rsidR="00225952" w:rsidRDefault="00225952" w:rsidP="00225952">
      <w:pPr>
        <w:pStyle w:val="Heading2"/>
        <w:sectPr w:rsidR="00225952" w:rsidSect="003F432A">
          <w:headerReference w:type="default" r:id="rId13"/>
          <w:type w:val="continuous"/>
          <w:pgSz w:w="12240" w:h="15840"/>
          <w:pgMar w:top="1440" w:right="720" w:bottom="1440" w:left="1152" w:header="720" w:footer="720" w:gutter="0"/>
          <w:cols w:space="720"/>
          <w:docGrid w:linePitch="360"/>
        </w:sectPr>
      </w:pPr>
    </w:p>
    <w:tbl>
      <w:tblPr>
        <w:tblW w:w="10375" w:type="dxa"/>
        <w:tblLayout w:type="fixed"/>
        <w:tblLook w:val="0000"/>
      </w:tblPr>
      <w:tblGrid>
        <w:gridCol w:w="2455"/>
        <w:gridCol w:w="7920"/>
      </w:tblGrid>
      <w:tr w:rsidR="00225952" w:rsidRPr="00380CF5" w:rsidTr="00225952">
        <w:trPr>
          <w:trHeight w:val="666"/>
        </w:trPr>
        <w:tc>
          <w:tcPr>
            <w:tcW w:w="10375" w:type="dxa"/>
            <w:gridSpan w:val="2"/>
          </w:tcPr>
          <w:p w:rsidR="00225952" w:rsidRPr="004B4486" w:rsidRDefault="00225952" w:rsidP="00225952">
            <w:pPr>
              <w:pStyle w:val="Heading2"/>
            </w:pPr>
            <w:bookmarkStart w:id="10" w:name="_Toc232912575"/>
            <w:bookmarkStart w:id="11" w:name="_Toc264274056"/>
            <w:r w:rsidRPr="004B4486">
              <w:lastRenderedPageBreak/>
              <w:t>1.2 Background</w:t>
            </w:r>
            <w:bookmarkEnd w:id="10"/>
            <w:bookmarkEnd w:id="11"/>
          </w:p>
        </w:tc>
      </w:tr>
      <w:tr w:rsidR="00225952" w:rsidRPr="00380CF5" w:rsidTr="008E4376">
        <w:trPr>
          <w:trHeight w:val="2916"/>
        </w:trPr>
        <w:tc>
          <w:tcPr>
            <w:tcW w:w="2455" w:type="dxa"/>
          </w:tcPr>
          <w:p w:rsidR="00225952" w:rsidRDefault="00225952">
            <w:pPr>
              <w:pStyle w:val="Heading4"/>
            </w:pPr>
            <w:r w:rsidRPr="00D86707">
              <w:t>Transportation</w:t>
            </w:r>
            <w:r w:rsidRPr="004B4486">
              <w:br/>
              <w:t xml:space="preserve"> Impact Analysis –</w:t>
            </w:r>
          </w:p>
          <w:p w:rsidR="00225952" w:rsidRDefault="00225952">
            <w:pPr>
              <w:pStyle w:val="SidebarSentence"/>
            </w:pPr>
            <w:r w:rsidRPr="00380CF5">
              <w:t xml:space="preserve">An analysis that </w:t>
            </w:r>
            <w:r>
              <w:t>estimates</w:t>
            </w:r>
            <w:r w:rsidRPr="00380CF5">
              <w:t xml:space="preserve"> and quantifies the specific transportation-related impacts of a development proposal</w:t>
            </w:r>
          </w:p>
        </w:tc>
        <w:tc>
          <w:tcPr>
            <w:tcW w:w="7920" w:type="dxa"/>
          </w:tcPr>
          <w:p w:rsidR="00225952" w:rsidRDefault="00225952" w:rsidP="008E4376">
            <w:pPr>
              <w:spacing w:after="120"/>
            </w:pPr>
            <w:r w:rsidRPr="00380CF5">
              <w:t xml:space="preserve">Growth management in </w:t>
            </w:r>
            <w:smartTag w:uri="urn:schemas-microsoft-com:office:smarttags" w:element="State">
              <w:smartTag w:uri="urn:schemas-microsoft-com:office:smarttags" w:element="place">
                <w:r w:rsidRPr="00380CF5">
                  <w:t>Florida</w:t>
                </w:r>
              </w:smartTag>
            </w:smartTag>
            <w:r w:rsidRPr="00380CF5">
              <w:t xml:space="preserve"> involves review</w:t>
            </w:r>
            <w:r>
              <w:t>ing</w:t>
            </w:r>
            <w:r w:rsidRPr="00380CF5">
              <w:t xml:space="preserve"> proposed developments, comprehensive plan amendments, land development code amendments, </w:t>
            </w:r>
            <w:r>
              <w:t xml:space="preserve">capital improvement budgets, provision of public facilities, </w:t>
            </w:r>
            <w:r w:rsidRPr="00380CF5">
              <w:t xml:space="preserve">proportionate fair share agreements, </w:t>
            </w:r>
            <w:r>
              <w:t xml:space="preserve">Development of Regional Impact (DRI) agreements, </w:t>
            </w:r>
            <w:r w:rsidRPr="00380CF5">
              <w:t xml:space="preserve">and </w:t>
            </w:r>
            <w:r>
              <w:t>E</w:t>
            </w:r>
            <w:r w:rsidRPr="00380CF5">
              <w:t xml:space="preserve">valuation and </w:t>
            </w:r>
            <w:r>
              <w:t>A</w:t>
            </w:r>
            <w:r w:rsidRPr="00380CF5">
              <w:t xml:space="preserve">ppraisal </w:t>
            </w:r>
            <w:r>
              <w:t>R</w:t>
            </w:r>
            <w:r w:rsidRPr="00380CF5">
              <w:t xml:space="preserve">eport </w:t>
            </w:r>
            <w:r>
              <w:t xml:space="preserve">(EAR) </w:t>
            </w:r>
            <w:r w:rsidRPr="00380CF5">
              <w:t xml:space="preserve">based amendments. Since these </w:t>
            </w:r>
            <w:r>
              <w:t xml:space="preserve">local government decisions provide the basis for </w:t>
            </w:r>
            <w:r w:rsidRPr="00380CF5">
              <w:t xml:space="preserve">development approvals, they </w:t>
            </w:r>
            <w:r>
              <w:t>often incorporate</w:t>
            </w:r>
            <w:r w:rsidRPr="00380CF5">
              <w:t xml:space="preserve"> </w:t>
            </w:r>
            <w:r>
              <w:t xml:space="preserve">land use changes and </w:t>
            </w:r>
            <w:r w:rsidRPr="00380CF5">
              <w:t xml:space="preserve">impacts to the transportation network. As such, transportation impact analyses are conducted to evaluate </w:t>
            </w:r>
            <w:r>
              <w:t xml:space="preserve">how </w:t>
            </w:r>
            <w:r w:rsidRPr="00380CF5">
              <w:t>the transportation network</w:t>
            </w:r>
            <w:r>
              <w:t xml:space="preserve"> </w:t>
            </w:r>
            <w:r w:rsidRPr="008D231E">
              <w:t xml:space="preserve">would function </w:t>
            </w:r>
            <w:r>
              <w:t xml:space="preserve">once </w:t>
            </w:r>
            <w:r w:rsidRPr="008D231E">
              <w:t>the proposed land use change or development</w:t>
            </w:r>
            <w:r>
              <w:t xml:space="preserve"> takes place</w:t>
            </w:r>
            <w:r w:rsidRPr="00380CF5">
              <w:t>.</w:t>
            </w:r>
          </w:p>
        </w:tc>
      </w:tr>
      <w:tr w:rsidR="00225952" w:rsidRPr="00380CF5" w:rsidTr="00225952">
        <w:trPr>
          <w:trHeight w:val="630"/>
        </w:trPr>
        <w:tc>
          <w:tcPr>
            <w:tcW w:w="2455" w:type="dxa"/>
          </w:tcPr>
          <w:p w:rsidR="00225952" w:rsidRPr="00380CF5" w:rsidRDefault="00225952" w:rsidP="00225952">
            <w:pPr>
              <w:pStyle w:val="SidebarSentence"/>
            </w:pPr>
          </w:p>
        </w:tc>
        <w:tc>
          <w:tcPr>
            <w:tcW w:w="7920" w:type="dxa"/>
          </w:tcPr>
          <w:p w:rsidR="00225952" w:rsidRDefault="00225952" w:rsidP="00225952">
            <w:r w:rsidRPr="00380CF5">
              <w:t xml:space="preserve">Depending upon the anticipated </w:t>
            </w:r>
            <w:r>
              <w:t>impacts</w:t>
            </w:r>
            <w:r w:rsidRPr="00380CF5">
              <w:t xml:space="preserve">, several state and regional agencies will </w:t>
            </w:r>
            <w:r>
              <w:t xml:space="preserve">have inputs on </w:t>
            </w:r>
            <w:r w:rsidRPr="00380CF5">
              <w:t xml:space="preserve">these approvals. Significant impacts on regional or statewide transportation facilities </w:t>
            </w:r>
            <w:r>
              <w:t xml:space="preserve">are </w:t>
            </w:r>
            <w:r w:rsidRPr="00380CF5">
              <w:t xml:space="preserve">reviewed by the </w:t>
            </w:r>
            <w:r>
              <w:t>FDOT’s</w:t>
            </w:r>
            <w:r w:rsidRPr="00380CF5">
              <w:t xml:space="preserve"> District Growth Management staff</w:t>
            </w:r>
            <w:r>
              <w:t xml:space="preserve"> </w:t>
            </w:r>
            <w:r w:rsidRPr="00380CF5">
              <w:t xml:space="preserve">to ensure that the adopted </w:t>
            </w:r>
            <w:r>
              <w:t xml:space="preserve">performance </w:t>
            </w:r>
            <w:r w:rsidRPr="00380CF5">
              <w:t>standards are achieved and maintained.</w:t>
            </w:r>
          </w:p>
        </w:tc>
      </w:tr>
      <w:tr w:rsidR="00225952" w:rsidRPr="00380CF5" w:rsidTr="00225952">
        <w:tc>
          <w:tcPr>
            <w:tcW w:w="2455" w:type="dxa"/>
          </w:tcPr>
          <w:p w:rsidR="00225952" w:rsidRPr="004B4486" w:rsidRDefault="00225952" w:rsidP="00225952">
            <w:pPr>
              <w:pStyle w:val="Heading4"/>
            </w:pPr>
            <w:r w:rsidRPr="004B4486">
              <w:t xml:space="preserve">Concurrency – </w:t>
            </w:r>
          </w:p>
          <w:p w:rsidR="00225952" w:rsidRDefault="00225952" w:rsidP="00225952">
            <w:pPr>
              <w:pStyle w:val="SidebarSentence"/>
            </w:pPr>
            <w:r>
              <w:t>T</w:t>
            </w:r>
            <w:r w:rsidRPr="00380CF5">
              <w:t>he growth management concept intended to ensure that the necessary public facilities are available concurrent with the impacts of development</w:t>
            </w:r>
          </w:p>
          <w:p w:rsidR="00225952" w:rsidRDefault="00225952" w:rsidP="00225952">
            <w:pPr>
              <w:pStyle w:val="Heading4"/>
            </w:pPr>
          </w:p>
          <w:p w:rsidR="00225952" w:rsidRDefault="00225952" w:rsidP="00225952"/>
          <w:p w:rsidR="004338A0" w:rsidRDefault="004338A0" w:rsidP="00225952"/>
          <w:p w:rsidR="00225952" w:rsidRDefault="00225952" w:rsidP="00225952">
            <w:pPr>
              <w:spacing w:after="0"/>
            </w:pPr>
            <w:r>
              <w:rPr>
                <w:noProof/>
              </w:rPr>
              <w:drawing>
                <wp:inline distT="0" distB="0" distL="0" distR="0">
                  <wp:extent cx="1421765" cy="554990"/>
                  <wp:effectExtent l="0" t="0" r="0" b="0"/>
                  <wp:docPr id="6" name="Picture 5" descr="button_PDFlink.pn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tton_PDFlink.png"/>
                          <pic:cNvPicPr/>
                        </pic:nvPicPr>
                        <pic:blipFill>
                          <a:blip r:embed="rId15" cstate="print"/>
                          <a:stretch>
                            <a:fillRect/>
                          </a:stretch>
                        </pic:blipFill>
                        <pic:spPr>
                          <a:xfrm>
                            <a:off x="0" y="0"/>
                            <a:ext cx="1421765" cy="554990"/>
                          </a:xfrm>
                          <a:prstGeom prst="rect">
                            <a:avLst/>
                          </a:prstGeom>
                        </pic:spPr>
                      </pic:pic>
                    </a:graphicData>
                  </a:graphic>
                </wp:inline>
              </w:drawing>
            </w:r>
          </w:p>
          <w:p w:rsidR="00225952" w:rsidRDefault="00225952" w:rsidP="00225952">
            <w:pPr>
              <w:pStyle w:val="SidebarSentence"/>
              <w:jc w:val="center"/>
            </w:pPr>
            <w:r>
              <w:t>Q/LOS Handbook</w:t>
            </w:r>
          </w:p>
          <w:p w:rsidR="00225952" w:rsidRDefault="00225952" w:rsidP="00225952">
            <w:pPr>
              <w:pStyle w:val="SidebarSentence"/>
              <w:spacing w:after="0"/>
              <w:jc w:val="center"/>
            </w:pPr>
            <w:r w:rsidRPr="005325A9">
              <w:rPr>
                <w:noProof/>
              </w:rPr>
              <w:drawing>
                <wp:inline distT="0" distB="0" distL="0" distR="0">
                  <wp:extent cx="1421765" cy="554990"/>
                  <wp:effectExtent l="0" t="0" r="0" b="0"/>
                  <wp:docPr id="8" name="Picture 5" descr="button_PDFlink.png">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tton_PDFlink.png"/>
                          <pic:cNvPicPr/>
                        </pic:nvPicPr>
                        <pic:blipFill>
                          <a:blip r:embed="rId15" cstate="print"/>
                          <a:stretch>
                            <a:fillRect/>
                          </a:stretch>
                        </pic:blipFill>
                        <pic:spPr>
                          <a:xfrm>
                            <a:off x="0" y="0"/>
                            <a:ext cx="1421765" cy="554990"/>
                          </a:xfrm>
                          <a:prstGeom prst="rect">
                            <a:avLst/>
                          </a:prstGeom>
                        </pic:spPr>
                      </pic:pic>
                    </a:graphicData>
                  </a:graphic>
                </wp:inline>
              </w:drawing>
            </w:r>
          </w:p>
          <w:p w:rsidR="00225952" w:rsidRPr="005325A9" w:rsidRDefault="00225952" w:rsidP="00225952">
            <w:pPr>
              <w:pStyle w:val="SidebarSentence"/>
              <w:jc w:val="center"/>
            </w:pPr>
            <w:r>
              <w:t>Transit Guidelines</w:t>
            </w:r>
          </w:p>
        </w:tc>
        <w:tc>
          <w:tcPr>
            <w:tcW w:w="7920" w:type="dxa"/>
          </w:tcPr>
          <w:p w:rsidR="00225952" w:rsidRDefault="00225952" w:rsidP="006A393F">
            <w:pPr>
              <w:spacing w:after="0"/>
            </w:pPr>
            <w:r w:rsidRPr="00380CF5">
              <w:t>In accordance with Section</w:t>
            </w:r>
            <w:r>
              <w:t>s</w:t>
            </w:r>
            <w:r w:rsidRPr="00380CF5">
              <w:t xml:space="preserve"> </w:t>
            </w:r>
            <w:hyperlink r:id="rId17" w:history="1">
              <w:r w:rsidRPr="00370BB1">
                <w:rPr>
                  <w:rStyle w:val="Hyperlink"/>
                </w:rPr>
                <w:t>163.3184 (3) and (4)</w:t>
              </w:r>
            </w:hyperlink>
            <w:r>
              <w:t>,</w:t>
            </w:r>
            <w:r w:rsidRPr="00380CF5">
              <w:t xml:space="preserve"> </w:t>
            </w:r>
            <w:hyperlink r:id="rId18" w:history="1">
              <w:r w:rsidRPr="00370BB1">
                <w:rPr>
                  <w:rStyle w:val="Hyperlink"/>
                </w:rPr>
                <w:t>334.044</w:t>
              </w:r>
            </w:hyperlink>
            <w:r>
              <w:t>,</w:t>
            </w:r>
            <w:r w:rsidRPr="00380CF5">
              <w:t xml:space="preserve"> and </w:t>
            </w:r>
            <w:hyperlink r:id="rId19" w:history="1">
              <w:r w:rsidRPr="00370BB1">
                <w:rPr>
                  <w:rStyle w:val="Hyperlink"/>
                </w:rPr>
                <w:t>380.06(6)</w:t>
              </w:r>
            </w:hyperlink>
            <w:r w:rsidRPr="00380CF5">
              <w:t>, Florida Statutes (F</w:t>
            </w:r>
            <w:r>
              <w:t>.</w:t>
            </w:r>
            <w:r w:rsidRPr="00380CF5">
              <w:t>S</w:t>
            </w:r>
            <w:r>
              <w:t>.</w:t>
            </w:r>
            <w:r w:rsidRPr="00380CF5">
              <w:t xml:space="preserve">), the </w:t>
            </w:r>
            <w:r>
              <w:t xml:space="preserve">FDOT </w:t>
            </w:r>
            <w:r w:rsidRPr="00380CF5">
              <w:t>is responsible for reviewing local government</w:t>
            </w:r>
            <w:r>
              <w:t xml:space="preserve"> comprehensive</w:t>
            </w:r>
            <w:r w:rsidRPr="00380CF5">
              <w:t xml:space="preserve"> plan</w:t>
            </w:r>
            <w:r>
              <w:t xml:space="preserve"> amendments</w:t>
            </w:r>
            <w:r w:rsidRPr="00380CF5">
              <w:t xml:space="preserve"> and </w:t>
            </w:r>
            <w:r>
              <w:t>D</w:t>
            </w:r>
            <w:r w:rsidRPr="00380CF5">
              <w:t xml:space="preserve">evelopment </w:t>
            </w:r>
            <w:r>
              <w:t>O</w:t>
            </w:r>
            <w:r w:rsidRPr="00380CF5">
              <w:t xml:space="preserve">rders as they relate to transportation impacts on state and regional multimodal facilities. The types of reviews and </w:t>
            </w:r>
            <w:r>
              <w:t xml:space="preserve">the </w:t>
            </w:r>
            <w:r w:rsidRPr="00380CF5">
              <w:t xml:space="preserve">associated statutory and regulatory basis for these reviews are summarized </w:t>
            </w:r>
            <w:r>
              <w:t>o</w:t>
            </w:r>
            <w:r w:rsidRPr="00380CF5">
              <w:t xml:space="preserve">n </w:t>
            </w:r>
            <w:r w:rsidRPr="00160E33">
              <w:rPr>
                <w:b/>
              </w:rPr>
              <w:t>Exhibit 1</w:t>
            </w:r>
            <w:r w:rsidRPr="00380CF5">
              <w:t xml:space="preserve">. </w:t>
            </w:r>
            <w:r>
              <w:t xml:space="preserve">The two main categories of reviews are: </w:t>
            </w:r>
          </w:p>
          <w:p w:rsidR="00225952" w:rsidRPr="006A393F" w:rsidRDefault="00225952" w:rsidP="00BA4326">
            <w:pPr>
              <w:pStyle w:val="Bullet1"/>
              <w:numPr>
                <w:ilvl w:val="0"/>
                <w:numId w:val="1"/>
              </w:numPr>
              <w:ind w:left="648"/>
              <w:rPr>
                <w:b/>
                <w:sz w:val="28"/>
              </w:rPr>
            </w:pPr>
            <w:r w:rsidRPr="006A393F">
              <w:rPr>
                <w:b/>
                <w:sz w:val="28"/>
              </w:rPr>
              <w:t>Local government plan reviews</w:t>
            </w:r>
          </w:p>
          <w:p w:rsidR="00225952" w:rsidRPr="006A393F" w:rsidRDefault="00225952" w:rsidP="006A393F">
            <w:pPr>
              <w:pStyle w:val="Bullet1"/>
              <w:numPr>
                <w:ilvl w:val="0"/>
                <w:numId w:val="1"/>
              </w:numPr>
              <w:spacing w:after="120"/>
              <w:ind w:left="648"/>
              <w:rPr>
                <w:b/>
                <w:sz w:val="28"/>
              </w:rPr>
            </w:pPr>
            <w:r w:rsidRPr="006A393F">
              <w:rPr>
                <w:b/>
                <w:sz w:val="28"/>
              </w:rPr>
              <w:t>Development of regional impact (DRI) reviews</w:t>
            </w:r>
          </w:p>
          <w:p w:rsidR="00225952" w:rsidRDefault="00225952" w:rsidP="00225952">
            <w:r>
              <w:t xml:space="preserve">As indicated on </w:t>
            </w:r>
            <w:r w:rsidRPr="00160E33">
              <w:rPr>
                <w:b/>
              </w:rPr>
              <w:t>Exhibit 1</w:t>
            </w:r>
            <w:r>
              <w:t xml:space="preserve">, various actions related to planning documents require coordination between the FDOT District </w:t>
            </w:r>
            <w:r w:rsidRPr="00380CF5">
              <w:t>Growth Management Coordinators</w:t>
            </w:r>
            <w:r>
              <w:t xml:space="preserve"> and local governments or developers. Local government comprehensive plan (LGCP</w:t>
            </w:r>
            <w:r w:rsidRPr="00380CF5">
              <w:t xml:space="preserve">) </w:t>
            </w:r>
            <w:r>
              <w:t xml:space="preserve">amendment reviews are just one type of review. The DRI review steps shown on </w:t>
            </w:r>
            <w:r w:rsidRPr="00160E33">
              <w:rPr>
                <w:b/>
              </w:rPr>
              <w:t>Exhibit 1</w:t>
            </w:r>
            <w:r>
              <w:t xml:space="preserve"> have been sequentially ordered to serve as a frame of reference. Regardless of the type of review, the FDOT reviewer should work with the local government staff and applicants to identify opportunities to integrate multimodal services into the planning process and create strategies for making communities ready for transit in the future. </w:t>
            </w:r>
          </w:p>
          <w:p w:rsidR="00225952" w:rsidRPr="00380CF5" w:rsidRDefault="00225952" w:rsidP="00225952">
            <w:r>
              <w:t xml:space="preserve">The FDOT’s latest </w:t>
            </w:r>
            <w:hyperlink r:id="rId20" w:history="1">
              <w:r w:rsidRPr="005325A9">
                <w:rPr>
                  <w:rStyle w:val="Hyperlink"/>
                  <w:i/>
                </w:rPr>
                <w:t>Quality/ Level of Service Handbook</w:t>
              </w:r>
            </w:hyperlink>
            <w:r>
              <w:t xml:space="preserve"> and </w:t>
            </w:r>
            <w:bookmarkStart w:id="12" w:name="OLE_LINK3"/>
            <w:bookmarkStart w:id="13" w:name="OLE_LINK4"/>
            <w:r>
              <w:t xml:space="preserve">the </w:t>
            </w:r>
            <w:hyperlink r:id="rId21" w:history="1">
              <w:r w:rsidRPr="000E620F">
                <w:rPr>
                  <w:rStyle w:val="Hyperlink"/>
                  <w:i/>
                </w:rPr>
                <w:t>Guidelines and Performance Measures to Incorporate Transit and Other Multimodal Considerations into the FDOT DRI Review Process</w:t>
              </w:r>
            </w:hyperlink>
            <w:bookmarkEnd w:id="12"/>
            <w:bookmarkEnd w:id="13"/>
            <w:r>
              <w:rPr>
                <w:i/>
              </w:rPr>
              <w:t xml:space="preserve"> </w:t>
            </w:r>
            <w:r w:rsidRPr="0095673A">
              <w:t>both</w:t>
            </w:r>
            <w:r>
              <w:rPr>
                <w:i/>
              </w:rPr>
              <w:t xml:space="preserve"> </w:t>
            </w:r>
            <w:r>
              <w:rPr>
                <w:rFonts w:eastAsia="Batang" w:cs="Calibri"/>
                <w:szCs w:val="23"/>
                <w:lang w:eastAsia="ko-KR"/>
              </w:rPr>
              <w:t xml:space="preserve">provide guidance for </w:t>
            </w:r>
            <w:r>
              <w:rPr>
                <w:rFonts w:eastAsia="Batang" w:cs="Calibri"/>
                <w:szCs w:val="23"/>
                <w:lang w:eastAsia="ko-KR"/>
              </w:rPr>
              <w:lastRenderedPageBreak/>
              <w:t>incorporating transit considerations into the planning process and quantifying multimodal transportation service in the analysis of impacts</w:t>
            </w:r>
            <w:r>
              <w:t xml:space="preserve">. </w:t>
            </w:r>
          </w:p>
        </w:tc>
      </w:tr>
      <w:tr w:rsidR="00225952" w:rsidRPr="00380CF5" w:rsidTr="00225952">
        <w:tc>
          <w:tcPr>
            <w:tcW w:w="2455" w:type="dxa"/>
          </w:tcPr>
          <w:p w:rsidR="00225952" w:rsidRDefault="00225952" w:rsidP="00225952">
            <w:pPr>
              <w:pStyle w:val="FigureNumber"/>
            </w:pPr>
            <w:r w:rsidRPr="004B4486">
              <w:lastRenderedPageBreak/>
              <w:t xml:space="preserve">Exhibit 1 </w:t>
            </w:r>
          </w:p>
          <w:p w:rsidR="00225952" w:rsidRPr="004B4486" w:rsidRDefault="00225952" w:rsidP="00225952">
            <w:pPr>
              <w:pStyle w:val="FigureTitle"/>
            </w:pPr>
            <w:r w:rsidRPr="004B4486">
              <w:t>Examples of Review Types</w:t>
            </w:r>
          </w:p>
          <w:p w:rsidR="00225952" w:rsidRPr="004B4486" w:rsidRDefault="00225952" w:rsidP="00225952">
            <w:pPr>
              <w:pStyle w:val="Heading4"/>
            </w:pPr>
          </w:p>
        </w:tc>
        <w:tc>
          <w:tcPr>
            <w:tcW w:w="7920" w:type="dxa"/>
          </w:tcPr>
          <w:p w:rsidR="00225952" w:rsidRPr="00380CF5" w:rsidRDefault="00225952" w:rsidP="00225952">
            <w:r>
              <w:rPr>
                <w:noProof/>
              </w:rPr>
              <w:drawing>
                <wp:inline distT="0" distB="0" distL="0" distR="0">
                  <wp:extent cx="4891405" cy="2677160"/>
                  <wp:effectExtent l="19050" t="0" r="4445" b="0"/>
                  <wp:docPr id="1" name="Picture 1" descr="Exhibit 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hibit 1.emf"/>
                          <pic:cNvPicPr>
                            <a:picLocks noChangeAspect="1" noChangeArrowheads="1"/>
                          </pic:cNvPicPr>
                        </pic:nvPicPr>
                        <pic:blipFill>
                          <a:blip r:embed="rId22" cstate="print"/>
                          <a:srcRect/>
                          <a:stretch>
                            <a:fillRect/>
                          </a:stretch>
                        </pic:blipFill>
                        <pic:spPr bwMode="auto">
                          <a:xfrm>
                            <a:off x="0" y="0"/>
                            <a:ext cx="4891405" cy="2677160"/>
                          </a:xfrm>
                          <a:prstGeom prst="rect">
                            <a:avLst/>
                          </a:prstGeom>
                          <a:noFill/>
                          <a:ln w="9525">
                            <a:noFill/>
                            <a:miter lim="800000"/>
                            <a:headEnd/>
                            <a:tailEnd/>
                          </a:ln>
                        </pic:spPr>
                      </pic:pic>
                    </a:graphicData>
                  </a:graphic>
                </wp:inline>
              </w:drawing>
            </w:r>
          </w:p>
        </w:tc>
      </w:tr>
      <w:tr w:rsidR="00225952" w:rsidRPr="00380CF5" w:rsidTr="00225952">
        <w:tc>
          <w:tcPr>
            <w:tcW w:w="2455" w:type="dxa"/>
          </w:tcPr>
          <w:p w:rsidR="00225952" w:rsidRDefault="00225952" w:rsidP="00225952">
            <w:pPr>
              <w:pStyle w:val="SidebarSentence"/>
            </w:pPr>
          </w:p>
          <w:p w:rsidR="00225952" w:rsidRDefault="00225952" w:rsidP="00225952">
            <w:pPr>
              <w:pStyle w:val="SidebarSentence"/>
            </w:pPr>
          </w:p>
          <w:p w:rsidR="00225952" w:rsidRPr="001B53BF" w:rsidRDefault="00225952" w:rsidP="00225952">
            <w:pPr>
              <w:pStyle w:val="SidebarSentence"/>
              <w:rPr>
                <w:i w:val="0"/>
                <w:iCs/>
                <w:color w:val="0000FF"/>
              </w:rPr>
            </w:pPr>
            <w:r w:rsidRPr="001B53BF">
              <w:t xml:space="preserve">Please direct your questions </w:t>
            </w:r>
            <w:r w:rsidRPr="001B53BF">
              <w:rPr>
                <w:iCs/>
                <w:color w:val="000000"/>
              </w:rPr>
              <w:t xml:space="preserve">and concerns to your District Growth Management Coordinators or </w:t>
            </w:r>
            <w:r w:rsidRPr="001B53BF">
              <w:rPr>
                <w:iCs/>
                <w:color w:val="000000"/>
              </w:rPr>
              <w:br/>
            </w:r>
            <w:r w:rsidR="00B24CEB">
              <w:rPr>
                <w:iCs/>
                <w:color w:val="000000"/>
              </w:rPr>
              <w:t>Tim Smith</w:t>
            </w:r>
            <w:r>
              <w:rPr>
                <w:rFonts w:ascii="Times New Roman" w:hAnsi="Times New Roman"/>
                <w:iCs/>
                <w:color w:val="000000"/>
                <w:sz w:val="22"/>
                <w:szCs w:val="22"/>
              </w:rPr>
              <w:t xml:space="preserve"> </w:t>
            </w:r>
            <w:hyperlink r:id="rId23" w:history="1">
              <w:r w:rsidR="00F30B41" w:rsidRPr="00F30B41">
                <w:rPr>
                  <w:rStyle w:val="Hyperlink"/>
                  <w:rFonts w:ascii="Calibri" w:hAnsi="Calibri"/>
                  <w:iCs/>
                  <w:spacing w:val="-8"/>
                  <w:sz w:val="18"/>
                  <w:szCs w:val="18"/>
                </w:rPr>
                <w:t>timothy.smith@dot.state.fl.us</w:t>
              </w:r>
            </w:hyperlink>
            <w:r w:rsidRPr="001B53BF">
              <w:rPr>
                <w:iCs/>
                <w:color w:val="0000FF"/>
                <w:spacing w:val="-8"/>
                <w:sz w:val="16"/>
                <w:szCs w:val="16"/>
              </w:rPr>
              <w:t xml:space="preserve"> </w:t>
            </w:r>
            <w:r w:rsidRPr="001B53BF">
              <w:t>850-414-49</w:t>
            </w:r>
            <w:r w:rsidR="000636DE">
              <w:t>06</w:t>
            </w:r>
          </w:p>
          <w:p w:rsidR="00225952" w:rsidRDefault="00225952" w:rsidP="00225952">
            <w:pPr>
              <w:pStyle w:val="SidebarSentence"/>
              <w:rPr>
                <w:rFonts w:ascii="Times New Roman" w:hAnsi="Times New Roman"/>
                <w:iCs/>
                <w:color w:val="000000"/>
                <w:sz w:val="22"/>
                <w:szCs w:val="22"/>
              </w:rPr>
            </w:pPr>
          </w:p>
          <w:p w:rsidR="00225952" w:rsidRDefault="00225952" w:rsidP="00225952">
            <w:pPr>
              <w:pStyle w:val="SidebarSentence"/>
              <w:rPr>
                <w:b/>
                <w:i w:val="0"/>
              </w:rPr>
            </w:pPr>
          </w:p>
        </w:tc>
        <w:tc>
          <w:tcPr>
            <w:tcW w:w="7920" w:type="dxa"/>
          </w:tcPr>
          <w:p w:rsidR="00225952" w:rsidRDefault="00225952" w:rsidP="00225952">
            <w:r w:rsidRPr="00380CF5">
              <w:t xml:space="preserve">The </w:t>
            </w:r>
            <w:r>
              <w:t xml:space="preserve">FDOT </w:t>
            </w:r>
            <w:r w:rsidRPr="00380CF5">
              <w:t xml:space="preserve">Office of Policy Planning (OPP) coordinates with the </w:t>
            </w:r>
            <w:r>
              <w:t xml:space="preserve">FDOT District </w:t>
            </w:r>
            <w:r w:rsidRPr="00380CF5">
              <w:t xml:space="preserve">Growth Management Coordinators and the Department of Community Affairs </w:t>
            </w:r>
            <w:r>
              <w:t xml:space="preserve">(DCA) </w:t>
            </w:r>
            <w:r w:rsidRPr="00380CF5">
              <w:t>in develop</w:t>
            </w:r>
            <w:r>
              <w:t>ing</w:t>
            </w:r>
            <w:r w:rsidRPr="00380CF5">
              <w:t xml:space="preserve"> policies, procedures, and guidelines to assist the Districts and other review agencies with the assessment of transportation impacts associated with growth and development. </w:t>
            </w:r>
            <w:r>
              <w:t>Increasing coordination between FDOT, DCA, and local governments will be necessary as communities identify desirable growth patterns through strategic regional visioning efforts such as “</w:t>
            </w:r>
            <w:hyperlink r:id="rId24" w:history="1">
              <w:r w:rsidRPr="00B24CEB">
                <w:rPr>
                  <w:rStyle w:val="Hyperlink"/>
                  <w:rFonts w:cstheme="minorBidi"/>
                </w:rPr>
                <w:t>How Shall We Grow</w:t>
              </w:r>
            </w:hyperlink>
            <w:r>
              <w:t xml:space="preserve">”, appropriate mixtures of development, and complementary multimodal transportation networks. </w:t>
            </w:r>
            <w:r w:rsidRPr="00380CF5">
              <w:t>To effectively protect and maintain the transportation network, all professional</w:t>
            </w:r>
            <w:r>
              <w:t>s</w:t>
            </w:r>
            <w:r w:rsidRPr="00380CF5">
              <w:t xml:space="preserve"> will need to work cooperatively to respond to growth management issues, </w:t>
            </w:r>
            <w:r>
              <w:t xml:space="preserve">protect quality of life, </w:t>
            </w:r>
            <w:r w:rsidRPr="00380CF5">
              <w:t xml:space="preserve">and maximize </w:t>
            </w:r>
            <w:r>
              <w:t xml:space="preserve">the </w:t>
            </w:r>
            <w:r w:rsidRPr="00380CF5">
              <w:t xml:space="preserve">use of limited funding. </w:t>
            </w:r>
          </w:p>
          <w:p w:rsidR="00225952" w:rsidRPr="008E4376" w:rsidRDefault="00225952" w:rsidP="00225952">
            <w:pPr>
              <w:spacing w:after="0"/>
              <w:rPr>
                <w:spacing w:val="-2"/>
              </w:rPr>
            </w:pPr>
            <w:r w:rsidRPr="008E4376">
              <w:rPr>
                <w:spacing w:val="-2"/>
              </w:rPr>
              <w:t>When conducting an analysis, professionals will need to be familiar with the following :</w:t>
            </w:r>
          </w:p>
          <w:p w:rsidR="00225952" w:rsidRPr="001E5026" w:rsidRDefault="00225952" w:rsidP="00AD2D7A">
            <w:pPr>
              <w:pStyle w:val="BulletA"/>
              <w:numPr>
                <w:ilvl w:val="0"/>
                <w:numId w:val="78"/>
              </w:numPr>
              <w:spacing w:after="20"/>
            </w:pPr>
            <w:r w:rsidRPr="001E5026">
              <w:t>Local and adjacent comprehensive plans</w:t>
            </w:r>
          </w:p>
          <w:p w:rsidR="00225952" w:rsidRPr="001E5026" w:rsidRDefault="00225952" w:rsidP="00AD2D7A">
            <w:pPr>
              <w:pStyle w:val="BulletA"/>
              <w:numPr>
                <w:ilvl w:val="0"/>
                <w:numId w:val="78"/>
              </w:numPr>
              <w:spacing w:after="20"/>
            </w:pPr>
            <w:r w:rsidRPr="001E5026">
              <w:t>Metropolitan planning organization long rang transportation plans</w:t>
            </w:r>
          </w:p>
          <w:p w:rsidR="00225952" w:rsidRPr="001E5026" w:rsidRDefault="00225952" w:rsidP="00AD2D7A">
            <w:pPr>
              <w:pStyle w:val="BulletA"/>
              <w:numPr>
                <w:ilvl w:val="0"/>
                <w:numId w:val="78"/>
              </w:numPr>
              <w:spacing w:after="20"/>
            </w:pPr>
            <w:r w:rsidRPr="001E5026">
              <w:t>Transit development plans</w:t>
            </w:r>
          </w:p>
          <w:p w:rsidR="00225952" w:rsidRPr="001E5026" w:rsidRDefault="00225952" w:rsidP="00AD2D7A">
            <w:pPr>
              <w:pStyle w:val="BulletA"/>
              <w:numPr>
                <w:ilvl w:val="0"/>
                <w:numId w:val="78"/>
              </w:numPr>
              <w:spacing w:after="20"/>
            </w:pPr>
            <w:r w:rsidRPr="001E5026">
              <w:t>Transportation disadvantaged service plans</w:t>
            </w:r>
          </w:p>
          <w:p w:rsidR="00225952" w:rsidRPr="001E5026" w:rsidRDefault="00225952" w:rsidP="00AD2D7A">
            <w:pPr>
              <w:pStyle w:val="BulletA"/>
              <w:numPr>
                <w:ilvl w:val="0"/>
                <w:numId w:val="78"/>
              </w:numPr>
              <w:spacing w:after="20"/>
            </w:pPr>
            <w:r w:rsidRPr="001E5026">
              <w:t>Transportation demand management resources</w:t>
            </w:r>
          </w:p>
          <w:p w:rsidR="00225952" w:rsidRPr="001E5026" w:rsidRDefault="00225952" w:rsidP="00AD2D7A">
            <w:pPr>
              <w:pStyle w:val="BulletA"/>
              <w:numPr>
                <w:ilvl w:val="0"/>
                <w:numId w:val="78"/>
              </w:numPr>
              <w:spacing w:after="20"/>
            </w:pPr>
            <w:r w:rsidRPr="001E5026">
              <w:t>Commuter assistance programs</w:t>
            </w:r>
          </w:p>
          <w:p w:rsidR="00225952" w:rsidRPr="001E5026" w:rsidRDefault="00225952" w:rsidP="00AD2D7A">
            <w:pPr>
              <w:pStyle w:val="BulletA"/>
              <w:numPr>
                <w:ilvl w:val="0"/>
                <w:numId w:val="78"/>
              </w:numPr>
              <w:spacing w:after="20"/>
            </w:pPr>
            <w:r w:rsidRPr="001E5026">
              <w:t>Bicycle and pedestrian plans</w:t>
            </w:r>
          </w:p>
          <w:p w:rsidR="00225952" w:rsidRPr="001E5026" w:rsidRDefault="00225952" w:rsidP="00AD2D7A">
            <w:pPr>
              <w:pStyle w:val="BulletA"/>
              <w:numPr>
                <w:ilvl w:val="0"/>
                <w:numId w:val="78"/>
              </w:numPr>
              <w:spacing w:after="20"/>
            </w:pPr>
            <w:r w:rsidRPr="001E5026">
              <w:t>Capital improvement elements</w:t>
            </w:r>
          </w:p>
          <w:p w:rsidR="00225952" w:rsidRPr="001E5026" w:rsidRDefault="00225952" w:rsidP="00AD2D7A">
            <w:pPr>
              <w:pStyle w:val="BulletA"/>
              <w:numPr>
                <w:ilvl w:val="0"/>
                <w:numId w:val="78"/>
              </w:numPr>
              <w:spacing w:after="20"/>
            </w:pPr>
            <w:r w:rsidRPr="001E5026">
              <w:t>Proposed amendments</w:t>
            </w:r>
          </w:p>
          <w:p w:rsidR="00225952" w:rsidRPr="001E5026" w:rsidRDefault="00225952" w:rsidP="00AD2D7A">
            <w:pPr>
              <w:pStyle w:val="BulletA"/>
              <w:numPr>
                <w:ilvl w:val="0"/>
                <w:numId w:val="78"/>
              </w:numPr>
              <w:spacing w:after="20"/>
            </w:pPr>
            <w:r w:rsidRPr="001E5026">
              <w:lastRenderedPageBreak/>
              <w:t>Existing or proposed transportation concurrency exception areas (TCEAS), transportation concurrency management areas (TCMAS), multimodal transportation districts (MMTDS)</w:t>
            </w:r>
          </w:p>
          <w:p w:rsidR="00225952" w:rsidRPr="002F3060" w:rsidRDefault="00225952" w:rsidP="00AD2D7A">
            <w:pPr>
              <w:pStyle w:val="BulletA"/>
              <w:numPr>
                <w:ilvl w:val="0"/>
                <w:numId w:val="78"/>
              </w:numPr>
              <w:spacing w:after="20"/>
              <w:rPr>
                <w:b/>
                <w:bCs/>
                <w:color w:val="800000"/>
              </w:rPr>
            </w:pPr>
            <w:r w:rsidRPr="001E5026">
              <w:t>Existing or proposed developments of regional impact (DRIs), as well as the potential impacts to the statewide and regional multimodal transportation system.</w:t>
            </w:r>
          </w:p>
        </w:tc>
      </w:tr>
      <w:tr w:rsidR="00225952" w:rsidRPr="00380CF5" w:rsidTr="00225952">
        <w:tblPrEx>
          <w:tblCellMar>
            <w:left w:w="115" w:type="dxa"/>
            <w:right w:w="115" w:type="dxa"/>
          </w:tblCellMar>
        </w:tblPrEx>
        <w:tc>
          <w:tcPr>
            <w:tcW w:w="2455" w:type="dxa"/>
          </w:tcPr>
          <w:p w:rsidR="00225952" w:rsidRDefault="00225952">
            <w:pPr>
              <w:pStyle w:val="Heading4"/>
            </w:pPr>
            <w:bookmarkStart w:id="14" w:name="_Toc230353918"/>
            <w:r w:rsidRPr="004B4486">
              <w:lastRenderedPageBreak/>
              <w:br w:type="page"/>
            </w:r>
            <w:bookmarkStart w:id="15" w:name="_Toc232912576"/>
            <w:r w:rsidRPr="004B4486">
              <w:t>Why is a Transportation Impact Analysis Needed?</w:t>
            </w:r>
            <w:bookmarkEnd w:id="14"/>
            <w:bookmarkEnd w:id="15"/>
          </w:p>
          <w:p w:rsidR="00225952" w:rsidRPr="00380CF5" w:rsidRDefault="00225952" w:rsidP="00225952">
            <w:pPr>
              <w:pStyle w:val="SidebarSentence"/>
            </w:pPr>
          </w:p>
        </w:tc>
        <w:tc>
          <w:tcPr>
            <w:tcW w:w="7920" w:type="dxa"/>
          </w:tcPr>
          <w:p w:rsidR="00225952" w:rsidRDefault="00225952" w:rsidP="006A393F">
            <w:pPr>
              <w:spacing w:after="0"/>
            </w:pPr>
            <w:r w:rsidRPr="00380CF5">
              <w:t xml:space="preserve">The </w:t>
            </w:r>
            <w:r>
              <w:t xml:space="preserve">FDOT’s role is to </w:t>
            </w:r>
            <w:r w:rsidRPr="00380CF5">
              <w:t xml:space="preserve">protect the integrity of the transportation system for the general public and to </w:t>
            </w:r>
            <w:r>
              <w:t xml:space="preserve">minimize </w:t>
            </w:r>
            <w:r w:rsidRPr="00380CF5">
              <w:t xml:space="preserve">degradation of both the regional and local transportation networks. There are a number of additional </w:t>
            </w:r>
            <w:r w:rsidRPr="005F300E">
              <w:t>reasons for the FDOT to perform a transportation</w:t>
            </w:r>
            <w:r>
              <w:t xml:space="preserve"> impact review:</w:t>
            </w:r>
          </w:p>
          <w:p w:rsidR="00225952" w:rsidRDefault="00225952" w:rsidP="00AD2D7A">
            <w:pPr>
              <w:pStyle w:val="BulletA"/>
              <w:numPr>
                <w:ilvl w:val="0"/>
                <w:numId w:val="158"/>
              </w:numPr>
            </w:pPr>
            <w:r w:rsidRPr="00380CF5">
              <w:t>Provide public agencies with a mechanism for managing transportation</w:t>
            </w:r>
            <w:r>
              <w:t xml:space="preserve"> impacts of</w:t>
            </w:r>
            <w:r w:rsidRPr="00380CF5">
              <w:t xml:space="preserve"> land development within the context of metropolitan transportation planning, local government comprehe</w:t>
            </w:r>
            <w:r>
              <w:t>nsive planning, and concurrency</w:t>
            </w:r>
          </w:p>
          <w:p w:rsidR="00225952" w:rsidRDefault="00225952" w:rsidP="00AD2D7A">
            <w:pPr>
              <w:pStyle w:val="BulletA"/>
              <w:numPr>
                <w:ilvl w:val="0"/>
                <w:numId w:val="158"/>
              </w:numPr>
            </w:pPr>
            <w:r w:rsidRPr="00380CF5">
              <w:t>Provide applicants with recommendations for effecti</w:t>
            </w:r>
            <w:r>
              <w:t>ve site transportation planning</w:t>
            </w:r>
          </w:p>
          <w:p w:rsidR="00225952" w:rsidRDefault="00225952" w:rsidP="00AD2D7A">
            <w:pPr>
              <w:pStyle w:val="BulletA"/>
              <w:numPr>
                <w:ilvl w:val="0"/>
                <w:numId w:val="158"/>
              </w:numPr>
            </w:pPr>
            <w:r w:rsidRPr="00380CF5">
              <w:t>Provide public agencies with a method for analyzing the effects of development on transportation</w:t>
            </w:r>
          </w:p>
          <w:p w:rsidR="00225952" w:rsidRDefault="00225952" w:rsidP="00AD2D7A">
            <w:pPr>
              <w:pStyle w:val="BulletA"/>
              <w:numPr>
                <w:ilvl w:val="0"/>
                <w:numId w:val="158"/>
              </w:numPr>
            </w:pPr>
            <w:r w:rsidRPr="00380CF5">
              <w:t>Establish a framework for the negotiation of mitigation measures for the</w:t>
            </w:r>
            <w:r>
              <w:t xml:space="preserve"> impacts created by development</w:t>
            </w:r>
          </w:p>
          <w:p w:rsidR="00225952" w:rsidRDefault="00225952" w:rsidP="00AD2D7A">
            <w:pPr>
              <w:pStyle w:val="BulletA"/>
              <w:numPr>
                <w:ilvl w:val="0"/>
                <w:numId w:val="158"/>
              </w:numPr>
            </w:pPr>
            <w:r w:rsidRPr="00380CF5">
              <w:t xml:space="preserve">Ensure that </w:t>
            </w:r>
            <w:r>
              <w:t xml:space="preserve">a state facility impacted by the proposed development is </w:t>
            </w:r>
            <w:r w:rsidRPr="00380CF5">
              <w:t xml:space="preserve">operating at an acceptable </w:t>
            </w:r>
            <w:r>
              <w:t>level of service</w:t>
            </w:r>
          </w:p>
          <w:p w:rsidR="00225952" w:rsidRDefault="00225952" w:rsidP="00AD2D7A">
            <w:pPr>
              <w:pStyle w:val="BulletA"/>
              <w:numPr>
                <w:ilvl w:val="0"/>
                <w:numId w:val="158"/>
              </w:numPr>
              <w:spacing w:after="120"/>
            </w:pPr>
            <w:r>
              <w:t>Promote multimodal transportation systems where appropriate</w:t>
            </w:r>
          </w:p>
        </w:tc>
      </w:tr>
      <w:tr w:rsidR="00225952" w:rsidRPr="00380CF5" w:rsidTr="00225952">
        <w:tc>
          <w:tcPr>
            <w:tcW w:w="2455" w:type="dxa"/>
          </w:tcPr>
          <w:p w:rsidR="00225952" w:rsidRPr="000821E4" w:rsidRDefault="00225952" w:rsidP="006A393F">
            <w:pPr>
              <w:pStyle w:val="SidebarSentence"/>
            </w:pPr>
            <w:r>
              <w:t>The FDOT reviewer’s role</w:t>
            </w:r>
          </w:p>
        </w:tc>
        <w:tc>
          <w:tcPr>
            <w:tcW w:w="7920" w:type="dxa"/>
          </w:tcPr>
          <w:p w:rsidR="00225952" w:rsidRDefault="00225952" w:rsidP="00225952">
            <w:r w:rsidRPr="00380CF5">
              <w:t xml:space="preserve">This handbook is intended to </w:t>
            </w:r>
            <w:r>
              <w:t>guide</w:t>
            </w:r>
            <w:r w:rsidRPr="00380CF5">
              <w:t xml:space="preserve"> the </w:t>
            </w:r>
            <w:r>
              <w:t xml:space="preserve">FDOT </w:t>
            </w:r>
            <w:r w:rsidRPr="00380CF5">
              <w:t>in review</w:t>
            </w:r>
            <w:r>
              <w:t>ing</w:t>
            </w:r>
            <w:r w:rsidRPr="00380CF5">
              <w:t xml:space="preserve"> local government comprehensive plan (LGCP) </w:t>
            </w:r>
            <w:r>
              <w:t>elements, DRI’s and</w:t>
            </w:r>
            <w:r w:rsidRPr="00380CF5">
              <w:t xml:space="preserve"> other land use approvals that may impact the State Transportation System (STS)</w:t>
            </w:r>
            <w:r>
              <w:t xml:space="preserve">. </w:t>
            </w:r>
            <w:r w:rsidRPr="00380CF5">
              <w:t xml:space="preserve">In addition, this handbook is intended to offer guidance to transportation partners at all levels of government to enhance coordination in </w:t>
            </w:r>
            <w:r>
              <w:t xml:space="preserve">the </w:t>
            </w:r>
            <w:r w:rsidRPr="00380CF5">
              <w:t xml:space="preserve">existing review processes. </w:t>
            </w:r>
          </w:p>
          <w:p w:rsidR="00225952" w:rsidRPr="00E84AE9" w:rsidRDefault="00225952" w:rsidP="00225952">
            <w:pPr>
              <w:spacing w:after="60"/>
            </w:pPr>
            <w:r w:rsidRPr="00E84AE9">
              <w:t xml:space="preserve">In order to sustain a professional and constructive review process, </w:t>
            </w:r>
            <w:r>
              <w:t xml:space="preserve">FDOT reviewer </w:t>
            </w:r>
            <w:r w:rsidRPr="00E84AE9">
              <w:t>comments should be:</w:t>
            </w:r>
          </w:p>
          <w:p w:rsidR="00225952" w:rsidRPr="002F3060" w:rsidRDefault="00563102" w:rsidP="00AD2D7A">
            <w:pPr>
              <w:pStyle w:val="BulletA"/>
              <w:numPr>
                <w:ilvl w:val="0"/>
                <w:numId w:val="159"/>
              </w:numPr>
            </w:pPr>
            <w:r>
              <w:t>Professional</w:t>
            </w:r>
          </w:p>
          <w:p w:rsidR="00225952" w:rsidRPr="002F3060" w:rsidRDefault="00563102" w:rsidP="00AD2D7A">
            <w:pPr>
              <w:pStyle w:val="BulletA"/>
              <w:numPr>
                <w:ilvl w:val="0"/>
                <w:numId w:val="159"/>
              </w:numPr>
            </w:pPr>
            <w:r>
              <w:t>Concise</w:t>
            </w:r>
          </w:p>
          <w:p w:rsidR="00225952" w:rsidRPr="002F3060" w:rsidRDefault="00563102" w:rsidP="00AD2D7A">
            <w:pPr>
              <w:pStyle w:val="BulletA"/>
              <w:numPr>
                <w:ilvl w:val="0"/>
                <w:numId w:val="159"/>
              </w:numPr>
            </w:pPr>
            <w:r w:rsidRPr="002F3060">
              <w:t xml:space="preserve">Provide </w:t>
            </w:r>
            <w:r w:rsidR="00225952" w:rsidRPr="002F3060">
              <w:t>suggested action by the applicant t</w:t>
            </w:r>
            <w:r>
              <w:t>o address specific comments</w:t>
            </w:r>
            <w:r w:rsidR="00225952" w:rsidRPr="002F3060">
              <w:t xml:space="preserve"> </w:t>
            </w:r>
          </w:p>
          <w:p w:rsidR="00225952" w:rsidRDefault="00563102" w:rsidP="00AD2D7A">
            <w:pPr>
              <w:pStyle w:val="BulletA"/>
              <w:numPr>
                <w:ilvl w:val="0"/>
                <w:numId w:val="159"/>
              </w:numPr>
            </w:pPr>
            <w:r w:rsidRPr="002F3060">
              <w:t>Reference</w:t>
            </w:r>
            <w:r w:rsidR="00225952">
              <w:t xml:space="preserve"> FDOT procedures, manuals and handbooks in the methodology agreement, where applicable, including any District procedures</w:t>
            </w:r>
            <w:r w:rsidR="00225952" w:rsidRPr="00E84AE9" w:rsidDel="009458CF">
              <w:t xml:space="preserve"> </w:t>
            </w:r>
            <w:r w:rsidR="00225952">
              <w:t>,</w:t>
            </w:r>
            <w:r w:rsidR="00225952" w:rsidRPr="00E84AE9">
              <w:t xml:space="preserve">Florida </w:t>
            </w:r>
            <w:r w:rsidR="00225952">
              <w:t>S</w:t>
            </w:r>
            <w:r w:rsidR="00225952" w:rsidRPr="00E84AE9">
              <w:t xml:space="preserve">tatutes </w:t>
            </w:r>
            <w:r w:rsidR="00225952">
              <w:t>and Administrative Rules</w:t>
            </w:r>
          </w:p>
          <w:p w:rsidR="00225952" w:rsidRDefault="00225952" w:rsidP="002F3060">
            <w:pPr>
              <w:spacing w:after="0"/>
            </w:pPr>
            <w:r w:rsidRPr="00380CF5">
              <w:t xml:space="preserve">The </w:t>
            </w:r>
            <w:r>
              <w:t xml:space="preserve">FDOT </w:t>
            </w:r>
            <w:r w:rsidRPr="00380CF5">
              <w:t>reviews of LGCPs are focused on the relationship between transportation, land use, intergovernmental coordination, and capital improvements elements of the LGCP, as identified in Rule 9J-5, F</w:t>
            </w:r>
            <w:r>
              <w:t>.</w:t>
            </w:r>
            <w:r w:rsidRPr="00380CF5">
              <w:t>A</w:t>
            </w:r>
            <w:r>
              <w:t>.</w:t>
            </w:r>
            <w:r w:rsidRPr="00380CF5">
              <w:t xml:space="preserve">C. </w:t>
            </w:r>
          </w:p>
        </w:tc>
      </w:tr>
      <w:tr w:rsidR="00225952" w:rsidRPr="00380CF5" w:rsidTr="00225952">
        <w:trPr>
          <w:trHeight w:val="540"/>
        </w:trPr>
        <w:tc>
          <w:tcPr>
            <w:tcW w:w="10375" w:type="dxa"/>
            <w:gridSpan w:val="2"/>
          </w:tcPr>
          <w:p w:rsidR="00225952" w:rsidRPr="00AF0EEE" w:rsidRDefault="00225952" w:rsidP="00225952">
            <w:pPr>
              <w:pStyle w:val="Quote"/>
              <w:rPr>
                <w:rStyle w:val="SubtleReference"/>
                <w:smallCaps w:val="0"/>
              </w:rPr>
            </w:pPr>
            <w:r w:rsidRPr="00AF0EEE">
              <w:lastRenderedPageBreak/>
              <w:t>“</w:t>
            </w:r>
            <w:r w:rsidRPr="00554C5A">
              <w:t>Chapter 163.3180 (2)(c), Florida Statutes, requires transportation facilities needed to serve new development to be in place or under actual construction within three years after the local government approves a building permit or its functional equivalent that results in traffic generation.”</w:t>
            </w:r>
          </w:p>
        </w:tc>
      </w:tr>
    </w:tbl>
    <w:p w:rsidR="00225952" w:rsidRDefault="00225952" w:rsidP="00225952">
      <w:pPr>
        <w:pStyle w:val="Heading2"/>
        <w:sectPr w:rsidR="00225952" w:rsidSect="00832911">
          <w:headerReference w:type="default" r:id="rId25"/>
          <w:type w:val="continuous"/>
          <w:pgSz w:w="12240" w:h="15840" w:code="1"/>
          <w:pgMar w:top="1440" w:right="720" w:bottom="1440" w:left="1152" w:header="720" w:footer="720" w:gutter="0"/>
          <w:cols w:space="720"/>
          <w:docGrid w:linePitch="313"/>
        </w:sectPr>
      </w:pPr>
    </w:p>
    <w:tbl>
      <w:tblPr>
        <w:tblW w:w="10375" w:type="dxa"/>
        <w:tblLayout w:type="fixed"/>
        <w:tblLook w:val="0000"/>
      </w:tblPr>
      <w:tblGrid>
        <w:gridCol w:w="2538"/>
        <w:gridCol w:w="7837"/>
      </w:tblGrid>
      <w:tr w:rsidR="00225952" w:rsidRPr="00380CF5" w:rsidTr="00225952">
        <w:tc>
          <w:tcPr>
            <w:tcW w:w="10375" w:type="dxa"/>
            <w:gridSpan w:val="2"/>
          </w:tcPr>
          <w:p w:rsidR="00225952" w:rsidRPr="004B4486" w:rsidRDefault="00225952" w:rsidP="00225952">
            <w:pPr>
              <w:pStyle w:val="Heading2"/>
            </w:pPr>
            <w:r>
              <w:lastRenderedPageBreak/>
              <w:br w:type="page"/>
            </w:r>
            <w:bookmarkStart w:id="16" w:name="_Toc232912577"/>
            <w:bookmarkStart w:id="17" w:name="_Toc264274057"/>
            <w:r w:rsidRPr="004B4486">
              <w:t>1.3 About this Handbook</w:t>
            </w:r>
            <w:bookmarkEnd w:id="16"/>
            <w:bookmarkEnd w:id="17"/>
          </w:p>
        </w:tc>
      </w:tr>
      <w:tr w:rsidR="00225952" w:rsidRPr="0035676A" w:rsidTr="00225952">
        <w:tc>
          <w:tcPr>
            <w:tcW w:w="2538" w:type="dxa"/>
          </w:tcPr>
          <w:p w:rsidR="00225952" w:rsidRDefault="00225952" w:rsidP="00225952">
            <w:pPr>
              <w:rPr>
                <w:b/>
              </w:rPr>
            </w:pPr>
          </w:p>
          <w:p w:rsidR="00225952" w:rsidRDefault="00225952" w:rsidP="00225952">
            <w:pPr>
              <w:rPr>
                <w:b/>
              </w:rPr>
            </w:pPr>
          </w:p>
          <w:p w:rsidR="00225952" w:rsidRDefault="00225952" w:rsidP="00225952">
            <w:pPr>
              <w:rPr>
                <w:b/>
              </w:rPr>
            </w:pPr>
          </w:p>
          <w:p w:rsidR="00225952" w:rsidRDefault="00225952" w:rsidP="00225952">
            <w:pPr>
              <w:rPr>
                <w:b/>
              </w:rPr>
            </w:pPr>
          </w:p>
          <w:p w:rsidR="00225952" w:rsidRDefault="00225952" w:rsidP="00225952">
            <w:pPr>
              <w:rPr>
                <w:b/>
              </w:rPr>
            </w:pPr>
          </w:p>
          <w:p w:rsidR="00225952" w:rsidRDefault="00225952" w:rsidP="00225952">
            <w:pPr>
              <w:rPr>
                <w:b/>
              </w:rPr>
            </w:pPr>
          </w:p>
          <w:p w:rsidR="00225952" w:rsidRDefault="00225952" w:rsidP="00225952">
            <w:pPr>
              <w:rPr>
                <w:b/>
              </w:rPr>
            </w:pPr>
          </w:p>
          <w:p w:rsidR="00225952" w:rsidRDefault="00225952" w:rsidP="00225952">
            <w:pPr>
              <w:rPr>
                <w:b/>
              </w:rPr>
            </w:pPr>
          </w:p>
          <w:p w:rsidR="00225952" w:rsidRDefault="00225952" w:rsidP="00225952">
            <w:pPr>
              <w:rPr>
                <w:b/>
              </w:rPr>
            </w:pPr>
          </w:p>
          <w:p w:rsidR="00225952" w:rsidRDefault="00225952" w:rsidP="00225952">
            <w:pPr>
              <w:rPr>
                <w:b/>
              </w:rPr>
            </w:pPr>
          </w:p>
          <w:p w:rsidR="00225952" w:rsidRDefault="00225952" w:rsidP="00225952">
            <w:pPr>
              <w:rPr>
                <w:b/>
              </w:rPr>
            </w:pPr>
          </w:p>
          <w:p w:rsidR="00225952" w:rsidRDefault="00225952" w:rsidP="00225952">
            <w:pPr>
              <w:rPr>
                <w:b/>
              </w:rPr>
            </w:pPr>
          </w:p>
          <w:p w:rsidR="002F3060" w:rsidRDefault="002F3060" w:rsidP="00225952">
            <w:pPr>
              <w:rPr>
                <w:b/>
              </w:rPr>
            </w:pPr>
          </w:p>
          <w:p w:rsidR="00B94968" w:rsidRDefault="00B94968" w:rsidP="00225952">
            <w:pPr>
              <w:rPr>
                <w:b/>
              </w:rPr>
            </w:pPr>
          </w:p>
          <w:p w:rsidR="002F3060" w:rsidRDefault="00B94968" w:rsidP="00B94968">
            <w:pPr>
              <w:spacing w:after="0"/>
              <w:rPr>
                <w:b/>
              </w:rPr>
            </w:pPr>
            <w:r w:rsidRPr="00B94968">
              <w:rPr>
                <w:b/>
                <w:noProof/>
              </w:rPr>
              <w:drawing>
                <wp:inline distT="0" distB="0" distL="0" distR="0">
                  <wp:extent cx="1476375" cy="584200"/>
                  <wp:effectExtent l="19050" t="0" r="0" b="0"/>
                  <wp:docPr id="529" name="Picture 33" descr="button_w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button_web.png"/>
                          <pic:cNvPicPr>
                            <a:picLocks noChangeAspect="1" noChangeArrowheads="1"/>
                          </pic:cNvPicPr>
                        </pic:nvPicPr>
                        <pic:blipFill>
                          <a:blip r:embed="rId26" cstate="print"/>
                          <a:srcRect/>
                          <a:stretch>
                            <a:fillRect/>
                          </a:stretch>
                        </pic:blipFill>
                        <pic:spPr bwMode="auto">
                          <a:xfrm>
                            <a:off x="0" y="0"/>
                            <a:ext cx="1476375" cy="584200"/>
                          </a:xfrm>
                          <a:prstGeom prst="rect">
                            <a:avLst/>
                          </a:prstGeom>
                          <a:noFill/>
                          <a:ln w="9525">
                            <a:noFill/>
                            <a:miter lim="800000"/>
                            <a:headEnd/>
                            <a:tailEnd/>
                          </a:ln>
                        </pic:spPr>
                      </pic:pic>
                    </a:graphicData>
                  </a:graphic>
                </wp:inline>
              </w:drawing>
            </w:r>
          </w:p>
          <w:p w:rsidR="002F3060" w:rsidRDefault="00B94968" w:rsidP="00B94968">
            <w:pPr>
              <w:pStyle w:val="HeadSide2"/>
              <w:spacing w:after="240"/>
              <w:jc w:val="center"/>
            </w:pPr>
            <w:r>
              <w:t>TIH Website</w:t>
            </w:r>
          </w:p>
          <w:p w:rsidR="00225952" w:rsidRDefault="00225952" w:rsidP="00B94968">
            <w:pPr>
              <w:spacing w:after="0"/>
              <w:rPr>
                <w:b/>
              </w:rPr>
            </w:pPr>
            <w:r>
              <w:rPr>
                <w:b/>
                <w:noProof/>
              </w:rPr>
              <w:drawing>
                <wp:inline distT="0" distB="0" distL="0" distR="0">
                  <wp:extent cx="1476108" cy="584200"/>
                  <wp:effectExtent l="19050" t="0" r="0" b="0"/>
                  <wp:docPr id="2" name="Picture 33" descr="button_w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button_web.png"/>
                          <pic:cNvPicPr>
                            <a:picLocks noChangeAspect="1" noChangeArrowheads="1"/>
                          </pic:cNvPicPr>
                        </pic:nvPicPr>
                        <pic:blipFill>
                          <a:blip r:embed="rId27" cstate="print"/>
                          <a:stretch>
                            <a:fillRect/>
                          </a:stretch>
                        </pic:blipFill>
                        <pic:spPr bwMode="auto">
                          <a:xfrm>
                            <a:off x="0" y="0"/>
                            <a:ext cx="1476108" cy="584200"/>
                          </a:xfrm>
                          <a:prstGeom prst="rect">
                            <a:avLst/>
                          </a:prstGeom>
                          <a:noFill/>
                          <a:ln w="9525">
                            <a:noFill/>
                            <a:miter lim="800000"/>
                            <a:headEnd/>
                            <a:tailEnd/>
                          </a:ln>
                        </pic:spPr>
                      </pic:pic>
                    </a:graphicData>
                  </a:graphic>
                </wp:inline>
              </w:drawing>
            </w:r>
          </w:p>
          <w:p w:rsidR="00225952" w:rsidRPr="0035676A" w:rsidRDefault="00225952" w:rsidP="00B94968">
            <w:pPr>
              <w:pStyle w:val="HeadSide2"/>
              <w:spacing w:after="480"/>
              <w:jc w:val="center"/>
            </w:pPr>
            <w:r w:rsidRPr="00160E33">
              <w:rPr>
                <w:b/>
              </w:rPr>
              <w:t>Glossary</w:t>
            </w:r>
            <w:r>
              <w:t xml:space="preserve"> of frequently used terms</w:t>
            </w:r>
          </w:p>
        </w:tc>
        <w:tc>
          <w:tcPr>
            <w:tcW w:w="7837" w:type="dxa"/>
          </w:tcPr>
          <w:p w:rsidR="00225952" w:rsidRPr="008F2C7C" w:rsidRDefault="00225952" w:rsidP="00225952">
            <w:r>
              <w:t xml:space="preserve">This handbook was designed as an electronic desktop preference for the FDOT reviewer.   Hyperlinks to other resources which address specific issues in greater detail are included throughout the handbook.  In addition, a comprehensive </w:t>
            </w:r>
            <w:hyperlink w:anchor="R2" w:history="1">
              <w:r w:rsidRPr="00B154A0">
                <w:rPr>
                  <w:rStyle w:val="Hyperlink"/>
                  <w:b/>
                </w:rPr>
                <w:t>List of Resources</w:t>
              </w:r>
            </w:hyperlink>
            <w:r>
              <w:t xml:space="preserve"> is provided to allow for further research. </w:t>
            </w:r>
            <w:r w:rsidRPr="00DF6633">
              <w:t xml:space="preserve">The </w:t>
            </w:r>
            <w:r>
              <w:t>h</w:t>
            </w:r>
            <w:r w:rsidRPr="00DF6633">
              <w:t>andbook has been organized in this manner to</w:t>
            </w:r>
            <w:r>
              <w:t xml:space="preserve"> </w:t>
            </w:r>
            <w:r w:rsidRPr="00DF6633">
              <w:t>facilitate practical use</w:t>
            </w:r>
            <w:r>
              <w:t>.</w:t>
            </w:r>
            <w:r w:rsidRPr="00DF6633">
              <w:t xml:space="preserve"> </w:t>
            </w:r>
            <w:r>
              <w:t>It</w:t>
            </w:r>
            <w:r w:rsidRPr="00DF6633">
              <w:t xml:space="preserve"> consists of </w:t>
            </w:r>
            <w:r>
              <w:t>five</w:t>
            </w:r>
            <w:r w:rsidRPr="00DF6633">
              <w:t xml:space="preserve"> </w:t>
            </w:r>
            <w:r>
              <w:t>Chapters</w:t>
            </w:r>
            <w:r w:rsidRPr="00DF6633">
              <w:t xml:space="preserve"> and Appendices as follows:</w:t>
            </w:r>
          </w:p>
          <w:p w:rsidR="00225952" w:rsidRDefault="00745389" w:rsidP="00225952">
            <w:pPr>
              <w:pStyle w:val="BulletA"/>
            </w:pPr>
            <w:hyperlink w:anchor="_INTRODUCTION" w:history="1">
              <w:r w:rsidR="00225952" w:rsidRPr="00E171D0">
                <w:rPr>
                  <w:rStyle w:val="Hyperlink"/>
                  <w:b/>
                </w:rPr>
                <w:t>Chapter 1</w:t>
              </w:r>
            </w:hyperlink>
            <w:r w:rsidR="00225952" w:rsidRPr="00380CF5">
              <w:t xml:space="preserve"> </w:t>
            </w:r>
            <w:r w:rsidR="00225952">
              <w:t>–</w:t>
            </w:r>
            <w:r w:rsidR="00225952" w:rsidRPr="00380CF5">
              <w:t xml:space="preserve"> </w:t>
            </w:r>
            <w:r w:rsidR="00225952" w:rsidRPr="00FE65A1">
              <w:rPr>
                <w:b/>
              </w:rPr>
              <w:t>Introduction</w:t>
            </w:r>
            <w:r w:rsidR="00225952">
              <w:rPr>
                <w:b/>
              </w:rPr>
              <w:t xml:space="preserve">: </w:t>
            </w:r>
            <w:r w:rsidR="00225952">
              <w:t xml:space="preserve">This Chapter </w:t>
            </w:r>
            <w:r w:rsidR="00225952" w:rsidRPr="00154527">
              <w:t>provide</w:t>
            </w:r>
            <w:r w:rsidR="00225952">
              <w:t>s</w:t>
            </w:r>
            <w:r w:rsidR="00225952" w:rsidRPr="00154527">
              <w:t xml:space="preserve"> an overview of the Transportation Impact Handbook</w:t>
            </w:r>
            <w:r w:rsidR="00225952">
              <w:t xml:space="preserve"> and summarizes </w:t>
            </w:r>
            <w:r w:rsidR="00225952" w:rsidRPr="00154527">
              <w:t xml:space="preserve">the legislative and rule changes that have occurred since the Site </w:t>
            </w:r>
            <w:r w:rsidR="00225952">
              <w:t>Impact Handbook was prepared in April 1997.</w:t>
            </w:r>
          </w:p>
          <w:p w:rsidR="00225952" w:rsidRDefault="00745389" w:rsidP="00225952">
            <w:pPr>
              <w:pStyle w:val="BulletA"/>
            </w:pPr>
            <w:hyperlink w:anchor="_THE_TRANSPORTATION_IMPACT" w:history="1">
              <w:r w:rsidR="00225952" w:rsidRPr="00EC5A9A">
                <w:rPr>
                  <w:rStyle w:val="Hyperlink"/>
                  <w:b/>
                </w:rPr>
                <w:t>Chapter 2</w:t>
              </w:r>
            </w:hyperlink>
            <w:r w:rsidR="00225952" w:rsidRPr="005C2D50">
              <w:rPr>
                <w:b/>
              </w:rPr>
              <w:t xml:space="preserve"> - Standard Transportation Impact Analysis Steps: </w:t>
            </w:r>
            <w:r w:rsidR="00225952">
              <w:t xml:space="preserve">This Chapter discusses </w:t>
            </w:r>
            <w:r w:rsidR="00225952" w:rsidRPr="00380CF5">
              <w:t>standard steps for the completion of</w:t>
            </w:r>
            <w:r w:rsidR="00225952">
              <w:t xml:space="preserve"> transportation impact analyse</w:t>
            </w:r>
            <w:r w:rsidR="00225952" w:rsidRPr="00380CF5">
              <w:t>s and review</w:t>
            </w:r>
            <w:r w:rsidR="00225952">
              <w:t>s</w:t>
            </w:r>
            <w:r w:rsidR="00225952" w:rsidRPr="00380CF5">
              <w:t xml:space="preserve">. </w:t>
            </w:r>
            <w:r w:rsidR="00225952" w:rsidRPr="00370BB1">
              <w:t>Chapter</w:t>
            </w:r>
            <w:r w:rsidR="00225952" w:rsidRPr="005C2D50">
              <w:rPr>
                <w:b/>
              </w:rPr>
              <w:t xml:space="preserve"> </w:t>
            </w:r>
            <w:r w:rsidR="00225952">
              <w:t xml:space="preserve">2 </w:t>
            </w:r>
            <w:r w:rsidR="00225952" w:rsidRPr="00380CF5">
              <w:t xml:space="preserve">should be utilized in conjunction with other chapters that describe the </w:t>
            </w:r>
            <w:r w:rsidR="00225952">
              <w:t xml:space="preserve">various </w:t>
            </w:r>
            <w:r w:rsidR="00225952" w:rsidRPr="00380CF5">
              <w:t>type</w:t>
            </w:r>
            <w:r w:rsidR="00225952">
              <w:t>s</w:t>
            </w:r>
            <w:r w:rsidR="00225952" w:rsidRPr="00380CF5">
              <w:t xml:space="preserve"> of </w:t>
            </w:r>
            <w:r w:rsidR="00225952">
              <w:t xml:space="preserve">FDOT </w:t>
            </w:r>
            <w:r w:rsidR="00225952" w:rsidRPr="00380CF5">
              <w:t>review</w:t>
            </w:r>
            <w:r w:rsidR="00225952">
              <w:t>s</w:t>
            </w:r>
            <w:r w:rsidR="00225952" w:rsidRPr="00380CF5">
              <w:t>.</w:t>
            </w:r>
            <w:r w:rsidR="00225952">
              <w:t xml:space="preserve"> </w:t>
            </w:r>
          </w:p>
          <w:p w:rsidR="00225952" w:rsidRDefault="00745389" w:rsidP="00225952">
            <w:pPr>
              <w:pStyle w:val="BulletA"/>
            </w:pPr>
            <w:hyperlink w:anchor="_Local_Government_Comprehensive" w:history="1">
              <w:r w:rsidR="00225952" w:rsidRPr="00B154A0">
                <w:rPr>
                  <w:rStyle w:val="Hyperlink"/>
                  <w:b/>
                </w:rPr>
                <w:t xml:space="preserve">Chapter </w:t>
              </w:r>
              <w:r w:rsidR="00225952">
                <w:rPr>
                  <w:rStyle w:val="Hyperlink"/>
                  <w:b/>
                </w:rPr>
                <w:t>3</w:t>
              </w:r>
            </w:hyperlink>
            <w:r w:rsidR="00225952" w:rsidRPr="00380CF5">
              <w:t xml:space="preserve"> – </w:t>
            </w:r>
            <w:r w:rsidR="00225952" w:rsidRPr="007A4D41">
              <w:rPr>
                <w:b/>
              </w:rPr>
              <w:t>Local Government Comprehensive Plan</w:t>
            </w:r>
            <w:r w:rsidR="00225952" w:rsidRPr="00FE65A1">
              <w:rPr>
                <w:b/>
              </w:rPr>
              <w:t xml:space="preserve"> Reviews</w:t>
            </w:r>
            <w:r w:rsidR="00225952">
              <w:rPr>
                <w:b/>
              </w:rPr>
              <w:t xml:space="preserve">: </w:t>
            </w:r>
            <w:r w:rsidR="00225952">
              <w:t xml:space="preserve">This Chapter describes how </w:t>
            </w:r>
            <w:r w:rsidR="00225952" w:rsidRPr="00813306">
              <w:t>the FDOT assist</w:t>
            </w:r>
            <w:r w:rsidR="00225952">
              <w:t>s</w:t>
            </w:r>
            <w:r w:rsidR="00225952" w:rsidRPr="00813306">
              <w:t xml:space="preserve"> local governments with development project reviews</w:t>
            </w:r>
            <w:r w:rsidR="00225952">
              <w:t xml:space="preserve">. It describes the </w:t>
            </w:r>
            <w:r w:rsidR="00225952" w:rsidRPr="00813306">
              <w:t>type</w:t>
            </w:r>
            <w:r w:rsidR="00225952">
              <w:t>s</w:t>
            </w:r>
            <w:r w:rsidR="00225952" w:rsidRPr="00813306">
              <w:t xml:space="preserve"> of LGCP amendment </w:t>
            </w:r>
            <w:r w:rsidR="00225952">
              <w:t xml:space="preserve">and land development </w:t>
            </w:r>
            <w:r w:rsidR="00225952" w:rsidRPr="00813306">
              <w:t>reviews</w:t>
            </w:r>
            <w:r w:rsidR="00225952">
              <w:t xml:space="preserve"> </w:t>
            </w:r>
            <w:r w:rsidR="00225952" w:rsidRPr="00813306">
              <w:t xml:space="preserve">and the </w:t>
            </w:r>
            <w:r w:rsidR="00225952">
              <w:t xml:space="preserve">FDOT </w:t>
            </w:r>
            <w:r w:rsidR="00225952" w:rsidRPr="00813306">
              <w:t>role</w:t>
            </w:r>
            <w:r w:rsidR="00225952">
              <w:t>s</w:t>
            </w:r>
            <w:r w:rsidR="00225952" w:rsidRPr="00813306">
              <w:t xml:space="preserve"> and responsibilities </w:t>
            </w:r>
            <w:r w:rsidR="00225952">
              <w:t>in this process.</w:t>
            </w:r>
            <w:r w:rsidR="00B24CEB">
              <w:t xml:space="preserve"> 9 </w:t>
            </w:r>
            <w:hyperlink w:anchor="R1" w:history="1">
              <w:r w:rsidR="00B24CEB" w:rsidRPr="00B24CEB">
                <w:rPr>
                  <w:rStyle w:val="Hyperlink"/>
                </w:rPr>
                <w:t>Resource Guides</w:t>
              </w:r>
            </w:hyperlink>
            <w:r w:rsidR="00B24CEB">
              <w:t xml:space="preserve"> are included at the end of the chapter. The Resource Guides were designed to be </w:t>
            </w:r>
            <w:r w:rsidR="00B24CEB" w:rsidRPr="00380CF5">
              <w:t xml:space="preserve">a “one-stop shop” </w:t>
            </w:r>
            <w:r w:rsidR="00B24CEB">
              <w:t xml:space="preserve">listing other research materials available </w:t>
            </w:r>
            <w:r w:rsidR="00B24CEB" w:rsidRPr="00380CF5">
              <w:t xml:space="preserve">for </w:t>
            </w:r>
            <w:r w:rsidR="00B24CEB">
              <w:t xml:space="preserve">the FDOT reviewer </w:t>
            </w:r>
            <w:r w:rsidR="00B24CEB" w:rsidRPr="00380CF5">
              <w:t xml:space="preserve">to </w:t>
            </w:r>
            <w:r w:rsidR="00B24CEB">
              <w:t xml:space="preserve">use to quickly locate </w:t>
            </w:r>
            <w:r w:rsidR="00B24CEB" w:rsidRPr="00380CF5">
              <w:t>information on specific topics.</w:t>
            </w:r>
          </w:p>
          <w:p w:rsidR="00225952" w:rsidRDefault="00745389" w:rsidP="00225952">
            <w:pPr>
              <w:pStyle w:val="BulletA"/>
            </w:pPr>
            <w:hyperlink w:anchor="_Developments_of_Regional" w:history="1">
              <w:r w:rsidR="00225952" w:rsidRPr="00B154A0">
                <w:rPr>
                  <w:rStyle w:val="Hyperlink"/>
                  <w:b/>
                </w:rPr>
                <w:t xml:space="preserve">Chapter </w:t>
              </w:r>
              <w:r w:rsidR="00225952">
                <w:rPr>
                  <w:rStyle w:val="Hyperlink"/>
                  <w:b/>
                </w:rPr>
                <w:t>4</w:t>
              </w:r>
            </w:hyperlink>
            <w:r w:rsidR="00225952" w:rsidRPr="00FE65A1">
              <w:rPr>
                <w:b/>
              </w:rPr>
              <w:t xml:space="preserve"> </w:t>
            </w:r>
            <w:r w:rsidR="00225952">
              <w:rPr>
                <w:b/>
              </w:rPr>
              <w:t>–</w:t>
            </w:r>
            <w:r w:rsidR="00225952" w:rsidRPr="00FE65A1">
              <w:rPr>
                <w:b/>
              </w:rPr>
              <w:t xml:space="preserve"> D</w:t>
            </w:r>
            <w:r w:rsidR="00225952">
              <w:rPr>
                <w:b/>
              </w:rPr>
              <w:t>evelopments of Regional Impact</w:t>
            </w:r>
            <w:r w:rsidR="00225952" w:rsidRPr="00FE65A1">
              <w:rPr>
                <w:b/>
              </w:rPr>
              <w:t xml:space="preserve"> Reviews</w:t>
            </w:r>
            <w:r w:rsidR="00225952">
              <w:rPr>
                <w:b/>
              </w:rPr>
              <w:t xml:space="preserve">: </w:t>
            </w:r>
            <w:r w:rsidR="00225952">
              <w:t>This Chapter a</w:t>
            </w:r>
            <w:r w:rsidR="00225952" w:rsidRPr="00380CF5">
              <w:t>ddresses the transportation impact analys</w:t>
            </w:r>
            <w:r w:rsidR="00225952">
              <w:t>e</w:t>
            </w:r>
            <w:r w:rsidR="00225952" w:rsidRPr="00380CF5">
              <w:t>s related to DRIs, as required by Florida Statute.</w:t>
            </w:r>
            <w:r w:rsidR="00225952">
              <w:t xml:space="preserve"> 8 </w:t>
            </w:r>
            <w:hyperlink w:anchor="C1" w:history="1">
              <w:r w:rsidR="00225952" w:rsidRPr="00554C5A">
                <w:rPr>
                  <w:rStyle w:val="Hyperlink"/>
                </w:rPr>
                <w:t>Checklists</w:t>
              </w:r>
            </w:hyperlink>
            <w:r w:rsidR="00225952">
              <w:t xml:space="preserve"> are included at the end of the chapter.</w:t>
            </w:r>
          </w:p>
          <w:p w:rsidR="00225952" w:rsidRPr="00E328F9" w:rsidRDefault="00745389" w:rsidP="00225952">
            <w:pPr>
              <w:pStyle w:val="BulletA"/>
            </w:pPr>
            <w:hyperlink w:anchor="_MITIGATION" w:history="1">
              <w:r w:rsidR="00225952" w:rsidRPr="00B154A0">
                <w:rPr>
                  <w:rStyle w:val="Hyperlink"/>
                  <w:b/>
                </w:rPr>
                <w:t>Chapter 5</w:t>
              </w:r>
            </w:hyperlink>
            <w:r w:rsidR="00225952">
              <w:rPr>
                <w:b/>
              </w:rPr>
              <w:t xml:space="preserve"> – Mitigation Strategies: </w:t>
            </w:r>
            <w:r w:rsidR="00225952">
              <w:t>This Chapter provides information on mitigation processes and options for mitigating transportation impacts to the STS.</w:t>
            </w:r>
          </w:p>
          <w:p w:rsidR="00D32A26" w:rsidRDefault="00745389">
            <w:pPr>
              <w:pStyle w:val="BulletA"/>
              <w:ind w:left="360" w:firstLine="0"/>
            </w:pPr>
            <w:hyperlink w:anchor="APXA" w:history="1">
              <w:r w:rsidR="00225952" w:rsidRPr="00173C65">
                <w:rPr>
                  <w:rStyle w:val="Hyperlink"/>
                  <w:b/>
                </w:rPr>
                <w:t>Appendices</w:t>
              </w:r>
            </w:hyperlink>
            <w:r w:rsidR="00225952">
              <w:rPr>
                <w:b/>
              </w:rPr>
              <w:t xml:space="preserve">: </w:t>
            </w:r>
            <w:r w:rsidR="00225952">
              <w:t xml:space="preserve">The Appendices include </w:t>
            </w:r>
            <w:r w:rsidR="00D32A26">
              <w:t>Questions 21 – Transportation and 22 – Air Quality and samples of FDOT district comments</w:t>
            </w:r>
            <w:r w:rsidR="00225952">
              <w:t xml:space="preserve">. </w:t>
            </w:r>
          </w:p>
          <w:p w:rsidR="00221BB9" w:rsidRDefault="00B24CEB" w:rsidP="00DD15F6">
            <w:pPr>
              <w:pStyle w:val="BulletA"/>
              <w:ind w:left="360" w:firstLine="0"/>
            </w:pPr>
            <w:r>
              <w:t>The Transportation Impact Handbook and many of the linked resources are available online. The handbook is intended to be a ‘living document’ and will be updated periodically according to need. The website features a place for comments and an online</w:t>
            </w:r>
            <w:r w:rsidR="00DD15F6">
              <w:t xml:space="preserve"> forum for additional feedback.</w:t>
            </w:r>
          </w:p>
        </w:tc>
      </w:tr>
    </w:tbl>
    <w:p w:rsidR="00225952" w:rsidRDefault="00225952" w:rsidP="00225952">
      <w:pPr>
        <w:pStyle w:val="Heading2"/>
        <w:sectPr w:rsidR="00225952" w:rsidSect="00832911">
          <w:headerReference w:type="default" r:id="rId28"/>
          <w:type w:val="continuous"/>
          <w:pgSz w:w="12240" w:h="15840" w:code="1"/>
          <w:pgMar w:top="1440" w:right="720" w:bottom="1440" w:left="1152" w:header="720" w:footer="720" w:gutter="0"/>
          <w:cols w:space="720"/>
          <w:docGrid w:linePitch="313"/>
        </w:sectPr>
      </w:pPr>
    </w:p>
    <w:tbl>
      <w:tblPr>
        <w:tblW w:w="10458" w:type="dxa"/>
        <w:tblLayout w:type="fixed"/>
        <w:tblLook w:val="0000"/>
      </w:tblPr>
      <w:tblGrid>
        <w:gridCol w:w="2538"/>
        <w:gridCol w:w="7920"/>
      </w:tblGrid>
      <w:tr w:rsidR="00225952" w:rsidRPr="0035676A" w:rsidTr="00F549C1">
        <w:tc>
          <w:tcPr>
            <w:tcW w:w="10458" w:type="dxa"/>
            <w:gridSpan w:val="2"/>
          </w:tcPr>
          <w:p w:rsidR="00225952" w:rsidRPr="004B4486" w:rsidRDefault="00225952" w:rsidP="00225952">
            <w:pPr>
              <w:pStyle w:val="Heading2"/>
              <w:rPr>
                <w:b w:val="0"/>
                <w:bCs w:val="0"/>
                <w:szCs w:val="22"/>
              </w:rPr>
            </w:pPr>
            <w:bookmarkStart w:id="18" w:name="_Toc232912578"/>
            <w:bookmarkStart w:id="19" w:name="_Toc264274058"/>
            <w:r w:rsidRPr="004B4486">
              <w:lastRenderedPageBreak/>
              <w:t>1.4 Updates to this Handbook</w:t>
            </w:r>
            <w:bookmarkEnd w:id="18"/>
            <w:bookmarkEnd w:id="19"/>
          </w:p>
        </w:tc>
      </w:tr>
      <w:tr w:rsidR="00225952" w:rsidRPr="0035676A" w:rsidTr="00F549C1">
        <w:tc>
          <w:tcPr>
            <w:tcW w:w="2538" w:type="dxa"/>
          </w:tcPr>
          <w:p w:rsidR="00225952" w:rsidRDefault="00225952">
            <w:pPr>
              <w:pStyle w:val="Heading4"/>
            </w:pPr>
            <w:bookmarkStart w:id="20" w:name="_Toc232912579"/>
            <w:r w:rsidRPr="004B4486">
              <w:t>Legislative Updates</w:t>
            </w:r>
            <w:bookmarkEnd w:id="20"/>
          </w:p>
          <w:p w:rsidR="00225952" w:rsidRDefault="00225952">
            <w:pPr>
              <w:pStyle w:val="SidebarSentence"/>
            </w:pPr>
          </w:p>
        </w:tc>
        <w:tc>
          <w:tcPr>
            <w:tcW w:w="7920" w:type="dxa"/>
          </w:tcPr>
          <w:p w:rsidR="00225952" w:rsidRPr="00F041D0" w:rsidRDefault="00225952" w:rsidP="00225952">
            <w:r>
              <w:t>State law pertaining to transportation has changed significantly since the original Site Impact Handbook was published in 1997</w:t>
            </w:r>
            <w:r w:rsidRPr="00F041D0">
              <w:t xml:space="preserve">. There have been three updates to the state comprehensive plan, </w:t>
            </w:r>
            <w:r>
              <w:t>116</w:t>
            </w:r>
            <w:r w:rsidRPr="00F041D0">
              <w:t xml:space="preserve"> detailed changes to the Growth Management Act of 1985, and </w:t>
            </w:r>
            <w:r>
              <w:t>88</w:t>
            </w:r>
            <w:r w:rsidRPr="00F041D0">
              <w:t xml:space="preserve"> detailed changes to Rule 9J-5 of the Florida Administrative Code (</w:t>
            </w:r>
            <w:r>
              <w:rPr>
                <w:rStyle w:val="apple-style-span"/>
                <w:rFonts w:ascii="Verdana" w:hAnsi="Verdana"/>
                <w:color w:val="000000"/>
                <w:sz w:val="19"/>
                <w:szCs w:val="19"/>
              </w:rPr>
              <w:t>Minimum Criteria for Review of Local Government Comprehensive Plans and Plan Amendments, Evaluation and Appraisal Reports, Land Development Regulations and Determinations of Compliance</w:t>
            </w:r>
            <w:r w:rsidRPr="00F041D0" w:rsidDel="00221B90">
              <w:t>)</w:t>
            </w:r>
            <w:r>
              <w:t xml:space="preserve">. </w:t>
            </w:r>
          </w:p>
          <w:p w:rsidR="00225952" w:rsidRDefault="00225952" w:rsidP="00225952">
            <w:pPr>
              <w:spacing w:after="0"/>
              <w:rPr>
                <w:b/>
                <w:bCs/>
                <w:szCs w:val="23"/>
              </w:rPr>
            </w:pPr>
            <w:r w:rsidRPr="00F041D0">
              <w:rPr>
                <w:szCs w:val="23"/>
              </w:rPr>
              <w:t xml:space="preserve">Some major transportation-related </w:t>
            </w:r>
            <w:r>
              <w:rPr>
                <w:szCs w:val="23"/>
              </w:rPr>
              <w:t>changes include:</w:t>
            </w:r>
          </w:p>
          <w:p w:rsidR="00225952" w:rsidRPr="00F041D0" w:rsidRDefault="00225952" w:rsidP="00AD2D7A">
            <w:pPr>
              <w:pStyle w:val="BulletA"/>
              <w:numPr>
                <w:ilvl w:val="0"/>
                <w:numId w:val="79"/>
              </w:numPr>
            </w:pPr>
            <w:r>
              <w:t>A</w:t>
            </w:r>
            <w:r w:rsidRPr="00F041D0">
              <w:t xml:space="preserve"> definition and requirement for local government </w:t>
            </w:r>
            <w:r w:rsidRPr="00F041D0">
              <w:rPr>
                <w:b/>
              </w:rPr>
              <w:t>financial feasibility</w:t>
            </w:r>
            <w:r w:rsidRPr="00F041D0">
              <w:t xml:space="preserve"> through capital improvement </w:t>
            </w:r>
            <w:r w:rsidRPr="001E5026">
              <w:t>element</w:t>
            </w:r>
            <w:r>
              <w:t xml:space="preserve"> (CIE) of the LGCP</w:t>
            </w:r>
          </w:p>
          <w:p w:rsidR="00225952" w:rsidRPr="00F041D0" w:rsidRDefault="00225952" w:rsidP="00AD2D7A">
            <w:pPr>
              <w:pStyle w:val="BulletA"/>
              <w:numPr>
                <w:ilvl w:val="0"/>
                <w:numId w:val="79"/>
              </w:numPr>
            </w:pPr>
            <w:r>
              <w:t>Establishment of the Strategic Intermodal System (SIS) and r</w:t>
            </w:r>
            <w:r w:rsidRPr="00F041D0">
              <w:t xml:space="preserve">equirement that </w:t>
            </w:r>
            <w:r>
              <w:rPr>
                <w:b/>
              </w:rPr>
              <w:t>LOS</w:t>
            </w:r>
            <w:r w:rsidRPr="00F041D0">
              <w:rPr>
                <w:b/>
              </w:rPr>
              <w:t xml:space="preserve"> standards on the </w:t>
            </w:r>
            <w:r>
              <w:rPr>
                <w:b/>
              </w:rPr>
              <w:t>SIS</w:t>
            </w:r>
            <w:r w:rsidRPr="00F041D0">
              <w:t xml:space="preserve"> be consistent with FDOT standards</w:t>
            </w:r>
          </w:p>
          <w:p w:rsidR="00225952" w:rsidRPr="00F041D0" w:rsidRDefault="00225952" w:rsidP="00AD2D7A">
            <w:pPr>
              <w:pStyle w:val="BulletA"/>
              <w:numPr>
                <w:ilvl w:val="0"/>
                <w:numId w:val="79"/>
              </w:numPr>
            </w:pPr>
            <w:r>
              <w:t>D</w:t>
            </w:r>
            <w:r w:rsidRPr="00F041D0">
              <w:t>esignation</w:t>
            </w:r>
            <w:r>
              <w:t xml:space="preserve"> of</w:t>
            </w:r>
            <w:r w:rsidRPr="00F041D0">
              <w:t xml:space="preserve"> </w:t>
            </w:r>
            <w:r w:rsidRPr="00F041D0">
              <w:rPr>
                <w:b/>
              </w:rPr>
              <w:t>transportation</w:t>
            </w:r>
            <w:r w:rsidRPr="00F041D0">
              <w:t xml:space="preserve"> </w:t>
            </w:r>
            <w:r w:rsidRPr="00F041D0">
              <w:rPr>
                <w:b/>
              </w:rPr>
              <w:t xml:space="preserve">concurrency exception areas </w:t>
            </w:r>
            <w:r w:rsidRPr="00F041D0">
              <w:t xml:space="preserve">(TCEAs) and </w:t>
            </w:r>
            <w:r w:rsidRPr="00F041D0">
              <w:rPr>
                <w:b/>
              </w:rPr>
              <w:t>transportation concurrency management areas</w:t>
            </w:r>
            <w:r>
              <w:t xml:space="preserve"> (TCMAs) </w:t>
            </w:r>
            <w:r w:rsidRPr="00F041D0">
              <w:t>to encourage redevelopment and urban infill</w:t>
            </w:r>
          </w:p>
          <w:p w:rsidR="00225952" w:rsidRPr="00F041D0" w:rsidRDefault="00225952" w:rsidP="00AD2D7A">
            <w:pPr>
              <w:pStyle w:val="BulletA"/>
              <w:numPr>
                <w:ilvl w:val="0"/>
                <w:numId w:val="79"/>
              </w:numPr>
              <w:rPr>
                <w:b/>
              </w:rPr>
            </w:pPr>
            <w:r>
              <w:t>Creation of</w:t>
            </w:r>
            <w:r w:rsidRPr="00F041D0">
              <w:t xml:space="preserve"> </w:t>
            </w:r>
            <w:r w:rsidRPr="00F041D0">
              <w:rPr>
                <w:b/>
              </w:rPr>
              <w:t>multimodal transportation districts</w:t>
            </w:r>
            <w:r>
              <w:rPr>
                <w:b/>
              </w:rPr>
              <w:t xml:space="preserve"> </w:t>
            </w:r>
            <w:r w:rsidRPr="00CA3F7B">
              <w:t>(MMTDs)</w:t>
            </w:r>
            <w:r w:rsidRPr="00F041D0">
              <w:t xml:space="preserve"> to </w:t>
            </w:r>
            <w:r>
              <w:t>encourage alternative transportation options, and the requirement for local governments to coordinate with FDOT prior to designation of MMTDs</w:t>
            </w:r>
          </w:p>
          <w:p w:rsidR="00225952" w:rsidRPr="00F041D0" w:rsidRDefault="00225952" w:rsidP="00AD2D7A">
            <w:pPr>
              <w:pStyle w:val="BulletA"/>
              <w:numPr>
                <w:ilvl w:val="0"/>
                <w:numId w:val="79"/>
              </w:numPr>
            </w:pPr>
            <w:r>
              <w:t>N</w:t>
            </w:r>
            <w:r w:rsidRPr="00F041D0">
              <w:t xml:space="preserve">ew regulations governing the contribution of </w:t>
            </w:r>
            <w:r w:rsidRPr="00F041D0">
              <w:rPr>
                <w:b/>
              </w:rPr>
              <w:t xml:space="preserve">proportionate </w:t>
            </w:r>
            <w:r>
              <w:rPr>
                <w:b/>
              </w:rPr>
              <w:t>share and proportionate</w:t>
            </w:r>
            <w:r w:rsidRPr="00F041D0">
              <w:rPr>
                <w:b/>
              </w:rPr>
              <w:t xml:space="preserve"> fair share</w:t>
            </w:r>
            <w:r w:rsidRPr="00F041D0">
              <w:t xml:space="preserve"> mitigati</w:t>
            </w:r>
            <w:r>
              <w:t>on for transportation projects</w:t>
            </w:r>
          </w:p>
          <w:p w:rsidR="00225952" w:rsidRPr="00F041D0" w:rsidRDefault="00225952" w:rsidP="00AD2D7A">
            <w:pPr>
              <w:pStyle w:val="BulletA"/>
              <w:numPr>
                <w:ilvl w:val="0"/>
                <w:numId w:val="79"/>
              </w:numPr>
            </w:pPr>
            <w:r>
              <w:t>R</w:t>
            </w:r>
            <w:r w:rsidRPr="00F041D0">
              <w:t>equirements for monitoring transportation and expressway authorities</w:t>
            </w:r>
            <w:r>
              <w:t>;</w:t>
            </w:r>
          </w:p>
          <w:p w:rsidR="00225952" w:rsidRPr="00F041D0" w:rsidRDefault="00225952" w:rsidP="00AD2D7A">
            <w:pPr>
              <w:pStyle w:val="BulletA"/>
              <w:numPr>
                <w:ilvl w:val="0"/>
                <w:numId w:val="79"/>
              </w:numPr>
            </w:pPr>
            <w:r>
              <w:t>E</w:t>
            </w:r>
            <w:r w:rsidRPr="00F041D0">
              <w:t xml:space="preserve">stablishment of </w:t>
            </w:r>
            <w:r w:rsidRPr="00F041D0">
              <w:rPr>
                <w:b/>
              </w:rPr>
              <w:t>transportation concurrency backlog authorities</w:t>
            </w:r>
            <w:r w:rsidRPr="00F041D0">
              <w:t>, a county or municipal system created to plan and finance identif</w:t>
            </w:r>
            <w:r>
              <w:t>ied transportation deficiencies</w:t>
            </w:r>
          </w:p>
          <w:p w:rsidR="00225952" w:rsidRPr="00221B90" w:rsidRDefault="00225952" w:rsidP="00AD2D7A">
            <w:pPr>
              <w:pStyle w:val="BulletA"/>
              <w:numPr>
                <w:ilvl w:val="0"/>
                <w:numId w:val="79"/>
              </w:numPr>
            </w:pPr>
            <w:bookmarkStart w:id="21" w:name="_Toc232912580"/>
            <w:r>
              <w:t>N</w:t>
            </w:r>
            <w:r w:rsidRPr="00F041D0">
              <w:t xml:space="preserve">ew requirements for the transportation element to incorporate transportation strategies that address reductions in </w:t>
            </w:r>
            <w:r w:rsidRPr="00F041D0">
              <w:rPr>
                <w:b/>
              </w:rPr>
              <w:t>green house gas emissions</w:t>
            </w:r>
            <w:r>
              <w:rPr>
                <w:b/>
              </w:rPr>
              <w:t>.</w:t>
            </w:r>
            <w:bookmarkEnd w:id="21"/>
          </w:p>
          <w:p w:rsidR="00225952" w:rsidRDefault="00225952" w:rsidP="00AD2D7A">
            <w:pPr>
              <w:pStyle w:val="BulletA"/>
              <w:numPr>
                <w:ilvl w:val="0"/>
                <w:numId w:val="79"/>
              </w:numPr>
            </w:pPr>
            <w:r>
              <w:t xml:space="preserve">The creation of Dense Urban Land Areas </w:t>
            </w:r>
            <w:r w:rsidR="00563102">
              <w:t xml:space="preserve">(DULA) </w:t>
            </w:r>
            <w:r>
              <w:t>and corresponding potential for expansion of Concurrency Exemption Areas</w:t>
            </w:r>
            <w:r>
              <w:br/>
            </w:r>
            <w:r>
              <w:br/>
            </w:r>
            <w:r w:rsidR="002F3060">
              <w:br/>
            </w:r>
            <w:r>
              <w:br/>
            </w:r>
          </w:p>
        </w:tc>
      </w:tr>
    </w:tbl>
    <w:p w:rsidR="001E5026" w:rsidRDefault="001E5026">
      <w:bookmarkStart w:id="22" w:name="_Toc222036732"/>
      <w:bookmarkStart w:id="23" w:name="_Toc222037059"/>
      <w:bookmarkStart w:id="24" w:name="_Toc230353923"/>
      <w:bookmarkStart w:id="25" w:name="_Toc232912581"/>
      <w:r>
        <w:rPr>
          <w:b/>
          <w:bCs/>
        </w:rPr>
        <w:br w:type="page"/>
      </w:r>
    </w:p>
    <w:tbl>
      <w:tblPr>
        <w:tblW w:w="10458" w:type="dxa"/>
        <w:tblLayout w:type="fixed"/>
        <w:tblLook w:val="0000"/>
      </w:tblPr>
      <w:tblGrid>
        <w:gridCol w:w="2538"/>
        <w:gridCol w:w="7920"/>
      </w:tblGrid>
      <w:tr w:rsidR="008814E5" w:rsidRPr="00380CF5" w:rsidTr="00F549C1">
        <w:tc>
          <w:tcPr>
            <w:tcW w:w="10458" w:type="dxa"/>
            <w:gridSpan w:val="2"/>
          </w:tcPr>
          <w:p w:rsidR="008814E5" w:rsidRDefault="008814E5" w:rsidP="008814E5">
            <w:pPr>
              <w:pStyle w:val="Heading3"/>
            </w:pPr>
            <w:bookmarkStart w:id="26" w:name="_Toc264274059"/>
            <w:r>
              <w:lastRenderedPageBreak/>
              <w:t xml:space="preserve">1.4.1  </w:t>
            </w:r>
            <w:r w:rsidRPr="004B4486">
              <w:t>Integrating Land Use and Transportation</w:t>
            </w:r>
            <w:bookmarkEnd w:id="22"/>
            <w:bookmarkEnd w:id="23"/>
            <w:bookmarkEnd w:id="24"/>
            <w:bookmarkEnd w:id="25"/>
            <w:bookmarkEnd w:id="26"/>
          </w:p>
        </w:tc>
      </w:tr>
      <w:tr w:rsidR="00225952" w:rsidRPr="00380CF5" w:rsidTr="00F549C1">
        <w:tc>
          <w:tcPr>
            <w:tcW w:w="2538" w:type="dxa"/>
          </w:tcPr>
          <w:p w:rsidR="00225952" w:rsidRPr="004B4486" w:rsidRDefault="00225952" w:rsidP="00225952">
            <w:pPr>
              <w:pStyle w:val="Heading3"/>
            </w:pPr>
          </w:p>
        </w:tc>
        <w:tc>
          <w:tcPr>
            <w:tcW w:w="7920" w:type="dxa"/>
          </w:tcPr>
          <w:p w:rsidR="00225952" w:rsidRDefault="00225952" w:rsidP="00225952">
            <w:r>
              <w:t xml:space="preserve">The legislative changes reflect a fundamental shift in the way transportation is viewed in the state of </w:t>
            </w:r>
            <w:smartTag w:uri="urn:schemas-microsoft-com:office:smarttags" w:element="State">
              <w:smartTag w:uri="urn:schemas-microsoft-com:office:smarttags" w:element="place">
                <w:r>
                  <w:t>Florida</w:t>
                </w:r>
              </w:smartTag>
            </w:smartTag>
            <w:r>
              <w:t>. In particular, t</w:t>
            </w:r>
            <w:r w:rsidRPr="00380CF5">
              <w:t xml:space="preserve">here is a growing recognition of the land use and transportation relationship in establishing a regional vision for growth. Land use and transportation are strongly interdependent and exhibit a cyclical relationship, as depicted on </w:t>
            </w:r>
            <w:r w:rsidRPr="00380CF5">
              <w:rPr>
                <w:b/>
              </w:rPr>
              <w:t xml:space="preserve">Exhibit </w:t>
            </w:r>
            <w:r>
              <w:rPr>
                <w:b/>
              </w:rPr>
              <w:t>2</w:t>
            </w:r>
            <w:r w:rsidRPr="00380CF5">
              <w:t xml:space="preserve">. </w:t>
            </w:r>
          </w:p>
        </w:tc>
      </w:tr>
      <w:tr w:rsidR="00225952" w:rsidRPr="00380CF5" w:rsidTr="00F549C1">
        <w:trPr>
          <w:trHeight w:val="5832"/>
        </w:trPr>
        <w:tc>
          <w:tcPr>
            <w:tcW w:w="2538" w:type="dxa"/>
          </w:tcPr>
          <w:p w:rsidR="00225952" w:rsidRPr="00EC3AB9" w:rsidRDefault="00225952" w:rsidP="00225952"/>
          <w:p w:rsidR="00225952" w:rsidRPr="004B4486" w:rsidRDefault="00225952" w:rsidP="00225952">
            <w:pPr>
              <w:pStyle w:val="FigureNumber"/>
              <w:rPr>
                <w:szCs w:val="24"/>
              </w:rPr>
            </w:pPr>
            <w:r w:rsidRPr="004B4486">
              <w:t>Exhibit 2</w:t>
            </w:r>
            <w:r w:rsidRPr="004B4486">
              <w:rPr>
                <w:szCs w:val="24"/>
              </w:rPr>
              <w:t xml:space="preserve"> </w:t>
            </w:r>
          </w:p>
          <w:p w:rsidR="00225952" w:rsidRPr="00EC3AB9" w:rsidRDefault="00225952" w:rsidP="00225952">
            <w:pPr>
              <w:pStyle w:val="FigureTitle"/>
            </w:pPr>
            <w:r w:rsidRPr="00380CF5">
              <w:t>Land Use/ Transportation Cycle</w:t>
            </w:r>
          </w:p>
          <w:p w:rsidR="00225952" w:rsidRPr="00EC3AB9" w:rsidRDefault="00225952" w:rsidP="00225952"/>
          <w:p w:rsidR="00225952" w:rsidRPr="00EC3AB9" w:rsidRDefault="00225952" w:rsidP="00225952"/>
        </w:tc>
        <w:tc>
          <w:tcPr>
            <w:tcW w:w="7920" w:type="dxa"/>
          </w:tcPr>
          <w:p w:rsidR="00225952" w:rsidRPr="004B4486" w:rsidRDefault="00225952" w:rsidP="00225952">
            <w:pPr>
              <w:pStyle w:val="ExhibitNumber"/>
            </w:pPr>
            <w:r>
              <w:rPr>
                <w:noProof/>
              </w:rPr>
              <w:drawing>
                <wp:inline distT="0" distB="0" distL="0" distR="0">
                  <wp:extent cx="4439920" cy="3393440"/>
                  <wp:effectExtent l="0" t="0" r="0" b="0"/>
                  <wp:docPr id="3" name="Picture 3" descr="Fig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ure1.png"/>
                          <pic:cNvPicPr>
                            <a:picLocks noChangeAspect="1" noChangeArrowheads="1"/>
                          </pic:cNvPicPr>
                        </pic:nvPicPr>
                        <pic:blipFill>
                          <a:blip r:embed="rId29" cstate="print"/>
                          <a:srcRect l="21165" t="16910" r="21503" b="6877"/>
                          <a:stretch>
                            <a:fillRect/>
                          </a:stretch>
                        </pic:blipFill>
                        <pic:spPr bwMode="auto">
                          <a:xfrm>
                            <a:off x="0" y="0"/>
                            <a:ext cx="4439920" cy="3393440"/>
                          </a:xfrm>
                          <a:prstGeom prst="rect">
                            <a:avLst/>
                          </a:prstGeom>
                          <a:noFill/>
                          <a:ln w="9525">
                            <a:noFill/>
                            <a:miter lim="800000"/>
                            <a:headEnd/>
                            <a:tailEnd/>
                          </a:ln>
                        </pic:spPr>
                      </pic:pic>
                    </a:graphicData>
                  </a:graphic>
                </wp:inline>
              </w:drawing>
            </w:r>
          </w:p>
        </w:tc>
      </w:tr>
      <w:tr w:rsidR="00225952" w:rsidRPr="00380CF5" w:rsidTr="00F549C1">
        <w:trPr>
          <w:trHeight w:val="3510"/>
        </w:trPr>
        <w:tc>
          <w:tcPr>
            <w:tcW w:w="2538" w:type="dxa"/>
          </w:tcPr>
          <w:p w:rsidR="00225952" w:rsidRPr="004B4486" w:rsidRDefault="00225952" w:rsidP="00225952">
            <w:pPr>
              <w:pStyle w:val="Heading3"/>
            </w:pPr>
          </w:p>
        </w:tc>
        <w:tc>
          <w:tcPr>
            <w:tcW w:w="7920" w:type="dxa"/>
          </w:tcPr>
          <w:p w:rsidR="00225952" w:rsidRDefault="00225952" w:rsidP="00225952">
            <w:r w:rsidRPr="00380CF5">
              <w:t>Transportation</w:t>
            </w:r>
            <w:r>
              <w:t xml:space="preserve"> </w:t>
            </w:r>
            <w:r w:rsidRPr="00380CF5">
              <w:t>facilities and services are essential and high levels of mobility and accessibility are needed to attract economic development</w:t>
            </w:r>
            <w:r>
              <w:t>, a goal of the Florida Transportation Plan</w:t>
            </w:r>
            <w:r w:rsidRPr="00380CF5">
              <w:t>.</w:t>
            </w:r>
            <w:r>
              <w:t xml:space="preserve"> </w:t>
            </w:r>
            <w:r w:rsidRPr="00380CF5">
              <w:t xml:space="preserve"> Development often impacts the transportation system’s performance. This causes a need to improve nearby transportation facilities. Transportation improvements </w:t>
            </w:r>
            <w:r>
              <w:t>tend to</w:t>
            </w:r>
            <w:r w:rsidRPr="00380CF5">
              <w:t xml:space="preserve"> increase capacity in large increments</w:t>
            </w:r>
            <w:r>
              <w:t xml:space="preserve">. After improvements are made, </w:t>
            </w:r>
            <w:r w:rsidRPr="00380CF5">
              <w:t xml:space="preserve">traffic demand increases slowly, </w:t>
            </w:r>
            <w:r>
              <w:t xml:space="preserve">from a combination of latent demand, congestion on other facilities, and </w:t>
            </w:r>
            <w:r w:rsidRPr="00380CF5">
              <w:t>changes in land development patterns</w:t>
            </w:r>
            <w:r>
              <w:t xml:space="preserve"> leading to deteriorating levels of service (LOS)</w:t>
            </w:r>
            <w:r w:rsidRPr="00380CF5">
              <w:t xml:space="preserve">.  The nature of these patterns results in two systems that are rarely balanced. Failure to address the management of land development and the subsequent need for improved transportation planning and facilities will result in premature degradation of the transportation system. </w:t>
            </w:r>
          </w:p>
        </w:tc>
      </w:tr>
      <w:tr w:rsidR="008814E5" w:rsidRPr="00380CF5" w:rsidTr="00F549C1">
        <w:trPr>
          <w:trHeight w:val="360"/>
        </w:trPr>
        <w:tc>
          <w:tcPr>
            <w:tcW w:w="10458" w:type="dxa"/>
            <w:gridSpan w:val="2"/>
          </w:tcPr>
          <w:p w:rsidR="008814E5" w:rsidRDefault="008814E5" w:rsidP="008814E5">
            <w:pPr>
              <w:pStyle w:val="Heading3"/>
              <w:keepNext/>
              <w:keepLines/>
            </w:pPr>
            <w:bookmarkStart w:id="27" w:name="_Toc222036733"/>
            <w:bookmarkStart w:id="28" w:name="_Toc222037060"/>
            <w:bookmarkStart w:id="29" w:name="_Toc230353924"/>
            <w:bookmarkStart w:id="30" w:name="_Toc232912582"/>
            <w:bookmarkStart w:id="31" w:name="_Toc264274060"/>
            <w:r>
              <w:lastRenderedPageBreak/>
              <w:t xml:space="preserve">1.4.2  </w:t>
            </w:r>
            <w:r w:rsidRPr="004B4486">
              <w:t>Providing Multimodal Mobility Options</w:t>
            </w:r>
            <w:bookmarkEnd w:id="27"/>
            <w:bookmarkEnd w:id="28"/>
            <w:bookmarkEnd w:id="29"/>
            <w:bookmarkEnd w:id="30"/>
            <w:bookmarkEnd w:id="31"/>
          </w:p>
        </w:tc>
      </w:tr>
      <w:tr w:rsidR="00225952" w:rsidRPr="00380CF5" w:rsidTr="00F549C1">
        <w:trPr>
          <w:trHeight w:val="270"/>
        </w:trPr>
        <w:tc>
          <w:tcPr>
            <w:tcW w:w="2538" w:type="dxa"/>
          </w:tcPr>
          <w:p w:rsidR="00225952" w:rsidRPr="00EE4CA5" w:rsidRDefault="00225952" w:rsidP="008814E5">
            <w:pPr>
              <w:spacing w:before="120"/>
            </w:pPr>
            <w:r>
              <w:rPr>
                <w:noProof/>
              </w:rPr>
              <w:drawing>
                <wp:inline distT="0" distB="0" distL="0" distR="0">
                  <wp:extent cx="1262177" cy="1193147"/>
                  <wp:effectExtent l="38100" t="0" r="52273" b="26053"/>
                  <wp:docPr id="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Picture 2"/>
                          <pic:cNvPicPr>
                            <a:picLocks noChangeAspect="1" noChangeArrowheads="1"/>
                          </pic:cNvPicPr>
                        </pic:nvPicPr>
                        <pic:blipFill>
                          <a:blip r:embed="rId30" cstate="print"/>
                          <a:srcRect/>
                          <a:stretch>
                            <a:fillRect/>
                          </a:stretch>
                        </pic:blipFill>
                        <pic:spPr bwMode="auto">
                          <a:xfrm>
                            <a:off x="0" y="0"/>
                            <a:ext cx="1262177" cy="1193147"/>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tc>
        <w:tc>
          <w:tcPr>
            <w:tcW w:w="7920" w:type="dxa"/>
          </w:tcPr>
          <w:p w:rsidR="00225952" w:rsidRPr="000F2D88" w:rsidRDefault="00225952" w:rsidP="00225952">
            <w:r>
              <w:t xml:space="preserve">Another change reflected in recent legislation and incorporated into this handbook is a growing recognition of the importance of providing communities with transportation choices. </w:t>
            </w:r>
            <w:r w:rsidRPr="00380CF5">
              <w:t xml:space="preserve">As growth management planning has evolved and recognized the land use/transportation relationship, professionals have become increasingly aware of the need for additional transportation </w:t>
            </w:r>
            <w:r>
              <w:t>choices</w:t>
            </w:r>
            <w:r w:rsidRPr="00380CF5">
              <w:t xml:space="preserve">. </w:t>
            </w:r>
            <w:r>
              <w:t>S</w:t>
            </w:r>
            <w:r w:rsidRPr="00380CF5">
              <w:t xml:space="preserve">ingle occupant vehicles cannot offer the sole means of </w:t>
            </w:r>
            <w:r>
              <w:t xml:space="preserve">addressing transportation needs, </w:t>
            </w:r>
            <w:r w:rsidRPr="00380CF5">
              <w:t xml:space="preserve">if we are to create sustainable growth. Multimodal </w:t>
            </w:r>
            <w:r>
              <w:t>alternatives to the single-occupant vehicle include</w:t>
            </w:r>
            <w:r w:rsidRPr="00380CF5">
              <w:t xml:space="preserve"> walking, cycling, carpooling, and riding transit</w:t>
            </w:r>
            <w:r>
              <w:t xml:space="preserve"> just to name a few</w:t>
            </w:r>
            <w:r w:rsidRPr="00380CF5">
              <w:t xml:space="preserve">. These travel </w:t>
            </w:r>
            <w:r>
              <w:t xml:space="preserve">choices </w:t>
            </w:r>
            <w:r w:rsidRPr="00380CF5">
              <w:t>work best in compact development patterns.</w:t>
            </w:r>
            <w:r>
              <w:t xml:space="preserve"> The term used throughout this document to refer to these choices is “multi</w:t>
            </w:r>
            <w:r w:rsidRPr="000F2D88">
              <w:t>modal</w:t>
            </w:r>
            <w:r>
              <w:t xml:space="preserve"> transportation.”</w:t>
            </w:r>
          </w:p>
          <w:p w:rsidR="00225952" w:rsidRDefault="00225952" w:rsidP="00225952">
            <w:r>
              <w:t xml:space="preserve">This emphasis on multimodal transportation choices has coincided with practical considerations of providing long-term mobility on the transportation network in a cost effective way. </w:t>
            </w:r>
            <w:r w:rsidRPr="00380CF5">
              <w:t xml:space="preserve">As roadways </w:t>
            </w:r>
            <w:r>
              <w:t>have become</w:t>
            </w:r>
            <w:r w:rsidRPr="00380CF5">
              <w:t xml:space="preserve"> more congested, right-of-way for expanding </w:t>
            </w:r>
            <w:r>
              <w:t>roads has become</w:t>
            </w:r>
            <w:r w:rsidRPr="00380CF5">
              <w:t xml:space="preserve"> limited, and construction and fuel costs have increased, more emphasis is </w:t>
            </w:r>
            <w:r>
              <w:t xml:space="preserve">now </w:t>
            </w:r>
            <w:r w:rsidRPr="00380CF5">
              <w:t xml:space="preserve">being placed on multimodal options. Recent legislation (as discussed in </w:t>
            </w:r>
            <w:r w:rsidR="002274C7">
              <w:rPr>
                <w:b/>
              </w:rPr>
              <w:t>SECTION</w:t>
            </w:r>
            <w:r w:rsidRPr="00380CF5">
              <w:rPr>
                <w:b/>
              </w:rPr>
              <w:t xml:space="preserve"> 1.</w:t>
            </w:r>
            <w:r>
              <w:rPr>
                <w:b/>
              </w:rPr>
              <w:t>4</w:t>
            </w:r>
            <w:r w:rsidRPr="00380CF5">
              <w:t xml:space="preserve">) addresses the importance of transit and other multimodal strategies, including improvements for pedestrians, bicycles, paratransit, and fixed-bus route systems. It is important to identify and implement new multimodal strategies to be considered during </w:t>
            </w:r>
            <w:r>
              <w:t>development review, and this update to the handbook offers reviewers ways to incorporate these considerations into the review process.</w:t>
            </w:r>
          </w:p>
          <w:p w:rsidR="00225952" w:rsidRDefault="00225952" w:rsidP="00225952">
            <w:r>
              <w:t xml:space="preserve">The FDOT’s </w:t>
            </w:r>
            <w:r w:rsidRPr="000F2D88">
              <w:t xml:space="preserve">Public Transportation </w:t>
            </w:r>
            <w:r>
              <w:t xml:space="preserve">Office assists communities with the development of transportation choices and </w:t>
            </w:r>
            <w:r w:rsidRPr="000F2D88">
              <w:t xml:space="preserve">manages </w:t>
            </w:r>
            <w:r>
              <w:t xml:space="preserve">various </w:t>
            </w:r>
            <w:r w:rsidRPr="000F2D88">
              <w:t xml:space="preserve">transportation </w:t>
            </w:r>
            <w:r>
              <w:t xml:space="preserve">modes </w:t>
            </w:r>
            <w:r w:rsidRPr="000F2D88">
              <w:t>including air, waterway, rail, transit, bicycle and pedestrian travel.</w:t>
            </w:r>
            <w:r>
              <w:t xml:space="preserve"> As projects are reviewed, the FDOT reviewer has the ability to assist communities as they prepare for future transit service, adopt more diverse land use patterns, and plan for travel modes other than single-occupant vehicles. Technical assistance and additional resources to assist the FDOT reviewer are available from the FDOT Public Transportation Office.</w:t>
            </w:r>
          </w:p>
        </w:tc>
      </w:tr>
    </w:tbl>
    <w:p w:rsidR="00F549C1" w:rsidRDefault="00F549C1">
      <w:r>
        <w:br w:type="page"/>
      </w:r>
    </w:p>
    <w:tbl>
      <w:tblPr>
        <w:tblW w:w="10458" w:type="dxa"/>
        <w:tblLayout w:type="fixed"/>
        <w:tblLook w:val="0000"/>
      </w:tblPr>
      <w:tblGrid>
        <w:gridCol w:w="10458"/>
      </w:tblGrid>
      <w:tr w:rsidR="00F549C1" w:rsidRPr="00380CF5" w:rsidTr="00F549C1">
        <w:trPr>
          <w:trHeight w:val="270"/>
        </w:trPr>
        <w:tc>
          <w:tcPr>
            <w:tcW w:w="10458" w:type="dxa"/>
          </w:tcPr>
          <w:p w:rsidR="00F549C1" w:rsidRPr="00F549C1" w:rsidRDefault="00F549C1" w:rsidP="00F549C1">
            <w:pPr>
              <w:pStyle w:val="Quote"/>
            </w:pPr>
            <w:r w:rsidRPr="00F549C1">
              <w:rPr>
                <w:sz w:val="24"/>
              </w:rPr>
              <w:lastRenderedPageBreak/>
              <w:t xml:space="preserve">“In 1999, the </w:t>
            </w:r>
            <w:smartTag w:uri="urn:schemas-microsoft-com:office:smarttags" w:element="State">
              <w:r w:rsidRPr="00F549C1">
                <w:rPr>
                  <w:sz w:val="24"/>
                </w:rPr>
                <w:t>Florida</w:t>
              </w:r>
            </w:smartTag>
            <w:r w:rsidRPr="00F549C1">
              <w:rPr>
                <w:sz w:val="24"/>
              </w:rPr>
              <w:t xml:space="preserve"> legislature amended Chapter 163, </w:t>
            </w:r>
            <w:smartTag w:uri="urn:schemas-microsoft-com:office:smarttags" w:element="State">
              <w:smartTag w:uri="urn:schemas-microsoft-com:office:smarttags" w:element="place">
                <w:r w:rsidRPr="00F549C1">
                  <w:rPr>
                    <w:sz w:val="24"/>
                  </w:rPr>
                  <w:t>Florida</w:t>
                </w:r>
              </w:smartTag>
            </w:smartTag>
            <w:r w:rsidRPr="00F549C1">
              <w:rPr>
                <w:sz w:val="24"/>
              </w:rPr>
              <w:t xml:space="preserve"> Statutes, commonly known as the Growth Management Act, authorizing local governments to establish multimodal transportation districts. The purpose of the legislation was to provide a planning tool that </w:t>
            </w:r>
            <w:smartTag w:uri="urn:schemas-microsoft-com:office:smarttags" w:element="State">
              <w:smartTag w:uri="urn:schemas-microsoft-com:office:smarttags" w:element="place">
                <w:r w:rsidRPr="00F549C1">
                  <w:rPr>
                    <w:sz w:val="24"/>
                  </w:rPr>
                  <w:t>Florida</w:t>
                </w:r>
              </w:smartTag>
            </w:smartTag>
            <w:r w:rsidRPr="00F549C1">
              <w:rPr>
                <w:sz w:val="24"/>
              </w:rPr>
              <w:t xml:space="preserve"> communities could use to systematically reinforce community design elements that support walking, bicycling and transit use. It also enabled Florida communities to advance transportation concurrency—a policy requirement that transportation facilities be available concurrent with the impacts of development— through development of a high quality multimodal environment, rather than the typical approach involving road widening for automobile capacity.”</w:t>
            </w:r>
          </w:p>
        </w:tc>
      </w:tr>
      <w:tr w:rsidR="00F549C1" w:rsidRPr="00380CF5" w:rsidTr="00F549C1">
        <w:trPr>
          <w:trHeight w:val="270"/>
        </w:trPr>
        <w:tc>
          <w:tcPr>
            <w:tcW w:w="10458" w:type="dxa"/>
          </w:tcPr>
          <w:p w:rsidR="00F549C1" w:rsidRPr="00A72D9B" w:rsidRDefault="00F549C1" w:rsidP="00A72D9B">
            <w:pPr>
              <w:pStyle w:val="HeadSide2"/>
              <w:ind w:left="1296"/>
            </w:pPr>
            <w:r w:rsidRPr="00A72D9B">
              <w:t xml:space="preserve">Model Regulations and Plan Amendments for Multimodal Transportation Districts, </w:t>
            </w:r>
            <w:r w:rsidRPr="00A72D9B">
              <w:br/>
              <w:t>National Center for Transit Research, April 2004, page 1.</w:t>
            </w:r>
          </w:p>
        </w:tc>
      </w:tr>
    </w:tbl>
    <w:p w:rsidR="00225952" w:rsidRDefault="00225952"/>
    <w:p w:rsidR="00F549C1" w:rsidRDefault="00F549C1" w:rsidP="00C50406">
      <w:pPr>
        <w:spacing w:after="120"/>
        <w:jc w:val="right"/>
        <w:rPr>
          <w:rFonts w:ascii="Tahoma" w:hAnsi="Tahoma" w:cs="Tahoma"/>
          <w:color w:val="008080"/>
          <w:sz w:val="160"/>
          <w:szCs w:val="160"/>
        </w:rPr>
        <w:sectPr w:rsidR="00F549C1" w:rsidSect="00832911">
          <w:headerReference w:type="default" r:id="rId31"/>
          <w:type w:val="continuous"/>
          <w:pgSz w:w="12240" w:h="15840" w:code="1"/>
          <w:pgMar w:top="1440" w:right="720" w:bottom="1440" w:left="1152" w:header="720" w:footer="720" w:gutter="0"/>
          <w:cols w:space="720"/>
          <w:docGrid w:linePitch="313"/>
        </w:sectPr>
      </w:pPr>
    </w:p>
    <w:tbl>
      <w:tblPr>
        <w:tblW w:w="10350" w:type="dxa"/>
        <w:tblInd w:w="108" w:type="dxa"/>
        <w:tblLayout w:type="fixed"/>
        <w:tblLook w:val="0000"/>
      </w:tblPr>
      <w:tblGrid>
        <w:gridCol w:w="2347"/>
        <w:gridCol w:w="8003"/>
      </w:tblGrid>
      <w:tr w:rsidR="00C50406" w:rsidRPr="00380CF5" w:rsidTr="00225952">
        <w:trPr>
          <w:trHeight w:val="891"/>
        </w:trPr>
        <w:tc>
          <w:tcPr>
            <w:tcW w:w="2347" w:type="dxa"/>
            <w:vMerge w:val="restart"/>
            <w:vAlign w:val="bottom"/>
          </w:tcPr>
          <w:p w:rsidR="00C50406" w:rsidRPr="00C50406" w:rsidRDefault="00C50406" w:rsidP="00C50406">
            <w:pPr>
              <w:spacing w:after="120"/>
              <w:jc w:val="right"/>
              <w:rPr>
                <w:i/>
                <w:color w:val="008080"/>
                <w:sz w:val="160"/>
                <w:szCs w:val="160"/>
              </w:rPr>
            </w:pPr>
            <w:r w:rsidRPr="00C50406">
              <w:rPr>
                <w:rFonts w:ascii="Tahoma" w:hAnsi="Tahoma" w:cs="Tahoma"/>
                <w:color w:val="008080"/>
                <w:sz w:val="160"/>
                <w:szCs w:val="160"/>
              </w:rPr>
              <w:lastRenderedPageBreak/>
              <w:t>2</w:t>
            </w:r>
          </w:p>
        </w:tc>
        <w:tc>
          <w:tcPr>
            <w:tcW w:w="8003" w:type="dxa"/>
            <w:vAlign w:val="bottom"/>
          </w:tcPr>
          <w:p w:rsidR="00C50406" w:rsidRDefault="00C50406" w:rsidP="00225952">
            <w:pPr>
              <w:pStyle w:val="ExhibitNumber"/>
              <w:spacing w:after="0"/>
            </w:pPr>
            <w:r>
              <w:rPr>
                <w:noProof/>
              </w:rPr>
              <w:drawing>
                <wp:inline distT="0" distB="0" distL="0" distR="0">
                  <wp:extent cx="4812297" cy="3878456"/>
                  <wp:effectExtent l="19050" t="0" r="7353" b="0"/>
                  <wp:docPr id="34" name="Picture 4" descr="CH2tit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H2title.jpg"/>
                          <pic:cNvPicPr>
                            <a:picLocks noChangeAspect="1" noChangeArrowheads="1"/>
                          </pic:cNvPicPr>
                        </pic:nvPicPr>
                        <pic:blipFill>
                          <a:blip r:embed="rId32" cstate="print"/>
                          <a:stretch>
                            <a:fillRect/>
                          </a:stretch>
                        </pic:blipFill>
                        <pic:spPr bwMode="auto">
                          <a:xfrm>
                            <a:off x="0" y="0"/>
                            <a:ext cx="4811800" cy="3878055"/>
                          </a:xfrm>
                          <a:prstGeom prst="rect">
                            <a:avLst/>
                          </a:prstGeom>
                          <a:noFill/>
                          <a:ln w="9525">
                            <a:noFill/>
                            <a:miter lim="800000"/>
                            <a:headEnd/>
                            <a:tailEnd/>
                          </a:ln>
                        </pic:spPr>
                      </pic:pic>
                    </a:graphicData>
                  </a:graphic>
                </wp:inline>
              </w:drawing>
            </w:r>
          </w:p>
        </w:tc>
      </w:tr>
      <w:tr w:rsidR="00C50406" w:rsidRPr="00380CF5" w:rsidTr="00225952">
        <w:trPr>
          <w:trHeight w:val="891"/>
        </w:trPr>
        <w:tc>
          <w:tcPr>
            <w:tcW w:w="2347" w:type="dxa"/>
            <w:vMerge/>
          </w:tcPr>
          <w:p w:rsidR="00C50406" w:rsidRPr="005D0303" w:rsidRDefault="00C50406" w:rsidP="00225952">
            <w:pPr>
              <w:jc w:val="right"/>
              <w:rPr>
                <w:rFonts w:ascii="Tahoma" w:hAnsi="Tahoma" w:cs="Tahoma"/>
                <w:color w:val="4F6228"/>
                <w:sz w:val="72"/>
                <w:szCs w:val="72"/>
              </w:rPr>
            </w:pPr>
          </w:p>
        </w:tc>
        <w:tc>
          <w:tcPr>
            <w:tcW w:w="8003" w:type="dxa"/>
          </w:tcPr>
          <w:p w:rsidR="00C50406" w:rsidRDefault="00CC002A">
            <w:pPr>
              <w:pStyle w:val="Heading1"/>
            </w:pPr>
            <w:bookmarkStart w:id="32" w:name="_STANDARD_SITE_IMPACT"/>
            <w:bookmarkStart w:id="33" w:name="_THE_TRANSPORTATION_IMPACT"/>
            <w:bookmarkStart w:id="34" w:name="_Toc232912638"/>
            <w:bookmarkStart w:id="35" w:name="_Toc264274061"/>
            <w:bookmarkEnd w:id="32"/>
            <w:bookmarkEnd w:id="33"/>
            <w:r w:rsidRPr="00C759BC">
              <w:t xml:space="preserve">The Transportation Impact </w:t>
            </w:r>
            <w:bookmarkEnd w:id="34"/>
            <w:r w:rsidRPr="008A22C3">
              <w:t>Process</w:t>
            </w:r>
            <w:bookmarkEnd w:id="35"/>
          </w:p>
        </w:tc>
      </w:tr>
      <w:tr w:rsidR="00225952" w:rsidRPr="00380CF5" w:rsidTr="00225952">
        <w:trPr>
          <w:trHeight w:val="639"/>
        </w:trPr>
        <w:tc>
          <w:tcPr>
            <w:tcW w:w="10350" w:type="dxa"/>
            <w:gridSpan w:val="2"/>
          </w:tcPr>
          <w:p w:rsidR="00225952" w:rsidRPr="006135BA" w:rsidRDefault="006B7F55" w:rsidP="00225952">
            <w:pPr>
              <w:pStyle w:val="Heading2"/>
            </w:pPr>
            <w:bookmarkStart w:id="36" w:name="_Toc232341416"/>
            <w:bookmarkStart w:id="37" w:name="_Toc232912639"/>
            <w:bookmarkStart w:id="38" w:name="_Toc264274062"/>
            <w:r>
              <w:t>2.1</w:t>
            </w:r>
            <w:r w:rsidR="00225952">
              <w:t xml:space="preserve"> </w:t>
            </w:r>
            <w:r w:rsidR="00CC002A">
              <w:t xml:space="preserve"> </w:t>
            </w:r>
            <w:r w:rsidR="00225952" w:rsidRPr="006135BA">
              <w:t>Introduction</w:t>
            </w:r>
            <w:bookmarkEnd w:id="36"/>
            <w:bookmarkEnd w:id="37"/>
            <w:bookmarkEnd w:id="38"/>
          </w:p>
        </w:tc>
      </w:tr>
      <w:tr w:rsidR="00225952" w:rsidRPr="00380CF5" w:rsidTr="00225952">
        <w:trPr>
          <w:trHeight w:val="1080"/>
        </w:trPr>
        <w:tc>
          <w:tcPr>
            <w:tcW w:w="2347" w:type="dxa"/>
          </w:tcPr>
          <w:p w:rsidR="00225952" w:rsidRDefault="00225952" w:rsidP="00225952">
            <w:r>
              <w:t>-</w:t>
            </w:r>
          </w:p>
        </w:tc>
        <w:tc>
          <w:tcPr>
            <w:tcW w:w="8003" w:type="dxa"/>
          </w:tcPr>
          <w:p w:rsidR="00225952" w:rsidRDefault="00225952" w:rsidP="00225952">
            <w:r>
              <w:t xml:space="preserve">This chapter provides technical guidance for reviewing transportation impact studies. </w:t>
            </w:r>
            <w:r w:rsidRPr="00761CE8">
              <w:t>It is not intended to replace specific local</w:t>
            </w:r>
            <w:r>
              <w:t xml:space="preserve"> or regional </w:t>
            </w:r>
            <w:r w:rsidRPr="00761CE8">
              <w:t>requirements</w:t>
            </w:r>
            <w:r>
              <w:t xml:space="preserve">. </w:t>
            </w:r>
          </w:p>
          <w:p w:rsidR="00221BB9" w:rsidRDefault="00225952">
            <w:pPr>
              <w:spacing w:after="60"/>
            </w:pPr>
            <w:r>
              <w:t>The objectives of an impact study and its review are the following:</w:t>
            </w:r>
          </w:p>
          <w:p w:rsidR="00225952" w:rsidRDefault="00225952" w:rsidP="008D2D1A">
            <w:pPr>
              <w:numPr>
                <w:ilvl w:val="0"/>
                <w:numId w:val="18"/>
              </w:numPr>
              <w:spacing w:after="0"/>
              <w:rPr>
                <w:b/>
                <w:color w:val="632423"/>
              </w:rPr>
            </w:pPr>
            <w:r>
              <w:t>To have an open and honest dialogue with all parties</w:t>
            </w:r>
          </w:p>
          <w:p w:rsidR="00225952" w:rsidRDefault="00225952" w:rsidP="008D2D1A">
            <w:pPr>
              <w:numPr>
                <w:ilvl w:val="0"/>
                <w:numId w:val="18"/>
              </w:numPr>
              <w:spacing w:after="0"/>
              <w:rPr>
                <w:b/>
                <w:color w:val="632423"/>
              </w:rPr>
            </w:pPr>
            <w:r>
              <w:t>An realistic study and review of the possible impacts of the  new development</w:t>
            </w:r>
          </w:p>
          <w:p w:rsidR="00225952" w:rsidRDefault="00225952" w:rsidP="008D2D1A">
            <w:pPr>
              <w:numPr>
                <w:ilvl w:val="0"/>
                <w:numId w:val="18"/>
              </w:numPr>
              <w:spacing w:after="0"/>
              <w:rPr>
                <w:b/>
                <w:color w:val="632423"/>
              </w:rPr>
            </w:pPr>
            <w:r>
              <w:t xml:space="preserve">Provide a </w:t>
            </w:r>
            <w:r w:rsidR="00A72D9B">
              <w:t>multimodal</w:t>
            </w:r>
            <w:r>
              <w:t xml:space="preserve"> perspective in handling the expected impacts</w:t>
            </w:r>
          </w:p>
          <w:p w:rsidR="00225952" w:rsidRDefault="00225952" w:rsidP="008D2D1A">
            <w:pPr>
              <w:numPr>
                <w:ilvl w:val="0"/>
                <w:numId w:val="18"/>
              </w:numPr>
              <w:spacing w:after="0"/>
              <w:rPr>
                <w:b/>
                <w:color w:val="632423"/>
              </w:rPr>
            </w:pPr>
            <w:r>
              <w:t>To make decisions based on the transportation services, and the relationship with land use</w:t>
            </w:r>
          </w:p>
          <w:p w:rsidR="00225952" w:rsidRDefault="00225952" w:rsidP="008D2D1A">
            <w:pPr>
              <w:numPr>
                <w:ilvl w:val="0"/>
                <w:numId w:val="18"/>
              </w:numPr>
              <w:spacing w:after="0"/>
              <w:rPr>
                <w:b/>
                <w:color w:val="632423"/>
              </w:rPr>
            </w:pPr>
            <w:r>
              <w:t>To have a fair assessment of the impacts and the need for improvements</w:t>
            </w:r>
          </w:p>
          <w:p w:rsidR="00221BB9" w:rsidRDefault="00225952">
            <w:pPr>
              <w:numPr>
                <w:ilvl w:val="0"/>
                <w:numId w:val="18"/>
              </w:numPr>
              <w:rPr>
                <w:b/>
                <w:color w:val="632423"/>
              </w:rPr>
            </w:pPr>
            <w:r>
              <w:t>To achieve a safe and efficient transportation system adjacent to the development site</w:t>
            </w:r>
          </w:p>
          <w:p w:rsidR="00225952" w:rsidRPr="00DD15F6" w:rsidRDefault="00225952" w:rsidP="00DD15F6">
            <w:pPr>
              <w:ind w:left="720"/>
              <w:rPr>
                <w:b/>
                <w:i/>
                <w:color w:val="632423"/>
              </w:rPr>
            </w:pPr>
            <w:r w:rsidRPr="00DD15F6">
              <w:rPr>
                <w:i/>
                <w:sz w:val="22"/>
              </w:rPr>
              <w:t>Adapted from:  Transportation Impact Analysis for Site Development, ITE 2005</w:t>
            </w:r>
          </w:p>
        </w:tc>
      </w:tr>
      <w:tr w:rsidR="001E5026" w:rsidRPr="00380CF5" w:rsidTr="001E5026">
        <w:trPr>
          <w:trHeight w:val="909"/>
        </w:trPr>
        <w:tc>
          <w:tcPr>
            <w:tcW w:w="2347" w:type="dxa"/>
          </w:tcPr>
          <w:p w:rsidR="001E5026" w:rsidRPr="005862AE" w:rsidRDefault="001E5026">
            <w:pPr>
              <w:pStyle w:val="Exhibit"/>
            </w:pPr>
          </w:p>
        </w:tc>
        <w:tc>
          <w:tcPr>
            <w:tcW w:w="8003" w:type="dxa"/>
          </w:tcPr>
          <w:p w:rsidR="001E5026" w:rsidRDefault="001E5026" w:rsidP="00D53BEE">
            <w:pPr>
              <w:rPr>
                <w:rFonts w:ascii="Georgia" w:hAnsi="Georgia"/>
                <w:noProof/>
                <w:color w:val="17365D" w:themeColor="text2" w:themeShade="BF"/>
              </w:rPr>
            </w:pPr>
            <w:r w:rsidRPr="00AB29A7">
              <w:t xml:space="preserve">Exhibit </w:t>
            </w:r>
            <w:r w:rsidR="00D53BEE">
              <w:t>3</w:t>
            </w:r>
            <w:r w:rsidRPr="00166DB6">
              <w:t xml:space="preserve"> illustrates the basic framework for </w:t>
            </w:r>
            <w:r>
              <w:t xml:space="preserve">transportation </w:t>
            </w:r>
            <w:r w:rsidRPr="00166DB6">
              <w:t>impact</w:t>
            </w:r>
            <w:r>
              <w:t xml:space="preserve"> </w:t>
            </w:r>
            <w:r w:rsidRPr="00166DB6">
              <w:t xml:space="preserve">analysis and review. In general, </w:t>
            </w:r>
            <w:r>
              <w:t>transportation</w:t>
            </w:r>
            <w:r w:rsidRPr="00166DB6">
              <w:t xml:space="preserve"> impact</w:t>
            </w:r>
            <w:r>
              <w:t xml:space="preserve"> </w:t>
            </w:r>
            <w:r w:rsidRPr="00166DB6">
              <w:t xml:space="preserve">analyses and reviews should follow this </w:t>
            </w:r>
            <w:r>
              <w:t xml:space="preserve">general </w:t>
            </w:r>
            <w:r w:rsidRPr="00166DB6">
              <w:t>set of basic</w:t>
            </w:r>
            <w:r>
              <w:t xml:space="preserve"> </w:t>
            </w:r>
            <w:r w:rsidRPr="00166DB6">
              <w:t>procedures.</w:t>
            </w:r>
          </w:p>
        </w:tc>
      </w:tr>
      <w:tr w:rsidR="00225952" w:rsidRPr="00380CF5" w:rsidTr="00225952">
        <w:trPr>
          <w:trHeight w:val="2340"/>
        </w:trPr>
        <w:tc>
          <w:tcPr>
            <w:tcW w:w="2347" w:type="dxa"/>
          </w:tcPr>
          <w:p w:rsidR="00225952" w:rsidRDefault="00225952">
            <w:pPr>
              <w:pStyle w:val="Exhibit"/>
            </w:pPr>
            <w:r w:rsidRPr="005862AE">
              <w:t xml:space="preserve">Exhibit </w:t>
            </w:r>
            <w:r w:rsidR="00D53BEE">
              <w:t>3</w:t>
            </w:r>
          </w:p>
          <w:p w:rsidR="00225952" w:rsidRDefault="00225952" w:rsidP="00225952">
            <w:pPr>
              <w:pStyle w:val="ExhibitTitle"/>
            </w:pPr>
            <w:r w:rsidRPr="008A22C3">
              <w:t>Basic Transportation Impact Analysis</w:t>
            </w:r>
          </w:p>
        </w:tc>
        <w:tc>
          <w:tcPr>
            <w:tcW w:w="8003" w:type="dxa"/>
          </w:tcPr>
          <w:p w:rsidR="00225952" w:rsidRDefault="00225952" w:rsidP="00225952">
            <w:pPr>
              <w:pStyle w:val="Heading4"/>
              <w:jc w:val="center"/>
              <w:rPr>
                <w:szCs w:val="24"/>
              </w:rPr>
            </w:pPr>
            <w:r>
              <w:rPr>
                <w:rFonts w:ascii="Georgia" w:hAnsi="Georgia"/>
                <w:noProof/>
                <w:color w:val="17365D" w:themeColor="text2" w:themeShade="BF"/>
                <w:sz w:val="22"/>
              </w:rPr>
              <w:drawing>
                <wp:inline distT="0" distB="0" distL="0" distR="0">
                  <wp:extent cx="2648290" cy="3851967"/>
                  <wp:effectExtent l="19050" t="0" r="0" b="0"/>
                  <wp:docPr id="36" name="Picture 99" descr="Exhibit2-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hibit2-1.emf"/>
                          <pic:cNvPicPr/>
                        </pic:nvPicPr>
                        <pic:blipFill>
                          <a:blip r:embed="rId33" cstate="print"/>
                          <a:stretch>
                            <a:fillRect/>
                          </a:stretch>
                        </pic:blipFill>
                        <pic:spPr>
                          <a:xfrm>
                            <a:off x="0" y="0"/>
                            <a:ext cx="2648290" cy="3851967"/>
                          </a:xfrm>
                          <a:prstGeom prst="rect">
                            <a:avLst/>
                          </a:prstGeom>
                        </pic:spPr>
                      </pic:pic>
                    </a:graphicData>
                  </a:graphic>
                </wp:inline>
              </w:drawing>
            </w:r>
          </w:p>
        </w:tc>
      </w:tr>
      <w:tr w:rsidR="00225952" w:rsidRPr="00380CF5" w:rsidTr="00225952">
        <w:trPr>
          <w:trHeight w:val="252"/>
        </w:trPr>
        <w:tc>
          <w:tcPr>
            <w:tcW w:w="10350" w:type="dxa"/>
            <w:gridSpan w:val="2"/>
          </w:tcPr>
          <w:p w:rsidR="00225952" w:rsidRDefault="006B7F55" w:rsidP="00225952">
            <w:pPr>
              <w:pStyle w:val="Heading3"/>
              <w:rPr>
                <w:szCs w:val="24"/>
              </w:rPr>
            </w:pPr>
            <w:bookmarkStart w:id="39" w:name="_Toc264274063"/>
            <w:r>
              <w:t>2.1</w:t>
            </w:r>
            <w:r w:rsidR="00225952">
              <w:t xml:space="preserve">.1  </w:t>
            </w:r>
            <w:r w:rsidR="000B2C1D">
              <w:t>Importance of Multi</w:t>
            </w:r>
            <w:r w:rsidR="00225952" w:rsidRPr="00B4138D">
              <w:t>modal Considerations</w:t>
            </w:r>
            <w:bookmarkEnd w:id="39"/>
          </w:p>
        </w:tc>
      </w:tr>
      <w:tr w:rsidR="00225952" w:rsidRPr="00380CF5" w:rsidTr="00225952">
        <w:trPr>
          <w:trHeight w:val="2340"/>
        </w:trPr>
        <w:tc>
          <w:tcPr>
            <w:tcW w:w="2347" w:type="dxa"/>
          </w:tcPr>
          <w:p w:rsidR="00221BB9" w:rsidRDefault="00225952">
            <w:pPr>
              <w:spacing w:after="0"/>
              <w:jc w:val="center"/>
              <w:rPr>
                <w:highlight w:val="red"/>
              </w:rPr>
            </w:pPr>
            <w:r>
              <w:rPr>
                <w:noProof/>
              </w:rPr>
              <w:drawing>
                <wp:inline distT="0" distB="0" distL="0" distR="0">
                  <wp:extent cx="1421765" cy="560705"/>
                  <wp:effectExtent l="19050" t="0" r="6985" b="0"/>
                  <wp:docPr id="103" name="Picture 102" descr="button_presentation.png">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tton_presentation.png"/>
                          <pic:cNvPicPr/>
                        </pic:nvPicPr>
                        <pic:blipFill>
                          <a:blip r:embed="rId35" cstate="print"/>
                          <a:stretch>
                            <a:fillRect/>
                          </a:stretch>
                        </pic:blipFill>
                        <pic:spPr>
                          <a:xfrm>
                            <a:off x="0" y="0"/>
                            <a:ext cx="1421765" cy="560705"/>
                          </a:xfrm>
                          <a:prstGeom prst="rect">
                            <a:avLst/>
                          </a:prstGeom>
                        </pic:spPr>
                      </pic:pic>
                    </a:graphicData>
                  </a:graphic>
                </wp:inline>
              </w:drawing>
            </w:r>
          </w:p>
          <w:p w:rsidR="00221BB9" w:rsidRDefault="00225952">
            <w:pPr>
              <w:pStyle w:val="HeadSide20"/>
              <w:ind w:right="0"/>
              <w:jc w:val="center"/>
            </w:pPr>
            <w:r w:rsidRPr="008A22C3">
              <w:t>Standard Site Impact</w:t>
            </w:r>
          </w:p>
          <w:p w:rsidR="00221BB9" w:rsidRDefault="00225952">
            <w:pPr>
              <w:pStyle w:val="SidebarSentence"/>
              <w:ind w:right="0"/>
              <w:jc w:val="center"/>
            </w:pPr>
            <w:r>
              <w:rPr>
                <w:noProof/>
              </w:rPr>
              <w:drawing>
                <wp:inline distT="0" distB="0" distL="0" distR="0">
                  <wp:extent cx="1408430" cy="543560"/>
                  <wp:effectExtent l="19050" t="0" r="0" b="0"/>
                  <wp:docPr id="7" name="Picture 8" descr="button_PDFlink.png">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utton_PDFlink.png"/>
                          <pic:cNvPicPr>
                            <a:picLocks noChangeAspect="1" noChangeArrowheads="1"/>
                          </pic:cNvPicPr>
                        </pic:nvPicPr>
                        <pic:blipFill>
                          <a:blip r:embed="rId15" cstate="print"/>
                          <a:srcRect/>
                          <a:stretch>
                            <a:fillRect/>
                          </a:stretch>
                        </pic:blipFill>
                        <pic:spPr bwMode="auto">
                          <a:xfrm>
                            <a:off x="0" y="0"/>
                            <a:ext cx="1408430" cy="543560"/>
                          </a:xfrm>
                          <a:prstGeom prst="rect">
                            <a:avLst/>
                          </a:prstGeom>
                          <a:noFill/>
                          <a:ln w="9525">
                            <a:noFill/>
                            <a:miter lim="800000"/>
                            <a:headEnd/>
                            <a:tailEnd/>
                          </a:ln>
                        </pic:spPr>
                      </pic:pic>
                    </a:graphicData>
                  </a:graphic>
                </wp:inline>
              </w:drawing>
            </w:r>
            <w:r w:rsidR="00F30B41" w:rsidRPr="00F30B41">
              <w:t>Transit Guidelines</w:t>
            </w:r>
          </w:p>
          <w:p w:rsidR="00221BB9" w:rsidRDefault="00255107">
            <w:pPr>
              <w:pStyle w:val="SidebarSentence"/>
              <w:spacing w:after="0"/>
              <w:ind w:right="0"/>
            </w:pPr>
            <w:r w:rsidRPr="00255107">
              <w:rPr>
                <w:noProof/>
              </w:rPr>
              <w:drawing>
                <wp:inline distT="0" distB="0" distL="0" distR="0">
                  <wp:extent cx="1408430" cy="543560"/>
                  <wp:effectExtent l="19050" t="0" r="0" b="0"/>
                  <wp:docPr id="541" name="Picture 8" descr="button_PDFlink.png">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utton_PDFlink.png"/>
                          <pic:cNvPicPr>
                            <a:picLocks noChangeAspect="1" noChangeArrowheads="1"/>
                          </pic:cNvPicPr>
                        </pic:nvPicPr>
                        <pic:blipFill>
                          <a:blip r:embed="rId15" cstate="print"/>
                          <a:srcRect/>
                          <a:stretch>
                            <a:fillRect/>
                          </a:stretch>
                        </pic:blipFill>
                        <pic:spPr bwMode="auto">
                          <a:xfrm>
                            <a:off x="0" y="0"/>
                            <a:ext cx="1408430" cy="543560"/>
                          </a:xfrm>
                          <a:prstGeom prst="rect">
                            <a:avLst/>
                          </a:prstGeom>
                          <a:noFill/>
                          <a:ln w="9525">
                            <a:noFill/>
                            <a:miter lim="800000"/>
                            <a:headEnd/>
                            <a:tailEnd/>
                          </a:ln>
                        </pic:spPr>
                      </pic:pic>
                    </a:graphicData>
                  </a:graphic>
                </wp:inline>
              </w:drawing>
            </w:r>
          </w:p>
          <w:p w:rsidR="00221BB9" w:rsidRDefault="00255107">
            <w:pPr>
              <w:pStyle w:val="SidebarSentence"/>
              <w:spacing w:after="0"/>
              <w:ind w:right="0"/>
              <w:jc w:val="center"/>
            </w:pPr>
            <w:r>
              <w:t>Multimodal Studies</w:t>
            </w:r>
          </w:p>
        </w:tc>
        <w:tc>
          <w:tcPr>
            <w:tcW w:w="8003" w:type="dxa"/>
          </w:tcPr>
          <w:p w:rsidR="00221BB9" w:rsidRDefault="00225952">
            <w:pPr>
              <w:spacing w:after="360"/>
            </w:pPr>
            <w:r>
              <w:t xml:space="preserve">There are opportunities for including multimodal considerations at each stage of the transportation impact analysis. Some of the best references on these </w:t>
            </w:r>
            <w:r w:rsidR="00A72D9B">
              <w:t>multimodal</w:t>
            </w:r>
            <w:r>
              <w:t xml:space="preserve"> considerations are:</w:t>
            </w:r>
          </w:p>
          <w:p w:rsidR="00221BB9" w:rsidRDefault="00225952">
            <w:pPr>
              <w:numPr>
                <w:ilvl w:val="0"/>
                <w:numId w:val="17"/>
              </w:numPr>
              <w:spacing w:after="480"/>
              <w:rPr>
                <w:b/>
              </w:rPr>
            </w:pPr>
            <w:r>
              <w:t xml:space="preserve"> </w:t>
            </w:r>
            <w:hyperlink r:id="rId37" w:history="1">
              <w:r w:rsidRPr="008A22C3">
                <w:rPr>
                  <w:rStyle w:val="Hyperlink"/>
                  <w:i/>
                </w:rPr>
                <w:t>Guidelines and Performance Measures to Incorporate Transit and Other Multimodal Considerations into the FDOT DRI Review Process</w:t>
              </w:r>
            </w:hyperlink>
            <w:r>
              <w:rPr>
                <w:b/>
                <w:i/>
              </w:rPr>
              <w:t>,</w:t>
            </w:r>
            <w:r w:rsidRPr="000E2C42">
              <w:rPr>
                <w:b/>
              </w:rPr>
              <w:t xml:space="preserve"> </w:t>
            </w:r>
            <w:r w:rsidRPr="0095673A">
              <w:rPr>
                <w:i/>
              </w:rPr>
              <w:t>State of Florida Department of Transportation</w:t>
            </w:r>
            <w:r>
              <w:rPr>
                <w:i/>
              </w:rPr>
              <w:t xml:space="preserve"> Public Transportation Office,</w:t>
            </w:r>
            <w:r w:rsidRPr="000E2C42">
              <w:rPr>
                <w:b/>
              </w:rPr>
              <w:t xml:space="preserve"> </w:t>
            </w:r>
            <w:r w:rsidRPr="00EC607D">
              <w:rPr>
                <w:i/>
              </w:rPr>
              <w:t>2008</w:t>
            </w:r>
            <w:r w:rsidRPr="00EC607D">
              <w:t xml:space="preserve"> </w:t>
            </w:r>
          </w:p>
          <w:p w:rsidR="00225952" w:rsidRDefault="00745389" w:rsidP="008D2D1A">
            <w:pPr>
              <w:numPr>
                <w:ilvl w:val="0"/>
                <w:numId w:val="17"/>
              </w:numPr>
              <w:spacing w:after="120"/>
            </w:pPr>
            <w:hyperlink r:id="rId38" w:history="1">
              <w:r w:rsidR="00225952" w:rsidRPr="008A22C3">
                <w:rPr>
                  <w:rStyle w:val="Hyperlink"/>
                  <w:i/>
                </w:rPr>
                <w:t>Multimodal Trade-Off Analysis in Traffic Impact Studies</w:t>
              </w:r>
            </w:hyperlink>
            <w:r w:rsidR="00225952" w:rsidRPr="0095673A">
              <w:rPr>
                <w:i/>
              </w:rPr>
              <w:t>, State of Florida Department of Transportation, Office of Systems Planning, 2003</w:t>
            </w:r>
          </w:p>
        </w:tc>
      </w:tr>
    </w:tbl>
    <w:p w:rsidR="00225952" w:rsidRDefault="00225952">
      <w:r>
        <w:rPr>
          <w:b/>
          <w:bCs/>
        </w:rPr>
        <w:br w:type="page"/>
      </w:r>
    </w:p>
    <w:tbl>
      <w:tblPr>
        <w:tblW w:w="10350" w:type="dxa"/>
        <w:tblInd w:w="108" w:type="dxa"/>
        <w:tblLayout w:type="fixed"/>
        <w:tblLook w:val="0000"/>
      </w:tblPr>
      <w:tblGrid>
        <w:gridCol w:w="2431"/>
        <w:gridCol w:w="7919"/>
      </w:tblGrid>
      <w:tr w:rsidR="00225952" w:rsidRPr="00380CF5" w:rsidTr="00225952">
        <w:trPr>
          <w:trHeight w:val="459"/>
        </w:trPr>
        <w:tc>
          <w:tcPr>
            <w:tcW w:w="10350" w:type="dxa"/>
            <w:gridSpan w:val="2"/>
          </w:tcPr>
          <w:p w:rsidR="00225952" w:rsidRDefault="006B7F55" w:rsidP="00225952">
            <w:pPr>
              <w:pStyle w:val="Heading3"/>
            </w:pPr>
            <w:bookmarkStart w:id="40" w:name="_Toc264274064"/>
            <w:r>
              <w:lastRenderedPageBreak/>
              <w:t>2.1</w:t>
            </w:r>
            <w:r w:rsidR="00225952">
              <w:t xml:space="preserve">.2  </w:t>
            </w:r>
            <w:r w:rsidR="00225952" w:rsidRPr="006135BA">
              <w:t xml:space="preserve">The </w:t>
            </w:r>
            <w:r w:rsidR="00225952">
              <w:t xml:space="preserve">Types </w:t>
            </w:r>
            <w:r w:rsidR="00225952" w:rsidRPr="006135BA">
              <w:t xml:space="preserve">of Traffic </w:t>
            </w:r>
            <w:r w:rsidR="00225952">
              <w:t>I</w:t>
            </w:r>
            <w:r w:rsidR="00225952" w:rsidRPr="006135BA">
              <w:t>mpact Studies We Review</w:t>
            </w:r>
            <w:bookmarkEnd w:id="40"/>
          </w:p>
        </w:tc>
      </w:tr>
      <w:tr w:rsidR="00225952" w:rsidRPr="00380CF5" w:rsidTr="0021455D">
        <w:trPr>
          <w:trHeight w:val="1800"/>
        </w:trPr>
        <w:tc>
          <w:tcPr>
            <w:tcW w:w="2431" w:type="dxa"/>
          </w:tcPr>
          <w:p w:rsidR="00225952" w:rsidRDefault="00225952" w:rsidP="00225952">
            <w:pPr>
              <w:pStyle w:val="Heading4"/>
            </w:pPr>
          </w:p>
        </w:tc>
        <w:tc>
          <w:tcPr>
            <w:tcW w:w="7919" w:type="dxa"/>
          </w:tcPr>
          <w:p w:rsidR="00225952" w:rsidRDefault="00225952" w:rsidP="00225952">
            <w:pPr>
              <w:spacing w:after="60"/>
            </w:pPr>
            <w:r>
              <w:t>Traffic studies analyzed by FDOT Planning</w:t>
            </w:r>
          </w:p>
          <w:p w:rsidR="00225952" w:rsidRDefault="00225952" w:rsidP="00AD2D7A">
            <w:pPr>
              <w:pStyle w:val="BulletA"/>
              <w:numPr>
                <w:ilvl w:val="0"/>
                <w:numId w:val="160"/>
              </w:numPr>
            </w:pPr>
            <w:r>
              <w:t>Developments of Regional Impact (DRIs)</w:t>
            </w:r>
          </w:p>
          <w:p w:rsidR="00225952" w:rsidRDefault="00225952" w:rsidP="00AD2D7A">
            <w:pPr>
              <w:pStyle w:val="BulletA"/>
              <w:numPr>
                <w:ilvl w:val="0"/>
                <w:numId w:val="160"/>
              </w:numPr>
            </w:pPr>
            <w:r>
              <w:t>Comprehensive Plan Amendments</w:t>
            </w:r>
          </w:p>
          <w:p w:rsidR="00225952" w:rsidRDefault="00225952" w:rsidP="00AD2D7A">
            <w:pPr>
              <w:pStyle w:val="BulletA"/>
              <w:numPr>
                <w:ilvl w:val="0"/>
                <w:numId w:val="160"/>
              </w:numPr>
            </w:pPr>
            <w:r>
              <w:t>Concurrency Study/Check (sub DRIs of 200,000 square feet, or so)  on critical corridors</w:t>
            </w:r>
          </w:p>
        </w:tc>
      </w:tr>
      <w:tr w:rsidR="00225952" w:rsidRPr="00380CF5" w:rsidTr="00225952">
        <w:trPr>
          <w:trHeight w:val="450"/>
        </w:trPr>
        <w:tc>
          <w:tcPr>
            <w:tcW w:w="10350" w:type="dxa"/>
            <w:gridSpan w:val="2"/>
          </w:tcPr>
          <w:p w:rsidR="00225952" w:rsidRDefault="006B7F55" w:rsidP="00225952">
            <w:pPr>
              <w:pStyle w:val="Heading3"/>
            </w:pPr>
            <w:bookmarkStart w:id="41" w:name="_Toc264274065"/>
            <w:r>
              <w:t>2.1</w:t>
            </w:r>
            <w:r w:rsidR="00225952">
              <w:t xml:space="preserve">.3  </w:t>
            </w:r>
            <w:r w:rsidR="00225952" w:rsidRPr="006135BA">
              <w:t>Considerations for Study Requirements</w:t>
            </w:r>
            <w:bookmarkEnd w:id="41"/>
          </w:p>
        </w:tc>
      </w:tr>
      <w:tr w:rsidR="00225952" w:rsidRPr="00380CF5" w:rsidTr="0021455D">
        <w:trPr>
          <w:trHeight w:val="675"/>
        </w:trPr>
        <w:tc>
          <w:tcPr>
            <w:tcW w:w="2431" w:type="dxa"/>
          </w:tcPr>
          <w:p w:rsidR="00225952" w:rsidRDefault="00225952" w:rsidP="00225952">
            <w:pPr>
              <w:pStyle w:val="SidebarSentence"/>
            </w:pPr>
          </w:p>
          <w:p w:rsidR="00225952" w:rsidRDefault="00225952" w:rsidP="00225952">
            <w:pPr>
              <w:pStyle w:val="SidebarSentence"/>
            </w:pPr>
          </w:p>
        </w:tc>
        <w:tc>
          <w:tcPr>
            <w:tcW w:w="7919" w:type="dxa"/>
          </w:tcPr>
          <w:p w:rsidR="00225952" w:rsidRDefault="00225952" w:rsidP="00DD15F6">
            <w:pPr>
              <w:spacing w:after="120"/>
            </w:pPr>
            <w:r w:rsidRPr="001627F6">
              <w:t>The size, location, and type of development</w:t>
            </w:r>
            <w:r>
              <w:t xml:space="preserve">, </w:t>
            </w:r>
            <w:r w:rsidRPr="001627F6">
              <w:t>as well as jurisdictional requirements</w:t>
            </w:r>
            <w:r>
              <w:t>,</w:t>
            </w:r>
            <w:r w:rsidRPr="001627F6">
              <w:t xml:space="preserve"> will</w:t>
            </w:r>
            <w:r>
              <w:t xml:space="preserve"> influence the type and level of detail </w:t>
            </w:r>
            <w:r w:rsidRPr="001627F6">
              <w:t>required for each step</w:t>
            </w:r>
            <w:r>
              <w:t xml:space="preserve"> of the impact study.  </w:t>
            </w:r>
          </w:p>
        </w:tc>
      </w:tr>
      <w:tr w:rsidR="00225952" w:rsidRPr="00380CF5" w:rsidTr="0021455D">
        <w:trPr>
          <w:trHeight w:val="1953"/>
        </w:trPr>
        <w:tc>
          <w:tcPr>
            <w:tcW w:w="2431" w:type="dxa"/>
          </w:tcPr>
          <w:p w:rsidR="00225952" w:rsidRDefault="00225952" w:rsidP="00225952">
            <w:pPr>
              <w:pStyle w:val="Heading4"/>
            </w:pPr>
            <w:r>
              <w:t>Methodology Development</w:t>
            </w:r>
          </w:p>
        </w:tc>
        <w:tc>
          <w:tcPr>
            <w:tcW w:w="7919" w:type="dxa"/>
          </w:tcPr>
          <w:p w:rsidR="00225952" w:rsidRPr="007444A7" w:rsidRDefault="00225952" w:rsidP="00DD15F6">
            <w:pPr>
              <w:spacing w:after="120"/>
            </w:pPr>
            <w:r w:rsidRPr="007C277B">
              <w:rPr>
                <w:b/>
              </w:rPr>
              <w:t>Methodology Development</w:t>
            </w:r>
            <w:r>
              <w:t xml:space="preserve"> is the first step in any traffic impact analysis. This process should define the data, techniques, practices, and assumptions that will be used while preparing a transportation impact analysis. All parties should reach agreement regarding the data to be considered, the basic criteria and factors to be used in the study. This step can be helpful to set the stage for integrating the consideration of transit and multimodal services into the analysis.  Once a methodology has been defined and accepted, the technical analyses can begin.</w:t>
            </w:r>
          </w:p>
        </w:tc>
      </w:tr>
      <w:tr w:rsidR="00225952" w:rsidRPr="00380CF5" w:rsidTr="0021455D">
        <w:trPr>
          <w:trHeight w:val="360"/>
        </w:trPr>
        <w:tc>
          <w:tcPr>
            <w:tcW w:w="2431" w:type="dxa"/>
          </w:tcPr>
          <w:p w:rsidR="00225952" w:rsidRDefault="00225952" w:rsidP="00225952">
            <w:pPr>
              <w:pStyle w:val="Heading4"/>
            </w:pPr>
            <w:r>
              <w:t>Existing Conditions</w:t>
            </w:r>
          </w:p>
        </w:tc>
        <w:tc>
          <w:tcPr>
            <w:tcW w:w="7919" w:type="dxa"/>
          </w:tcPr>
          <w:p w:rsidR="00225952" w:rsidRPr="007444A7" w:rsidRDefault="00225952" w:rsidP="00DD15F6">
            <w:pPr>
              <w:spacing w:after="120"/>
            </w:pPr>
            <w:r w:rsidRPr="007444A7">
              <w:t xml:space="preserve">An </w:t>
            </w:r>
            <w:r w:rsidRPr="000D3134">
              <w:rPr>
                <w:b/>
              </w:rPr>
              <w:t>Existing Conditions</w:t>
            </w:r>
            <w:r w:rsidRPr="007444A7">
              <w:t xml:space="preserve"> analysis is developed to assess current conditions and establish a basis for comparison to future conditions. In addition to the roadway network the study should analyze the following: the transit network</w:t>
            </w:r>
            <w:r>
              <w:t xml:space="preserve"> (not just the routes but frequency and other measures of transit quality)</w:t>
            </w:r>
            <w:r w:rsidRPr="007444A7">
              <w:t>, sidewalk</w:t>
            </w:r>
            <w:r>
              <w:t>, bicycle,</w:t>
            </w:r>
            <w:r w:rsidRPr="007444A7">
              <w:t xml:space="preserve"> pedestrian facilities</w:t>
            </w:r>
            <w:r>
              <w:t xml:space="preserve">. </w:t>
            </w:r>
          </w:p>
        </w:tc>
      </w:tr>
      <w:tr w:rsidR="00225952" w:rsidRPr="00380CF5" w:rsidTr="0021455D">
        <w:trPr>
          <w:trHeight w:val="630"/>
        </w:trPr>
        <w:tc>
          <w:tcPr>
            <w:tcW w:w="2431" w:type="dxa"/>
          </w:tcPr>
          <w:p w:rsidR="00225952" w:rsidRPr="006135BA" w:rsidRDefault="00225952" w:rsidP="00225952">
            <w:pPr>
              <w:pStyle w:val="Heading4"/>
            </w:pPr>
            <w:r w:rsidRPr="006135BA">
              <w:t>Future Conditions</w:t>
            </w:r>
          </w:p>
          <w:p w:rsidR="00225952" w:rsidRDefault="00225952" w:rsidP="00225952"/>
          <w:p w:rsidR="00225952" w:rsidRDefault="00225952" w:rsidP="00225952"/>
          <w:p w:rsidR="00225952" w:rsidRDefault="00225952" w:rsidP="00225952">
            <w:pPr>
              <w:pStyle w:val="HeadSideMain"/>
            </w:pPr>
          </w:p>
          <w:p w:rsidR="00225952" w:rsidRDefault="00225952" w:rsidP="00BF02D4">
            <w:pPr>
              <w:pStyle w:val="HeadSideMain"/>
              <w:ind w:right="288"/>
              <w:jc w:val="right"/>
            </w:pPr>
            <w:r w:rsidRPr="008A22C3">
              <w:rPr>
                <w:b w:val="0"/>
              </w:rPr>
              <w:t>Trip Generation</w:t>
            </w:r>
          </w:p>
          <w:p w:rsidR="00225952" w:rsidRDefault="00225952" w:rsidP="00BF02D4">
            <w:pPr>
              <w:pStyle w:val="HeadSideMain"/>
              <w:ind w:right="288"/>
              <w:jc w:val="right"/>
            </w:pPr>
          </w:p>
          <w:p w:rsidR="00225952" w:rsidRDefault="00225952" w:rsidP="00BF02D4">
            <w:pPr>
              <w:pStyle w:val="HeadSideMain"/>
              <w:ind w:right="288"/>
              <w:jc w:val="right"/>
            </w:pPr>
            <w:r w:rsidRPr="008A22C3">
              <w:rPr>
                <w:b w:val="0"/>
              </w:rPr>
              <w:t>Trip Distribution</w:t>
            </w:r>
          </w:p>
          <w:p w:rsidR="00225952" w:rsidRDefault="00225952" w:rsidP="00BF02D4">
            <w:pPr>
              <w:pStyle w:val="HeadSideMain"/>
              <w:ind w:right="288"/>
              <w:jc w:val="right"/>
            </w:pPr>
          </w:p>
          <w:p w:rsidR="00225952" w:rsidRDefault="00225952" w:rsidP="00BF02D4">
            <w:pPr>
              <w:pStyle w:val="HeadSideMain"/>
              <w:ind w:right="288"/>
              <w:jc w:val="right"/>
            </w:pPr>
            <w:r w:rsidRPr="008A22C3">
              <w:rPr>
                <w:b w:val="0"/>
              </w:rPr>
              <w:t>Mode Split</w:t>
            </w:r>
          </w:p>
          <w:p w:rsidR="00225952" w:rsidRDefault="00225952" w:rsidP="00BF02D4">
            <w:pPr>
              <w:pStyle w:val="HeadSideMain"/>
              <w:ind w:right="288"/>
              <w:jc w:val="right"/>
            </w:pPr>
          </w:p>
          <w:p w:rsidR="00225952" w:rsidRDefault="00225952" w:rsidP="00BF02D4">
            <w:pPr>
              <w:pStyle w:val="HeadSideMain"/>
              <w:ind w:right="288"/>
              <w:jc w:val="right"/>
            </w:pPr>
            <w:r w:rsidRPr="008A22C3">
              <w:rPr>
                <w:b w:val="0"/>
              </w:rPr>
              <w:t>Trip Assignment</w:t>
            </w:r>
          </w:p>
        </w:tc>
        <w:tc>
          <w:tcPr>
            <w:tcW w:w="7919" w:type="dxa"/>
          </w:tcPr>
          <w:p w:rsidR="00225952" w:rsidRDefault="00225952" w:rsidP="00225952">
            <w:r w:rsidRPr="000D3134">
              <w:rPr>
                <w:b/>
              </w:rPr>
              <w:t xml:space="preserve">Future Year Conditions </w:t>
            </w:r>
            <w:r w:rsidRPr="007444A7">
              <w:t xml:space="preserve">for a future horizon year (that does not include the proposed development) are forecast to develop </w:t>
            </w:r>
            <w:r>
              <w:t xml:space="preserve">Future </w:t>
            </w:r>
            <w:r w:rsidRPr="007444A7">
              <w:t xml:space="preserve">Background Conditions. The </w:t>
            </w:r>
            <w:r w:rsidRPr="000D3134">
              <w:rPr>
                <w:b/>
              </w:rPr>
              <w:t>background conditions</w:t>
            </w:r>
            <w:r w:rsidRPr="007444A7">
              <w:t xml:space="preserve"> assessment then serves as the basis for a comparison to future conditions with the proposed site development.  </w:t>
            </w:r>
          </w:p>
          <w:p w:rsidR="00225952" w:rsidRDefault="00225952" w:rsidP="00255107">
            <w:r>
              <w:t xml:space="preserve">The future conditions analysis is where the future impacts of a proposed development or amendment are assessed.  These analyses are comprised of multiple steps.  First, the number and type of trips associated with site development are estimated in the </w:t>
            </w:r>
            <w:r w:rsidRPr="00D94A9C">
              <w:rPr>
                <w:b/>
              </w:rPr>
              <w:t>Trip Generation</w:t>
            </w:r>
            <w:r>
              <w:t xml:space="preserve"> step. </w:t>
            </w:r>
            <w:r>
              <w:rPr>
                <w:b/>
              </w:rPr>
              <w:t>Trip Distribution</w:t>
            </w:r>
            <w:r>
              <w:rPr>
                <w:b/>
                <w:i/>
              </w:rPr>
              <w:t xml:space="preserve"> </w:t>
            </w:r>
            <w:r>
              <w:t xml:space="preserve">estimates are then prepared to identify the origin and destination of trips associated with the proposed site development. The </w:t>
            </w:r>
            <w:r w:rsidRPr="00D94A9C">
              <w:rPr>
                <w:b/>
              </w:rPr>
              <w:t>Mode Split</w:t>
            </w:r>
            <w:r>
              <w:t xml:space="preserve"> is estimated to determine the travel mode (automobile, transit, walking,  etc.) used by site-generated trips. Finally, knowing the number of trips, their origins and destinations, and travel mode, the various trips are placed on the transportation network through the </w:t>
            </w:r>
            <w:r w:rsidRPr="006B3252">
              <w:rPr>
                <w:b/>
              </w:rPr>
              <w:t>Assignment</w:t>
            </w:r>
            <w:r>
              <w:t xml:space="preserve"> step.</w:t>
            </w:r>
          </w:p>
          <w:p w:rsidR="00225952" w:rsidRDefault="00225952" w:rsidP="00225952">
            <w:r w:rsidRPr="00166DB6">
              <w:lastRenderedPageBreak/>
              <w:t xml:space="preserve">Once the </w:t>
            </w:r>
            <w:r>
              <w:t xml:space="preserve">trips (auto or other) </w:t>
            </w:r>
            <w:r w:rsidRPr="00166DB6">
              <w:t>are assigned to the</w:t>
            </w:r>
            <w:r>
              <w:t xml:space="preserve"> </w:t>
            </w:r>
            <w:r w:rsidRPr="00166DB6">
              <w:t xml:space="preserve">network, </w:t>
            </w:r>
            <w:r>
              <w:t>measures of effectiveness, such as Quality/</w:t>
            </w:r>
            <w:r w:rsidRPr="00AB1193">
              <w:rPr>
                <w:bCs/>
              </w:rPr>
              <w:t>Level of Service Analysis</w:t>
            </w:r>
            <w:r>
              <w:rPr>
                <w:b/>
                <w:bCs/>
              </w:rPr>
              <w:t xml:space="preserve"> </w:t>
            </w:r>
            <w:r>
              <w:t xml:space="preserve">are </w:t>
            </w:r>
            <w:r w:rsidRPr="00166DB6">
              <w:t xml:space="preserve">required. </w:t>
            </w:r>
            <w:r>
              <w:t xml:space="preserve">The anticipated multimodal services identified should be taken into consideration and reflected in the future condition analysis. </w:t>
            </w:r>
          </w:p>
        </w:tc>
      </w:tr>
      <w:tr w:rsidR="00225952" w:rsidRPr="00380CF5" w:rsidTr="0021455D">
        <w:trPr>
          <w:trHeight w:val="1800"/>
        </w:trPr>
        <w:tc>
          <w:tcPr>
            <w:tcW w:w="2431" w:type="dxa"/>
          </w:tcPr>
          <w:p w:rsidR="00225952" w:rsidRDefault="00225952" w:rsidP="00225952">
            <w:pPr>
              <w:pStyle w:val="Heading4"/>
            </w:pPr>
            <w:r w:rsidRPr="006135BA">
              <w:lastRenderedPageBreak/>
              <w:t>Mitigation</w:t>
            </w:r>
          </w:p>
          <w:p w:rsidR="00225952" w:rsidRDefault="00225952" w:rsidP="00225952"/>
        </w:tc>
        <w:tc>
          <w:tcPr>
            <w:tcW w:w="7919" w:type="dxa"/>
          </w:tcPr>
          <w:p w:rsidR="00225952" w:rsidRDefault="00225952" w:rsidP="00255107">
            <w:r w:rsidRPr="00BF56BD">
              <w:t xml:space="preserve">When a transportation impact analysis conducted for a proposed development indicates that the transportation system will operate at an undesirable level, mitigation measures to reduce transportation impacts should be undertaken. Mitigation can be in the form of increasing system capacity, enhancing operational efficiency, or reducing demand, and should be relative to the size of the transportation impact expected. When adverse transportation impacts are expected on the SIS, FIHS, or TRIP-funded facilities, FDOT should work with local governments and other transportation agencies to identify and agree upon mitigation measures. This is important even in exemption areas where </w:t>
            </w:r>
            <w:r>
              <w:t xml:space="preserve">FDOT </w:t>
            </w:r>
            <w:r w:rsidRPr="00BF56BD">
              <w:t xml:space="preserve">comments are </w:t>
            </w:r>
            <w:r>
              <w:t xml:space="preserve">only </w:t>
            </w:r>
            <w:r w:rsidRPr="00BF56BD">
              <w:t>advisory.</w:t>
            </w:r>
          </w:p>
        </w:tc>
      </w:tr>
      <w:tr w:rsidR="00225952" w:rsidRPr="00380CF5" w:rsidTr="0021455D">
        <w:trPr>
          <w:trHeight w:val="2178"/>
        </w:trPr>
        <w:tc>
          <w:tcPr>
            <w:tcW w:w="2431" w:type="dxa"/>
          </w:tcPr>
          <w:p w:rsidR="00225952" w:rsidRDefault="00225952"/>
        </w:tc>
        <w:tc>
          <w:tcPr>
            <w:tcW w:w="7919" w:type="dxa"/>
          </w:tcPr>
          <w:p w:rsidR="00225952" w:rsidRDefault="00225952" w:rsidP="00225952">
            <w:r>
              <w:t xml:space="preserve">The remainder of this chapter provides a more detailed discussion of each step in the site impact process; describing key study elements both applicants and reviewers should consider when preparing and reviewing a transportation impact analysis. </w:t>
            </w:r>
          </w:p>
          <w:p w:rsidR="00225952" w:rsidRDefault="00D1578E" w:rsidP="00D1578E">
            <w:r>
              <w:t>S</w:t>
            </w:r>
            <w:r w:rsidR="00225952">
              <w:t>ummary checklist</w:t>
            </w:r>
            <w:r>
              <w:t>s</w:t>
            </w:r>
            <w:r w:rsidR="00225952">
              <w:t xml:space="preserve"> for the overall site impact analysis process </w:t>
            </w:r>
            <w:r>
              <w:t>are</w:t>
            </w:r>
            <w:r w:rsidR="00225952">
              <w:t xml:space="preserve"> provided as </w:t>
            </w:r>
            <w:r w:rsidR="00225952" w:rsidRPr="005971E7">
              <w:t>in</w:t>
            </w:r>
            <w:r w:rsidR="00225952">
              <w:rPr>
                <w:color w:val="C0504D" w:themeColor="accent2"/>
              </w:rPr>
              <w:t xml:space="preserve"> </w:t>
            </w:r>
            <w:r w:rsidR="00225952" w:rsidRPr="005971E7">
              <w:t>this handbook</w:t>
            </w:r>
            <w:r w:rsidR="00225952">
              <w:t>. Th</w:t>
            </w:r>
            <w:r>
              <w:t>e</w:t>
            </w:r>
            <w:r w:rsidR="00225952">
              <w:t>s</w:t>
            </w:r>
            <w:r>
              <w:t>e</w:t>
            </w:r>
            <w:r w:rsidR="00225952">
              <w:t xml:space="preserve"> checklist</w:t>
            </w:r>
            <w:r>
              <w:t>s</w:t>
            </w:r>
            <w:r w:rsidR="00225952">
              <w:t xml:space="preserve"> can serve as a tool to help ensure that the site impact process is properly executed by both the applicant and the reviewer.</w:t>
            </w:r>
          </w:p>
        </w:tc>
      </w:tr>
    </w:tbl>
    <w:p w:rsidR="0021455D" w:rsidRDefault="0021455D" w:rsidP="00EA7E64">
      <w:pPr>
        <w:pStyle w:val="Heading2"/>
        <w:sectPr w:rsidR="0021455D" w:rsidSect="00F549C1">
          <w:headerReference w:type="default" r:id="rId39"/>
          <w:pgSz w:w="12240" w:h="15840" w:code="1"/>
          <w:pgMar w:top="1440" w:right="720" w:bottom="1440" w:left="1152" w:header="720" w:footer="720" w:gutter="0"/>
          <w:cols w:space="720"/>
          <w:docGrid w:linePitch="313"/>
        </w:sectPr>
      </w:pPr>
      <w:bookmarkStart w:id="42" w:name="_Toc232912640"/>
    </w:p>
    <w:tbl>
      <w:tblPr>
        <w:tblW w:w="10350" w:type="dxa"/>
        <w:tblInd w:w="108" w:type="dxa"/>
        <w:tblLayout w:type="fixed"/>
        <w:tblLook w:val="0000"/>
      </w:tblPr>
      <w:tblGrid>
        <w:gridCol w:w="2431"/>
        <w:gridCol w:w="7919"/>
      </w:tblGrid>
      <w:tr w:rsidR="00225952" w:rsidRPr="00380CF5" w:rsidTr="00225952">
        <w:trPr>
          <w:trHeight w:val="666"/>
        </w:trPr>
        <w:tc>
          <w:tcPr>
            <w:tcW w:w="10350" w:type="dxa"/>
            <w:gridSpan w:val="2"/>
          </w:tcPr>
          <w:p w:rsidR="00225952" w:rsidRPr="006135BA" w:rsidRDefault="006B7F55" w:rsidP="00EA7E64">
            <w:pPr>
              <w:pStyle w:val="Heading2"/>
            </w:pPr>
            <w:bookmarkStart w:id="43" w:name="_Toc264274066"/>
            <w:r>
              <w:lastRenderedPageBreak/>
              <w:t>2.2</w:t>
            </w:r>
            <w:r w:rsidR="00225952" w:rsidRPr="006135BA">
              <w:t xml:space="preserve">   Methodology Development (</w:t>
            </w:r>
            <w:r w:rsidR="00EA7E64">
              <w:t>S</w:t>
            </w:r>
            <w:r w:rsidR="00225952" w:rsidRPr="006135BA">
              <w:t>tep 1)</w:t>
            </w:r>
            <w:bookmarkEnd w:id="42"/>
            <w:bookmarkEnd w:id="43"/>
          </w:p>
        </w:tc>
      </w:tr>
      <w:tr w:rsidR="00225952" w:rsidRPr="00380CF5" w:rsidTr="0021455D">
        <w:trPr>
          <w:trHeight w:val="810"/>
        </w:trPr>
        <w:tc>
          <w:tcPr>
            <w:tcW w:w="2431" w:type="dxa"/>
          </w:tcPr>
          <w:p w:rsidR="00225952" w:rsidRDefault="00225952" w:rsidP="00225952">
            <w:pPr>
              <w:pStyle w:val="SidebarSentence"/>
            </w:pPr>
          </w:p>
          <w:p w:rsidR="00225952" w:rsidRDefault="00225952" w:rsidP="00225952">
            <w:pPr>
              <w:pStyle w:val="SidebarSentence"/>
            </w:pPr>
            <w:r>
              <w:rPr>
                <w:noProof/>
              </w:rPr>
              <w:drawing>
                <wp:inline distT="0" distB="0" distL="0" distR="0">
                  <wp:extent cx="1161415" cy="1021715"/>
                  <wp:effectExtent l="19050" t="0" r="635" b="0"/>
                  <wp:docPr id="12" name="Picture 12" descr="iStep1Meth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Step1Method.png"/>
                          <pic:cNvPicPr>
                            <a:picLocks noChangeAspect="1" noChangeArrowheads="1"/>
                          </pic:cNvPicPr>
                        </pic:nvPicPr>
                        <pic:blipFill>
                          <a:blip r:embed="rId40" cstate="print"/>
                          <a:srcRect/>
                          <a:stretch>
                            <a:fillRect/>
                          </a:stretch>
                        </pic:blipFill>
                        <pic:spPr bwMode="auto">
                          <a:xfrm>
                            <a:off x="0" y="0"/>
                            <a:ext cx="1161415" cy="1021715"/>
                          </a:xfrm>
                          <a:prstGeom prst="rect">
                            <a:avLst/>
                          </a:prstGeom>
                          <a:noFill/>
                          <a:ln w="9525">
                            <a:noFill/>
                            <a:miter lim="800000"/>
                            <a:headEnd/>
                            <a:tailEnd/>
                          </a:ln>
                        </pic:spPr>
                      </pic:pic>
                    </a:graphicData>
                  </a:graphic>
                </wp:inline>
              </w:drawing>
            </w:r>
          </w:p>
          <w:p w:rsidR="00225952" w:rsidRDefault="00225952" w:rsidP="00225952">
            <w:pPr>
              <w:pStyle w:val="SidebarSentence"/>
            </w:pPr>
          </w:p>
          <w:p w:rsidR="00225952" w:rsidRDefault="00225952" w:rsidP="00225952">
            <w:pPr>
              <w:pStyle w:val="HeadSide2"/>
            </w:pPr>
            <w:r>
              <w:t>E</w:t>
            </w:r>
            <w:r w:rsidRPr="00166DB6">
              <w:t>stablish responsibilities and analyses that will be performed</w:t>
            </w:r>
          </w:p>
        </w:tc>
        <w:tc>
          <w:tcPr>
            <w:tcW w:w="7919" w:type="dxa"/>
          </w:tcPr>
          <w:p w:rsidR="00225952" w:rsidRPr="00255107" w:rsidRDefault="00225952" w:rsidP="00225952">
            <w:pPr>
              <w:rPr>
                <w:spacing w:val="-2"/>
              </w:rPr>
            </w:pPr>
            <w:r>
              <w:t xml:space="preserve">The </w:t>
            </w:r>
            <w:r w:rsidRPr="008A22C3">
              <w:rPr>
                <w:b/>
              </w:rPr>
              <w:t>Methodology Development</w:t>
            </w:r>
            <w:r>
              <w:t xml:space="preserve"> </w:t>
            </w:r>
            <w:r w:rsidRPr="00166DB6">
              <w:t>process usually begins when the applicant</w:t>
            </w:r>
            <w:r>
              <w:t xml:space="preserve"> </w:t>
            </w:r>
            <w:r w:rsidRPr="00166DB6">
              <w:t>(developer or other party) contacts the local</w:t>
            </w:r>
            <w:r>
              <w:t xml:space="preserve"> </w:t>
            </w:r>
            <w:r w:rsidRPr="00166DB6">
              <w:t>government, Regional Planning Council (RPC),</w:t>
            </w:r>
            <w:r>
              <w:t xml:space="preserve"> FDOT</w:t>
            </w:r>
            <w:r w:rsidRPr="00166DB6">
              <w:t xml:space="preserve"> or other agency to discuss a proposed</w:t>
            </w:r>
            <w:r>
              <w:t xml:space="preserve"> </w:t>
            </w:r>
            <w:r w:rsidRPr="00166DB6">
              <w:t>development. A formal methodology development</w:t>
            </w:r>
            <w:r>
              <w:t xml:space="preserve"> </w:t>
            </w:r>
            <w:r w:rsidRPr="00166DB6">
              <w:t>process is required for some types of developments,</w:t>
            </w:r>
            <w:r>
              <w:t xml:space="preserve"> </w:t>
            </w:r>
            <w:r w:rsidRPr="00166DB6">
              <w:t>suc</w:t>
            </w:r>
            <w:r>
              <w:t>h as a Development of Regional I</w:t>
            </w:r>
            <w:r w:rsidRPr="00166DB6">
              <w:t>mpact (DRI).</w:t>
            </w:r>
            <w:r>
              <w:t xml:space="preserve"> Many local governments have adopted official methods they require for development related traffic studies. </w:t>
            </w:r>
            <w:r w:rsidRPr="00255107">
              <w:rPr>
                <w:spacing w:val="-2"/>
              </w:rPr>
              <w:t>Even if no formal process is required, it is good practice for participating agencies to agree to a metho</w:t>
            </w:r>
            <w:r w:rsidR="00255107">
              <w:rPr>
                <w:spacing w:val="-2"/>
              </w:rPr>
              <w:t>-</w:t>
            </w:r>
            <w:r w:rsidRPr="00255107">
              <w:rPr>
                <w:spacing w:val="-2"/>
              </w:rPr>
              <w:t xml:space="preserve">dology before requesting that the applicant perform a transportation impact analysis. </w:t>
            </w:r>
          </w:p>
          <w:p w:rsidR="00225952" w:rsidRDefault="00225952" w:rsidP="00225952">
            <w:r w:rsidRPr="00166DB6">
              <w:t xml:space="preserve">Prior to conducting any </w:t>
            </w:r>
            <w:r>
              <w:t xml:space="preserve">transportation </w:t>
            </w:r>
            <w:r w:rsidRPr="00166DB6">
              <w:t xml:space="preserve">impact analysis, </w:t>
            </w:r>
            <w:r>
              <w:t xml:space="preserve">it is necessary to establish the </w:t>
            </w:r>
            <w:r w:rsidRPr="00166DB6">
              <w:t>minimum technical</w:t>
            </w:r>
            <w:r>
              <w:t xml:space="preserve"> </w:t>
            </w:r>
            <w:r w:rsidRPr="00166DB6">
              <w:t>responsibilities and analyses that will be performed. It</w:t>
            </w:r>
            <w:r>
              <w:t xml:space="preserve"> </w:t>
            </w:r>
            <w:r w:rsidRPr="00166DB6">
              <w:t>is the applicant’s responsibility to ensure that the</w:t>
            </w:r>
            <w:r>
              <w:t xml:space="preserve"> </w:t>
            </w:r>
            <w:r w:rsidRPr="00166DB6">
              <w:t xml:space="preserve">methods proposed follow </w:t>
            </w:r>
            <w:r>
              <w:t xml:space="preserve">the </w:t>
            </w:r>
            <w:r w:rsidRPr="00166DB6">
              <w:t>practices</w:t>
            </w:r>
            <w:r>
              <w:t xml:space="preserve"> </w:t>
            </w:r>
            <w:r w:rsidRPr="00166DB6">
              <w:t xml:space="preserve">accepted by </w:t>
            </w:r>
            <w:r>
              <w:t>FDOT</w:t>
            </w:r>
            <w:r w:rsidRPr="00166DB6">
              <w:t xml:space="preserve"> and other participating</w:t>
            </w:r>
            <w:r>
              <w:t xml:space="preserve"> </w:t>
            </w:r>
            <w:r w:rsidRPr="00166DB6">
              <w:t>agencies</w:t>
            </w:r>
            <w:r>
              <w:t>.</w:t>
            </w:r>
            <w:r w:rsidRPr="00166DB6">
              <w:t xml:space="preserve"> </w:t>
            </w:r>
            <w:r>
              <w:t xml:space="preserve">Local governments </w:t>
            </w:r>
            <w:r>
              <w:lastRenderedPageBreak/>
              <w:t>should be contacted to verify if they have adopted an official methodology for transportation impact assessments.  FDOT</w:t>
            </w:r>
            <w:r w:rsidRPr="00166DB6">
              <w:t xml:space="preserve"> should participate in</w:t>
            </w:r>
            <w:r>
              <w:t xml:space="preserve"> </w:t>
            </w:r>
            <w:r w:rsidRPr="00166DB6">
              <w:t>methodology development</w:t>
            </w:r>
            <w:r>
              <w:t>,</w:t>
            </w:r>
            <w:r w:rsidRPr="00166DB6">
              <w:t xml:space="preserve"> as appropriate</w:t>
            </w:r>
            <w:r>
              <w:t>,</w:t>
            </w:r>
            <w:r w:rsidRPr="00166DB6">
              <w:t xml:space="preserve"> for</w:t>
            </w:r>
            <w:r>
              <w:t xml:space="preserve"> the </w:t>
            </w:r>
            <w:r w:rsidRPr="00166DB6">
              <w:t>development type and scope. During the methodology</w:t>
            </w:r>
            <w:r>
              <w:t xml:space="preserve"> </w:t>
            </w:r>
            <w:r w:rsidRPr="00166DB6">
              <w:t>step,</w:t>
            </w:r>
            <w:r w:rsidRPr="00E4064B">
              <w:t xml:space="preserve"> </w:t>
            </w:r>
            <w:r>
              <w:t>FDOT</w:t>
            </w:r>
            <w:r w:rsidRPr="00166DB6">
              <w:t>’s representative should be</w:t>
            </w:r>
            <w:r>
              <w:t xml:space="preserve"> </w:t>
            </w:r>
            <w:r w:rsidRPr="00166DB6">
              <w:t>prepared to address any transportation-related concerns</w:t>
            </w:r>
            <w:r>
              <w:t xml:space="preserve"> </w:t>
            </w:r>
            <w:r w:rsidRPr="00166DB6">
              <w:t xml:space="preserve">or </w:t>
            </w:r>
            <w:r>
              <w:t xml:space="preserve">FDOT </w:t>
            </w:r>
            <w:r w:rsidRPr="00166DB6">
              <w:t xml:space="preserve">methodology requirements as part of the </w:t>
            </w:r>
            <w:r>
              <w:t>transportation</w:t>
            </w:r>
            <w:r w:rsidRPr="00166DB6">
              <w:t xml:space="preserve"> impact</w:t>
            </w:r>
            <w:r>
              <w:t xml:space="preserve"> </w:t>
            </w:r>
            <w:r w:rsidRPr="00166DB6">
              <w:t>analysis effort.</w:t>
            </w:r>
          </w:p>
        </w:tc>
      </w:tr>
      <w:tr w:rsidR="00225952" w:rsidRPr="00380CF5" w:rsidTr="00225952">
        <w:trPr>
          <w:trHeight w:val="432"/>
        </w:trPr>
        <w:tc>
          <w:tcPr>
            <w:tcW w:w="10350" w:type="dxa"/>
            <w:gridSpan w:val="2"/>
          </w:tcPr>
          <w:p w:rsidR="00225952" w:rsidRPr="0080268C" w:rsidRDefault="006B7F55">
            <w:pPr>
              <w:pStyle w:val="Heading3"/>
            </w:pPr>
            <w:bookmarkStart w:id="44" w:name="_Toc264274067"/>
            <w:r>
              <w:lastRenderedPageBreak/>
              <w:t>2.2</w:t>
            </w:r>
            <w:r w:rsidR="00225952">
              <w:t>.1  Study Area Requirements</w:t>
            </w:r>
            <w:bookmarkEnd w:id="44"/>
          </w:p>
        </w:tc>
      </w:tr>
      <w:tr w:rsidR="00225952" w:rsidRPr="00380CF5" w:rsidTr="0021455D">
        <w:tc>
          <w:tcPr>
            <w:tcW w:w="2431" w:type="dxa"/>
          </w:tcPr>
          <w:p w:rsidR="00225952" w:rsidRDefault="00225952" w:rsidP="00225952">
            <w:pPr>
              <w:pStyle w:val="HeadSide2"/>
            </w:pPr>
          </w:p>
          <w:p w:rsidR="00225952" w:rsidRDefault="00225952" w:rsidP="00225952">
            <w:pPr>
              <w:pStyle w:val="HeadSide2"/>
            </w:pPr>
          </w:p>
          <w:p w:rsidR="00225952" w:rsidRDefault="00225952" w:rsidP="00225952">
            <w:pPr>
              <w:pStyle w:val="HeadSide2"/>
            </w:pPr>
          </w:p>
          <w:p w:rsidR="00225952" w:rsidRDefault="00225952" w:rsidP="00225952">
            <w:pPr>
              <w:pStyle w:val="HeadSide2"/>
            </w:pPr>
            <w:r>
              <w:t>Adjustments to the study area boundaries may be needed to account for site specific circumstances</w:t>
            </w:r>
          </w:p>
        </w:tc>
        <w:tc>
          <w:tcPr>
            <w:tcW w:w="7919" w:type="dxa"/>
          </w:tcPr>
          <w:p w:rsidR="00225952" w:rsidRPr="006135BA" w:rsidDel="00101DBD" w:rsidRDefault="00225952" w:rsidP="00DD15F6">
            <w:pPr>
              <w:spacing w:after="120"/>
            </w:pPr>
            <w:r w:rsidRPr="00166DB6">
              <w:t xml:space="preserve">The applicant and </w:t>
            </w:r>
            <w:r>
              <w:t>FDOT</w:t>
            </w:r>
            <w:r w:rsidRPr="00166DB6">
              <w:t xml:space="preserve">’s </w:t>
            </w:r>
            <w:r>
              <w:t>r</w:t>
            </w:r>
            <w:r w:rsidRPr="00166DB6">
              <w:t>eviewer should consult with all</w:t>
            </w:r>
            <w:r>
              <w:t xml:space="preserve"> </w:t>
            </w:r>
            <w:r w:rsidRPr="00166DB6">
              <w:t xml:space="preserve">appropriate agencies to identify </w:t>
            </w:r>
            <w:r>
              <w:t xml:space="preserve">applicable policies and </w:t>
            </w:r>
            <w:r w:rsidRPr="00166DB6">
              <w:t>criteria</w:t>
            </w:r>
            <w:r>
              <w:t xml:space="preserve"> in defining the study area (see Exhibit </w:t>
            </w:r>
            <w:r w:rsidR="00D53BEE">
              <w:t>4</w:t>
            </w:r>
            <w:r>
              <w:t>)</w:t>
            </w:r>
            <w:r w:rsidRPr="00166DB6">
              <w:t>.</w:t>
            </w:r>
            <w:r>
              <w:t xml:space="preserve"> The study area is sometimes referred to as the “traffic impact area” or simply the “impact area</w:t>
            </w:r>
            <w:r w:rsidR="00C67E35">
              <w:t>.</w:t>
            </w:r>
            <w:r>
              <w:t>”</w:t>
            </w:r>
            <w:r w:rsidR="00C67E35">
              <w:t xml:space="preserve"> </w:t>
            </w:r>
            <w:r w:rsidRPr="00166DB6">
              <w:t xml:space="preserve"> Local criteria for </w:t>
            </w:r>
            <w:r>
              <w:t xml:space="preserve">defining </w:t>
            </w:r>
            <w:r w:rsidRPr="00166DB6">
              <w:t>the</w:t>
            </w:r>
            <w:r>
              <w:t xml:space="preserve"> </w:t>
            </w:r>
            <w:r w:rsidRPr="00166DB6">
              <w:t xml:space="preserve">study area </w:t>
            </w:r>
            <w:r>
              <w:t xml:space="preserve">typically </w:t>
            </w:r>
            <w:r w:rsidRPr="00166DB6">
              <w:t>involve a comparison of project</w:t>
            </w:r>
            <w:r>
              <w:t xml:space="preserve"> </w:t>
            </w:r>
            <w:r w:rsidRPr="00166DB6">
              <w:t>traffic to thresholds of the percentage of the maximum</w:t>
            </w:r>
            <w:r>
              <w:t xml:space="preserve"> </w:t>
            </w:r>
            <w:r w:rsidRPr="00166DB6">
              <w:t xml:space="preserve">service flow rate at an </w:t>
            </w:r>
            <w:r>
              <w:t>established</w:t>
            </w:r>
            <w:r w:rsidRPr="00166DB6">
              <w:t xml:space="preserve"> LOS criterion. For</w:t>
            </w:r>
            <w:r>
              <w:t xml:space="preserve"> </w:t>
            </w:r>
            <w:r w:rsidRPr="00166DB6">
              <w:t xml:space="preserve">example, </w:t>
            </w:r>
            <w:r>
              <w:t xml:space="preserve">typically in the case of DRIs, </w:t>
            </w:r>
            <w:r w:rsidRPr="00166DB6">
              <w:t>the study</w:t>
            </w:r>
            <w:r>
              <w:t xml:space="preserve"> </w:t>
            </w:r>
            <w:r w:rsidRPr="00166DB6">
              <w:t>area include</w:t>
            </w:r>
            <w:r>
              <w:t>s</w:t>
            </w:r>
            <w:r w:rsidRPr="00166DB6">
              <w:t xml:space="preserve"> all </w:t>
            </w:r>
            <w:r>
              <w:t>roadways</w:t>
            </w:r>
            <w:r w:rsidRPr="00166DB6">
              <w:t xml:space="preserve"> where traffic generated by the</w:t>
            </w:r>
            <w:r>
              <w:t xml:space="preserve"> </w:t>
            </w:r>
            <w:r w:rsidRPr="00166DB6">
              <w:t>proposed development is equivalent to 5 percent of the maximum service volume</w:t>
            </w:r>
            <w:r>
              <w:t xml:space="preserve"> </w:t>
            </w:r>
            <w:r w:rsidRPr="00166DB6">
              <w:t>at the LOS standard for the facility.</w:t>
            </w:r>
            <w:r>
              <w:t xml:space="preserve"> </w:t>
            </w:r>
          </w:p>
        </w:tc>
      </w:tr>
      <w:tr w:rsidR="00225952" w:rsidRPr="00380CF5" w:rsidTr="0021455D">
        <w:tc>
          <w:tcPr>
            <w:tcW w:w="2431" w:type="dxa"/>
          </w:tcPr>
          <w:p w:rsidR="00225952" w:rsidRDefault="00225952" w:rsidP="00225952">
            <w:pPr>
              <w:pStyle w:val="Exhibit"/>
            </w:pPr>
            <w:r w:rsidRPr="006B7664">
              <w:t xml:space="preserve">Exhibit </w:t>
            </w:r>
            <w:r w:rsidR="00D53BEE">
              <w:t>4</w:t>
            </w:r>
            <w:r w:rsidRPr="006B7664">
              <w:t xml:space="preserve"> </w:t>
            </w:r>
          </w:p>
          <w:p w:rsidR="00225952" w:rsidRDefault="00225952" w:rsidP="00225952">
            <w:pPr>
              <w:pStyle w:val="ExhibitTitle"/>
            </w:pPr>
            <w:r w:rsidRPr="006B7664">
              <w:t>Example Study Area</w:t>
            </w:r>
          </w:p>
          <w:p w:rsidR="00225952" w:rsidRDefault="00225952" w:rsidP="00225952">
            <w:pPr>
              <w:pStyle w:val="HeadSide2"/>
            </w:pPr>
          </w:p>
        </w:tc>
        <w:tc>
          <w:tcPr>
            <w:tcW w:w="7919" w:type="dxa"/>
          </w:tcPr>
          <w:p w:rsidR="00225952" w:rsidRPr="00166DB6" w:rsidRDefault="00225952" w:rsidP="00225952">
            <w:r>
              <w:rPr>
                <w:noProof/>
              </w:rPr>
              <w:drawing>
                <wp:inline distT="0" distB="0" distL="0" distR="0">
                  <wp:extent cx="4380345" cy="3550722"/>
                  <wp:effectExtent l="19050" t="0" r="1155" b="0"/>
                  <wp:docPr id="3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cstate="print"/>
                          <a:srcRect l="2438" t="1955" r="2076" b="14525"/>
                          <a:stretch>
                            <a:fillRect/>
                          </a:stretch>
                        </pic:blipFill>
                        <pic:spPr bwMode="auto">
                          <a:xfrm>
                            <a:off x="0" y="0"/>
                            <a:ext cx="4380345" cy="3550722"/>
                          </a:xfrm>
                          <a:prstGeom prst="rect">
                            <a:avLst/>
                          </a:prstGeom>
                          <a:noFill/>
                          <a:ln>
                            <a:noFill/>
                          </a:ln>
                        </pic:spPr>
                      </pic:pic>
                    </a:graphicData>
                  </a:graphic>
                </wp:inline>
              </w:drawing>
            </w:r>
          </w:p>
        </w:tc>
      </w:tr>
      <w:tr w:rsidR="00225952" w:rsidRPr="00380CF5" w:rsidTr="0021455D">
        <w:tc>
          <w:tcPr>
            <w:tcW w:w="2431" w:type="dxa"/>
          </w:tcPr>
          <w:p w:rsidR="00225952" w:rsidRDefault="00225952" w:rsidP="00225952">
            <w:pPr>
              <w:rPr>
                <w:highlight w:val="red"/>
              </w:rPr>
            </w:pPr>
          </w:p>
        </w:tc>
        <w:tc>
          <w:tcPr>
            <w:tcW w:w="7919" w:type="dxa"/>
          </w:tcPr>
          <w:p w:rsidR="00225952" w:rsidRPr="004B0E5C" w:rsidRDefault="00225952">
            <w:pPr>
              <w:rPr>
                <w:rStyle w:val="BookTitle"/>
              </w:rPr>
            </w:pPr>
            <w:r>
              <w:t xml:space="preserve">Many local governments have adopted procedures that prescribe the methodology used in defining the study area for traffic studies used to support comprehensive plan amendments.  The FDOT reviewer should be familiar with the local ordinances and how they apply to the review process. </w:t>
            </w:r>
          </w:p>
        </w:tc>
      </w:tr>
      <w:tr w:rsidR="00225952" w:rsidRPr="00380CF5" w:rsidTr="0021455D">
        <w:tc>
          <w:tcPr>
            <w:tcW w:w="2431" w:type="dxa"/>
          </w:tcPr>
          <w:p w:rsidR="00225952" w:rsidRDefault="00225952" w:rsidP="00225952">
            <w:pPr>
              <w:rPr>
                <w:highlight w:val="red"/>
              </w:rPr>
            </w:pPr>
          </w:p>
        </w:tc>
        <w:tc>
          <w:tcPr>
            <w:tcW w:w="7919" w:type="dxa"/>
          </w:tcPr>
          <w:p w:rsidR="00225952" w:rsidRDefault="00225952" w:rsidP="00225952">
            <w:r>
              <w:t xml:space="preserve">Another example is that study areas for concurrency assessments may be defined as a given distance based on the number of trips generated by a development. For example, the study area will encompass a radius of 0.5 miles for developments generating 50 peak hour </w:t>
            </w:r>
            <w:r w:rsidRPr="000E49D1">
              <w:t xml:space="preserve">external trips. </w:t>
            </w:r>
            <w:r>
              <w:t>Some local governments have adopted a tiered approach to determining a study area.</w:t>
            </w:r>
          </w:p>
        </w:tc>
      </w:tr>
      <w:tr w:rsidR="00225952" w:rsidRPr="00380CF5" w:rsidTr="0021455D">
        <w:tc>
          <w:tcPr>
            <w:tcW w:w="2431" w:type="dxa"/>
          </w:tcPr>
          <w:p w:rsidR="00225952" w:rsidDel="00624163" w:rsidRDefault="00225952" w:rsidP="00225952">
            <w:pPr>
              <w:pStyle w:val="ExhibitNumber"/>
            </w:pPr>
          </w:p>
        </w:tc>
        <w:tc>
          <w:tcPr>
            <w:tcW w:w="7919" w:type="dxa"/>
          </w:tcPr>
          <w:p w:rsidR="00225952" w:rsidRPr="006135BA" w:rsidDel="00101DBD" w:rsidRDefault="00225952" w:rsidP="00225952">
            <w:r>
              <w:t>For example, a small scale analysis might be required for developments generating between 50-100 trips with a study area radius of .5 miles, and a large scale study might be required for developments of greater than 100 trips with a 3 mile study radius. Due to the potential for varying methodologies among local governments, FDOT r</w:t>
            </w:r>
            <w:r w:rsidRPr="000E49D1">
              <w:t>eviewers</w:t>
            </w:r>
            <w:r>
              <w:t xml:space="preserve"> should pay particular attention to if and how development trips that cross jurisdictional boundaries are treated in the assessment.  </w:t>
            </w:r>
            <w:r w:rsidRPr="00CD648C">
              <w:t>Adjustments to the study area boundaries may be needed to account for site specific circumstances</w:t>
            </w:r>
            <w:r>
              <w:t xml:space="preserve">. The </w:t>
            </w:r>
            <w:hyperlink r:id="rId42" w:history="1">
              <w:r w:rsidRPr="001350E2">
                <w:rPr>
                  <w:rStyle w:val="Hyperlink"/>
                  <w:i/>
                </w:rPr>
                <w:t>Transportation</w:t>
              </w:r>
              <w:r w:rsidRPr="001350E2">
                <w:rPr>
                  <w:rStyle w:val="Hyperlink"/>
                </w:rPr>
                <w:t xml:space="preserve"> </w:t>
              </w:r>
              <w:r w:rsidRPr="001350E2">
                <w:rPr>
                  <w:rStyle w:val="Hyperlink"/>
                  <w:i/>
                </w:rPr>
                <w:t>Concurrency Best Practices Guidebook</w:t>
              </w:r>
              <w:r w:rsidRPr="001350E2">
                <w:rPr>
                  <w:rStyle w:val="Hyperlink"/>
                </w:rPr>
                <w:t xml:space="preserve">  (DCA 2007)</w:t>
              </w:r>
            </w:hyperlink>
            <w:r>
              <w:t xml:space="preserve"> has detailed descriptions of these methods of determining impact areas.</w:t>
            </w:r>
          </w:p>
        </w:tc>
      </w:tr>
      <w:tr w:rsidR="00225952" w:rsidRPr="00380CF5" w:rsidTr="0021455D">
        <w:tc>
          <w:tcPr>
            <w:tcW w:w="2431" w:type="dxa"/>
          </w:tcPr>
          <w:p w:rsidR="00225952" w:rsidDel="00624163" w:rsidRDefault="00225952" w:rsidP="00225952">
            <w:pPr>
              <w:pStyle w:val="ExhibitNumber"/>
            </w:pPr>
          </w:p>
        </w:tc>
        <w:tc>
          <w:tcPr>
            <w:tcW w:w="7919" w:type="dxa"/>
          </w:tcPr>
          <w:p w:rsidR="00225952" w:rsidRPr="006135BA" w:rsidDel="00101DBD" w:rsidRDefault="00225952" w:rsidP="00D53BEE">
            <w:r>
              <w:t xml:space="preserve">Exhibit </w:t>
            </w:r>
            <w:r w:rsidR="00D53BEE">
              <w:t>5</w:t>
            </w:r>
            <w:r>
              <w:t xml:space="preserve"> shows an example of the traffic  impact area using a radius from the development based on trip generation</w:t>
            </w:r>
          </w:p>
        </w:tc>
      </w:tr>
      <w:tr w:rsidR="00225952" w:rsidRPr="00380CF5" w:rsidTr="0021455D">
        <w:trPr>
          <w:trHeight w:val="4788"/>
        </w:trPr>
        <w:tc>
          <w:tcPr>
            <w:tcW w:w="2431" w:type="dxa"/>
          </w:tcPr>
          <w:p w:rsidR="00225952" w:rsidRDefault="00225952" w:rsidP="00225952">
            <w:pPr>
              <w:pStyle w:val="Exhibit"/>
            </w:pPr>
            <w:r>
              <w:t xml:space="preserve">Exhibit </w:t>
            </w:r>
            <w:r w:rsidR="00D53BEE">
              <w:t>5</w:t>
            </w:r>
            <w:r>
              <w:t xml:space="preserve"> </w:t>
            </w:r>
          </w:p>
          <w:p w:rsidR="00225952" w:rsidRDefault="00225952" w:rsidP="00225952">
            <w:pPr>
              <w:pStyle w:val="ExhibitTitle"/>
            </w:pPr>
            <w:r>
              <w:t>Example of Traffic Impact Area or Study Area</w:t>
            </w:r>
          </w:p>
        </w:tc>
        <w:tc>
          <w:tcPr>
            <w:tcW w:w="7919" w:type="dxa"/>
          </w:tcPr>
          <w:p w:rsidR="00225952" w:rsidRDefault="00225952" w:rsidP="00225952">
            <w:pPr>
              <w:spacing w:after="60"/>
              <w:rPr>
                <w:noProof/>
              </w:rPr>
            </w:pPr>
            <w:r>
              <w:rPr>
                <w:noProof/>
              </w:rPr>
              <w:drawing>
                <wp:inline distT="0" distB="0" distL="0" distR="0">
                  <wp:extent cx="4907792" cy="2661313"/>
                  <wp:effectExtent l="19050" t="0" r="7108"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cstate="print"/>
                          <a:srcRect t="2795" b="19350"/>
                          <a:stretch>
                            <a:fillRect/>
                          </a:stretch>
                        </pic:blipFill>
                        <pic:spPr bwMode="auto">
                          <a:xfrm>
                            <a:off x="0" y="0"/>
                            <a:ext cx="4907792" cy="2661313"/>
                          </a:xfrm>
                          <a:prstGeom prst="rect">
                            <a:avLst/>
                          </a:prstGeom>
                          <a:noFill/>
                          <a:ln w="9525">
                            <a:noFill/>
                            <a:miter lim="800000"/>
                            <a:headEnd/>
                            <a:tailEnd/>
                          </a:ln>
                        </pic:spPr>
                      </pic:pic>
                    </a:graphicData>
                  </a:graphic>
                </wp:inline>
              </w:drawing>
            </w:r>
          </w:p>
          <w:p w:rsidR="00225952" w:rsidRPr="00101DBD" w:rsidRDefault="00225952" w:rsidP="005C7350">
            <w:pPr>
              <w:spacing w:after="120"/>
              <w:rPr>
                <w:i/>
              </w:rPr>
            </w:pPr>
            <w:r w:rsidRPr="008A22C3">
              <w:rPr>
                <w:b/>
                <w:i/>
                <w:noProof/>
              </w:rPr>
              <w:t>Source:</w:t>
            </w:r>
            <w:r w:rsidRPr="008A22C3">
              <w:rPr>
                <w:i/>
                <w:noProof/>
              </w:rPr>
              <w:t xml:space="preserve"> Concurrency Best Practices Guide, DCA 2007</w:t>
            </w:r>
          </w:p>
        </w:tc>
      </w:tr>
      <w:tr w:rsidR="00225952" w:rsidRPr="00380CF5" w:rsidTr="00225952">
        <w:tc>
          <w:tcPr>
            <w:tcW w:w="10350" w:type="dxa"/>
            <w:gridSpan w:val="2"/>
          </w:tcPr>
          <w:p w:rsidR="00225952" w:rsidRDefault="00DD15F6">
            <w:pPr>
              <w:pStyle w:val="Heading3"/>
            </w:pPr>
            <w:bookmarkStart w:id="45" w:name="_Toc264274068"/>
            <w:r>
              <w:rPr>
                <w:rFonts w:asciiTheme="minorHAnsi" w:eastAsiaTheme="minorHAnsi" w:hAnsiTheme="minorHAnsi" w:cstheme="minorBidi"/>
                <w:b w:val="0"/>
                <w:bCs w:val="0"/>
                <w:color w:val="auto"/>
                <w:sz w:val="23"/>
                <w:szCs w:val="22"/>
              </w:rPr>
              <w:br w:type="page"/>
            </w:r>
            <w:r w:rsidR="006B7F55">
              <w:t>2.2</w:t>
            </w:r>
            <w:r w:rsidR="00225952">
              <w:t>.2  Time Horizons – Analysis Years</w:t>
            </w:r>
            <w:bookmarkEnd w:id="45"/>
          </w:p>
        </w:tc>
      </w:tr>
      <w:tr w:rsidR="00225952" w:rsidRPr="00380CF5" w:rsidTr="0021455D">
        <w:tc>
          <w:tcPr>
            <w:tcW w:w="2431" w:type="dxa"/>
          </w:tcPr>
          <w:p w:rsidR="00225952" w:rsidDel="007A328D" w:rsidRDefault="00225952" w:rsidP="00225952">
            <w:pPr>
              <w:pStyle w:val="Heading4"/>
            </w:pPr>
          </w:p>
          <w:p w:rsidR="00225952" w:rsidRPr="006135BA" w:rsidRDefault="00225952" w:rsidP="00225952">
            <w:pPr>
              <w:pStyle w:val="Heading4"/>
            </w:pPr>
          </w:p>
        </w:tc>
        <w:tc>
          <w:tcPr>
            <w:tcW w:w="7919" w:type="dxa"/>
          </w:tcPr>
          <w:p w:rsidR="00221BB9" w:rsidRDefault="00225952">
            <w:pPr>
              <w:spacing w:after="60"/>
            </w:pPr>
            <w:r w:rsidRPr="00166DB6">
              <w:t>In general, the analysis years should be related to</w:t>
            </w:r>
            <w:r>
              <w:t>:</w:t>
            </w:r>
          </w:p>
          <w:p w:rsidR="00225952" w:rsidRDefault="00225952" w:rsidP="00AD2D7A">
            <w:pPr>
              <w:pStyle w:val="BulletA"/>
              <w:numPr>
                <w:ilvl w:val="0"/>
                <w:numId w:val="121"/>
              </w:numPr>
            </w:pPr>
            <w:r>
              <w:t>T</w:t>
            </w:r>
            <w:r w:rsidRPr="00166DB6">
              <w:t>he opening date of the proposed development</w:t>
            </w:r>
          </w:p>
          <w:p w:rsidR="00225952" w:rsidRDefault="00225952" w:rsidP="00AD2D7A">
            <w:pPr>
              <w:pStyle w:val="BulletA"/>
              <w:numPr>
                <w:ilvl w:val="0"/>
                <w:numId w:val="121"/>
              </w:numPr>
            </w:pPr>
            <w:r>
              <w:t xml:space="preserve">Completion </w:t>
            </w:r>
            <w:r w:rsidRPr="00166DB6">
              <w:t xml:space="preserve"> of major phases in a multi-year</w:t>
            </w:r>
            <w:r>
              <w:t xml:space="preserve"> d</w:t>
            </w:r>
            <w:r w:rsidRPr="00166DB6">
              <w:t>evelopment</w:t>
            </w:r>
          </w:p>
          <w:p w:rsidR="00225952" w:rsidRDefault="00225952" w:rsidP="00AD2D7A">
            <w:pPr>
              <w:pStyle w:val="BulletA"/>
              <w:numPr>
                <w:ilvl w:val="0"/>
                <w:numId w:val="121"/>
              </w:numPr>
            </w:pPr>
            <w:r>
              <w:t>L</w:t>
            </w:r>
            <w:r w:rsidRPr="00166DB6">
              <w:t xml:space="preserve">ong-range transportation plans or </w:t>
            </w:r>
            <w:r>
              <w:t xml:space="preserve">Local Government Comprehensive </w:t>
            </w:r>
            <w:r>
              <w:lastRenderedPageBreak/>
              <w:t>Plan (</w:t>
            </w:r>
            <w:r w:rsidRPr="00166DB6">
              <w:t>LGCP</w:t>
            </w:r>
            <w:r>
              <w:t>)</w:t>
            </w:r>
            <w:r w:rsidRPr="00166DB6">
              <w:t xml:space="preserve"> horizons,</w:t>
            </w:r>
          </w:p>
          <w:p w:rsidR="00225952" w:rsidRDefault="00225952" w:rsidP="00AD2D7A">
            <w:pPr>
              <w:pStyle w:val="BulletA"/>
              <w:numPr>
                <w:ilvl w:val="0"/>
                <w:numId w:val="121"/>
              </w:numPr>
            </w:pPr>
            <w:r>
              <w:t xml:space="preserve">Metropolitan Planning Organization (MPO)  prepared </w:t>
            </w:r>
            <w:r w:rsidRPr="00166DB6">
              <w:t>T</w:t>
            </w:r>
            <w:r>
              <w:t xml:space="preserve">ransportation </w:t>
            </w:r>
            <w:r w:rsidRPr="00166DB6">
              <w:t>I</w:t>
            </w:r>
            <w:r>
              <w:t xml:space="preserve">mprovement Program </w:t>
            </w:r>
            <w:r w:rsidRPr="00166DB6">
              <w:t>horizons or other significant transportation</w:t>
            </w:r>
            <w:r>
              <w:t xml:space="preserve"> </w:t>
            </w:r>
            <w:r w:rsidRPr="00166DB6">
              <w:t>network changes</w:t>
            </w:r>
            <w:r>
              <w:t xml:space="preserve"> </w:t>
            </w:r>
          </w:p>
          <w:p w:rsidR="00221BB9" w:rsidRDefault="00225952">
            <w:pPr>
              <w:pStyle w:val="BulletA"/>
              <w:numPr>
                <w:ilvl w:val="0"/>
                <w:numId w:val="121"/>
              </w:numPr>
              <w:spacing w:after="180"/>
            </w:pPr>
            <w:r>
              <w:t xml:space="preserve">Corresponding local government’s Capital Improvement Elements. </w:t>
            </w:r>
          </w:p>
          <w:p w:rsidR="00225952" w:rsidRDefault="00225952" w:rsidP="00225952">
            <w:r>
              <w:t>Analysis years should be clearly defined in the report (i.e., “2010 Existing Conditions” instead of just “Existing Conditions”) and agreed to during the methodology process.</w:t>
            </w:r>
          </w:p>
          <w:p w:rsidR="00225952" w:rsidRDefault="00225952" w:rsidP="00D53BEE">
            <w:r>
              <w:t>A</w:t>
            </w:r>
            <w:r w:rsidRPr="00166DB6">
              <w:t xml:space="preserve"> change in the proposed </w:t>
            </w:r>
            <w:r>
              <w:t>d</w:t>
            </w:r>
            <w:r w:rsidRPr="00166DB6">
              <w:t>evelopment</w:t>
            </w:r>
            <w:r>
              <w:t xml:space="preserve"> </w:t>
            </w:r>
            <w:r w:rsidRPr="00166DB6">
              <w:t>phasing (notice of proposed change in the DRI process</w:t>
            </w:r>
            <w:r>
              <w:t xml:space="preserve"> </w:t>
            </w:r>
            <w:r w:rsidRPr="00166DB6">
              <w:t xml:space="preserve">- see </w:t>
            </w:r>
            <w:r>
              <w:t>Chapter 4</w:t>
            </w:r>
            <w:r w:rsidRPr="00166DB6">
              <w:t>) may require a new analysis year be</w:t>
            </w:r>
            <w:r>
              <w:t xml:space="preserve"> </w:t>
            </w:r>
            <w:r w:rsidRPr="00166DB6">
              <w:t xml:space="preserve">considered. </w:t>
            </w:r>
            <w:r w:rsidRPr="00AB29A7">
              <w:t xml:space="preserve">Exhibit </w:t>
            </w:r>
            <w:r w:rsidR="00D53BEE">
              <w:t>6</w:t>
            </w:r>
            <w:r w:rsidRPr="00166DB6">
              <w:t xml:space="preserve"> suggests study horizons as a</w:t>
            </w:r>
            <w:r>
              <w:t xml:space="preserve"> </w:t>
            </w:r>
            <w:r w:rsidRPr="00166DB6">
              <w:t>function of the type of site impact review.</w:t>
            </w:r>
          </w:p>
        </w:tc>
      </w:tr>
      <w:tr w:rsidR="00225952" w:rsidRPr="00380CF5" w:rsidTr="0021455D">
        <w:trPr>
          <w:trHeight w:val="4617"/>
        </w:trPr>
        <w:tc>
          <w:tcPr>
            <w:tcW w:w="2431" w:type="dxa"/>
          </w:tcPr>
          <w:p w:rsidR="00225952" w:rsidRPr="005862AE" w:rsidRDefault="00225952" w:rsidP="00225952">
            <w:pPr>
              <w:pStyle w:val="ExhibitNumber"/>
            </w:pPr>
            <w:r w:rsidRPr="005862AE">
              <w:lastRenderedPageBreak/>
              <w:t xml:space="preserve"> </w:t>
            </w:r>
          </w:p>
          <w:p w:rsidR="00225952" w:rsidRPr="005862AE" w:rsidRDefault="00225952" w:rsidP="00225952">
            <w:pPr>
              <w:pStyle w:val="ExhibitNumber"/>
            </w:pPr>
            <w:r w:rsidRPr="005862AE">
              <w:t xml:space="preserve">Exhibit </w:t>
            </w:r>
            <w:r w:rsidR="00D53BEE">
              <w:t>6</w:t>
            </w:r>
            <w:r w:rsidRPr="005862AE">
              <w:t xml:space="preserve"> </w:t>
            </w:r>
          </w:p>
          <w:p w:rsidR="00225952" w:rsidRDefault="00225952" w:rsidP="00225952">
            <w:pPr>
              <w:pStyle w:val="ExhibitTitle"/>
            </w:pPr>
            <w:r w:rsidRPr="00C3150C">
              <w:t>Suggested Study Horizons</w:t>
            </w:r>
          </w:p>
          <w:p w:rsidR="00225952" w:rsidRDefault="00225952" w:rsidP="00225952">
            <w:pPr>
              <w:pStyle w:val="SidebarSentence"/>
              <w:rPr>
                <w:highlight w:val="red"/>
              </w:rPr>
            </w:pPr>
          </w:p>
          <w:p w:rsidR="00225952" w:rsidRDefault="00225952" w:rsidP="00225952">
            <w:pPr>
              <w:pStyle w:val="SidebarSentence"/>
              <w:rPr>
                <w:highlight w:val="red"/>
              </w:rPr>
            </w:pPr>
          </w:p>
          <w:p w:rsidR="00225952" w:rsidRDefault="00225952" w:rsidP="00225952">
            <w:pPr>
              <w:pStyle w:val="SidebarSentence"/>
              <w:rPr>
                <w:highlight w:val="red"/>
              </w:rPr>
            </w:pPr>
          </w:p>
          <w:p w:rsidR="00225952" w:rsidRDefault="00225952" w:rsidP="00225952">
            <w:pPr>
              <w:pStyle w:val="SidebarSentence"/>
              <w:rPr>
                <w:highlight w:val="red"/>
              </w:rPr>
            </w:pPr>
          </w:p>
          <w:p w:rsidR="00225952" w:rsidRDefault="00225952" w:rsidP="00225952">
            <w:pPr>
              <w:pStyle w:val="SidebarSentence"/>
              <w:rPr>
                <w:highlight w:val="red"/>
              </w:rPr>
            </w:pPr>
          </w:p>
          <w:p w:rsidR="00225952" w:rsidRDefault="00225952" w:rsidP="00225952">
            <w:pPr>
              <w:pStyle w:val="SidebarSentence"/>
              <w:rPr>
                <w:highlight w:val="red"/>
              </w:rPr>
            </w:pPr>
          </w:p>
          <w:p w:rsidR="00225952" w:rsidRDefault="00225952" w:rsidP="00225952">
            <w:pPr>
              <w:pStyle w:val="SidebarSentence"/>
              <w:rPr>
                <w:highlight w:val="red"/>
              </w:rPr>
            </w:pPr>
          </w:p>
          <w:p w:rsidR="00225952" w:rsidRDefault="00225952" w:rsidP="00225952">
            <w:pPr>
              <w:pStyle w:val="SidebarSentence"/>
              <w:rPr>
                <w:highlight w:val="red"/>
              </w:rPr>
            </w:pPr>
          </w:p>
        </w:tc>
        <w:tc>
          <w:tcPr>
            <w:tcW w:w="7919" w:type="dxa"/>
          </w:tcPr>
          <w:tbl>
            <w:tblPr>
              <w:tblW w:w="7715" w:type="dxa"/>
              <w:tblBorders>
                <w:top w:val="single" w:sz="6" w:space="0" w:color="215868" w:themeColor="accent5" w:themeShade="80"/>
                <w:bottom w:val="single" w:sz="6" w:space="0" w:color="215868" w:themeColor="accent5" w:themeShade="80"/>
                <w:insideH w:val="single" w:sz="6" w:space="0" w:color="215868" w:themeColor="accent5" w:themeShade="80"/>
                <w:insideV w:val="single" w:sz="6" w:space="0" w:color="EEECE1" w:themeColor="background2"/>
              </w:tblBorders>
              <w:tblLayout w:type="fixed"/>
              <w:tblLook w:val="01E0"/>
            </w:tblPr>
            <w:tblGrid>
              <w:gridCol w:w="1595"/>
              <w:gridCol w:w="6120"/>
            </w:tblGrid>
            <w:tr w:rsidR="00225952" w:rsidTr="00225952">
              <w:tc>
                <w:tcPr>
                  <w:tcW w:w="1595" w:type="dxa"/>
                </w:tcPr>
                <w:p w:rsidR="00225952" w:rsidRDefault="00225952" w:rsidP="00225952">
                  <w:pPr>
                    <w:spacing w:after="0"/>
                    <w:jc w:val="right"/>
                    <w:rPr>
                      <w:b/>
                      <w:iCs/>
                    </w:rPr>
                  </w:pPr>
                  <w:r w:rsidRPr="00F653D1">
                    <w:rPr>
                      <w:b/>
                      <w:bCs/>
                      <w:iCs/>
                      <w:sz w:val="20"/>
                    </w:rPr>
                    <w:t>Local</w:t>
                  </w:r>
                  <w:r>
                    <w:rPr>
                      <w:b/>
                      <w:bCs/>
                      <w:iCs/>
                      <w:sz w:val="20"/>
                    </w:rPr>
                    <w:br/>
                  </w:r>
                  <w:r w:rsidRPr="00F653D1">
                    <w:rPr>
                      <w:b/>
                      <w:bCs/>
                      <w:iCs/>
                      <w:sz w:val="20"/>
                    </w:rPr>
                    <w:t>Government Comprehensive Plans</w:t>
                  </w:r>
                </w:p>
              </w:tc>
              <w:tc>
                <w:tcPr>
                  <w:tcW w:w="6120" w:type="dxa"/>
                </w:tcPr>
                <w:p w:rsidR="00225952" w:rsidRPr="00C73355" w:rsidRDefault="00225952" w:rsidP="00225952">
                  <w:pPr>
                    <w:spacing w:after="120"/>
                  </w:pPr>
                  <w:r w:rsidRPr="00F653D1">
                    <w:rPr>
                      <w:bCs/>
                    </w:rPr>
                    <w:t>Existing, short-term (five-year), and long-term (existing comprehensive plan horizon year or at least 10 years) analyses are typically required for comprehensive plan elements</w:t>
                  </w:r>
                  <w:r w:rsidRPr="005862AE">
                    <w:rPr>
                      <w:b/>
                      <w:bCs/>
                    </w:rPr>
                    <w:t>.</w:t>
                  </w:r>
                </w:p>
              </w:tc>
            </w:tr>
            <w:tr w:rsidR="00225952" w:rsidTr="00225952">
              <w:tc>
                <w:tcPr>
                  <w:tcW w:w="1595" w:type="dxa"/>
                </w:tcPr>
                <w:p w:rsidR="00225952" w:rsidRDefault="00225952" w:rsidP="00225952">
                  <w:pPr>
                    <w:spacing w:after="120" w:line="240" w:lineRule="auto"/>
                    <w:contextualSpacing/>
                    <w:jc w:val="right"/>
                    <w:rPr>
                      <w:b/>
                      <w:bCs/>
                      <w:sz w:val="20"/>
                    </w:rPr>
                  </w:pPr>
                  <w:r w:rsidRPr="008C6204">
                    <w:rPr>
                      <w:b/>
                      <w:bCs/>
                      <w:sz w:val="20"/>
                    </w:rPr>
                    <w:t xml:space="preserve">Developments </w:t>
                  </w:r>
                </w:p>
                <w:p w:rsidR="00225952" w:rsidRDefault="00225952" w:rsidP="00225952">
                  <w:pPr>
                    <w:spacing w:after="120" w:line="240" w:lineRule="auto"/>
                    <w:contextualSpacing/>
                    <w:jc w:val="right"/>
                    <w:rPr>
                      <w:b/>
                      <w:bCs/>
                      <w:sz w:val="20"/>
                    </w:rPr>
                  </w:pPr>
                  <w:r>
                    <w:rPr>
                      <w:b/>
                      <w:bCs/>
                      <w:sz w:val="20"/>
                    </w:rPr>
                    <w:t>o</w:t>
                  </w:r>
                  <w:r w:rsidRPr="008C6204">
                    <w:rPr>
                      <w:b/>
                      <w:bCs/>
                      <w:sz w:val="20"/>
                    </w:rPr>
                    <w:t>f Regional</w:t>
                  </w:r>
                </w:p>
                <w:p w:rsidR="00225952" w:rsidRDefault="00225952" w:rsidP="00225952">
                  <w:pPr>
                    <w:spacing w:after="120" w:line="240" w:lineRule="auto"/>
                    <w:contextualSpacing/>
                    <w:jc w:val="right"/>
                    <w:rPr>
                      <w:b/>
                    </w:rPr>
                  </w:pPr>
                  <w:r w:rsidRPr="008C6204">
                    <w:rPr>
                      <w:b/>
                      <w:bCs/>
                      <w:sz w:val="20"/>
                    </w:rPr>
                    <w:t>Impact</w:t>
                  </w:r>
                </w:p>
              </w:tc>
              <w:tc>
                <w:tcPr>
                  <w:tcW w:w="6120" w:type="dxa"/>
                </w:tcPr>
                <w:p w:rsidR="00225952" w:rsidRDefault="00225952" w:rsidP="00225952">
                  <w:pPr>
                    <w:spacing w:after="120"/>
                  </w:pPr>
                  <w:r w:rsidRPr="00C3150C">
                    <w:t xml:space="preserve">The year of </w:t>
                  </w:r>
                  <w:r>
                    <w:t>the</w:t>
                  </w:r>
                  <w:r w:rsidRPr="00C3150C">
                    <w:t xml:space="preserve"> opening of</w:t>
                  </w:r>
                  <w:r>
                    <w:t xml:space="preserve"> first phase of the development</w:t>
                  </w:r>
                  <w:r w:rsidRPr="00C3150C">
                    <w:t>, the anticipated opening year of each major phase of the development assuming build out and</w:t>
                  </w:r>
                  <w:r>
                    <w:t xml:space="preserve"> </w:t>
                  </w:r>
                  <w:r w:rsidRPr="00C3150C">
                    <w:t xml:space="preserve">full occupancy of each phase, and the </w:t>
                  </w:r>
                  <w:r>
                    <w:t xml:space="preserve">final build-out </w:t>
                  </w:r>
                  <w:r w:rsidRPr="00C3150C">
                    <w:t>year (or year of complete development assuming full occupancy)</w:t>
                  </w:r>
                  <w:r>
                    <w:t xml:space="preserve"> </w:t>
                  </w:r>
                  <w:r w:rsidRPr="00C3150C">
                    <w:t xml:space="preserve">should be considered for all DRI type analyses. </w:t>
                  </w:r>
                </w:p>
              </w:tc>
            </w:tr>
            <w:tr w:rsidR="00225952" w:rsidTr="00225952">
              <w:tc>
                <w:tcPr>
                  <w:tcW w:w="1595" w:type="dxa"/>
                </w:tcPr>
                <w:p w:rsidR="00225952" w:rsidRDefault="00225952" w:rsidP="00225952">
                  <w:pPr>
                    <w:spacing w:after="0"/>
                    <w:jc w:val="right"/>
                    <w:rPr>
                      <w:b/>
                      <w:bCs/>
                      <w:sz w:val="20"/>
                    </w:rPr>
                  </w:pPr>
                  <w:r w:rsidRPr="008C6204">
                    <w:rPr>
                      <w:b/>
                      <w:bCs/>
                      <w:sz w:val="20"/>
                    </w:rPr>
                    <w:t>Concurrency</w:t>
                  </w:r>
                </w:p>
                <w:p w:rsidR="00225952" w:rsidRDefault="00225952" w:rsidP="00225952">
                  <w:pPr>
                    <w:spacing w:after="120"/>
                    <w:jc w:val="right"/>
                    <w:rPr>
                      <w:b/>
                      <w:bCs/>
                    </w:rPr>
                  </w:pPr>
                  <w:r>
                    <w:rPr>
                      <w:b/>
                      <w:bCs/>
                      <w:sz w:val="20"/>
                    </w:rPr>
                    <w:t>Reviews</w:t>
                  </w:r>
                </w:p>
              </w:tc>
              <w:tc>
                <w:tcPr>
                  <w:tcW w:w="6120" w:type="dxa"/>
                </w:tcPr>
                <w:p w:rsidR="00225952" w:rsidRDefault="00225952" w:rsidP="00DD15F6">
                  <w:pPr>
                    <w:spacing w:after="120"/>
                  </w:pPr>
                  <w:r w:rsidRPr="00950385">
                    <w:t xml:space="preserve">Typically these developments occur in </w:t>
                  </w:r>
                  <w:r>
                    <w:t>a single</w:t>
                  </w:r>
                  <w:r w:rsidRPr="00950385">
                    <w:t xml:space="preserve"> </w:t>
                  </w:r>
                  <w:r>
                    <w:t xml:space="preserve">phase. </w:t>
                  </w:r>
                  <w:r w:rsidRPr="00950385">
                    <w:t>Therefore, the anticipated opening year of the development assuming build out and full occupancy is the only horizon year required. Local government requirements should be reviewed.</w:t>
                  </w:r>
                </w:p>
              </w:tc>
            </w:tr>
          </w:tbl>
          <w:p w:rsidR="00DD15F6" w:rsidRDefault="00DD15F6" w:rsidP="00DD15F6">
            <w:pPr>
              <w:spacing w:after="120"/>
              <w:rPr>
                <w:noProof/>
              </w:rPr>
            </w:pPr>
          </w:p>
        </w:tc>
      </w:tr>
      <w:tr w:rsidR="00225952" w:rsidRPr="00380CF5" w:rsidTr="00225952">
        <w:trPr>
          <w:trHeight w:val="108"/>
        </w:trPr>
        <w:tc>
          <w:tcPr>
            <w:tcW w:w="10350" w:type="dxa"/>
            <w:gridSpan w:val="2"/>
          </w:tcPr>
          <w:p w:rsidR="00225952" w:rsidRDefault="006B7F55" w:rsidP="00225952">
            <w:pPr>
              <w:pStyle w:val="Heading3"/>
            </w:pPr>
            <w:bookmarkStart w:id="46" w:name="_Toc264274069"/>
            <w:r>
              <w:t>2.2</w:t>
            </w:r>
            <w:r w:rsidR="00225952">
              <w:t>.3  General Transportation Factors</w:t>
            </w:r>
            <w:bookmarkEnd w:id="46"/>
          </w:p>
        </w:tc>
      </w:tr>
      <w:tr w:rsidR="00225952" w:rsidRPr="00380CF5" w:rsidTr="0021455D">
        <w:trPr>
          <w:trHeight w:val="540"/>
        </w:trPr>
        <w:tc>
          <w:tcPr>
            <w:tcW w:w="2431" w:type="dxa"/>
          </w:tcPr>
          <w:p w:rsidR="00225952" w:rsidRPr="006135BA" w:rsidRDefault="00225952" w:rsidP="00225952">
            <w:pPr>
              <w:pStyle w:val="Heading4"/>
            </w:pPr>
            <w:r w:rsidRPr="006135BA">
              <w:t>Analysis Periods</w:t>
            </w:r>
          </w:p>
          <w:p w:rsidR="00225952" w:rsidRDefault="00225952" w:rsidP="00225952">
            <w:pPr>
              <w:pStyle w:val="SidebarSentence"/>
              <w:rPr>
                <w:highlight w:val="red"/>
              </w:rPr>
            </w:pPr>
          </w:p>
          <w:p w:rsidR="00225952" w:rsidRDefault="00225952" w:rsidP="00225952">
            <w:pPr>
              <w:pStyle w:val="SidebarSentence"/>
            </w:pPr>
          </w:p>
        </w:tc>
        <w:tc>
          <w:tcPr>
            <w:tcW w:w="7919" w:type="dxa"/>
          </w:tcPr>
          <w:p w:rsidR="00225952" w:rsidRDefault="00225952" w:rsidP="00225952">
            <w:r>
              <w:t>Transportation</w:t>
            </w:r>
            <w:r w:rsidRPr="00166DB6">
              <w:t xml:space="preserve"> impact analyses </w:t>
            </w:r>
            <w:r>
              <w:t xml:space="preserve">are usually </w:t>
            </w:r>
            <w:r w:rsidRPr="00166DB6">
              <w:t>based on a peak-hour</w:t>
            </w:r>
            <w:r>
              <w:t xml:space="preserve"> </w:t>
            </w:r>
            <w:r w:rsidRPr="00166DB6">
              <w:t>analysis. The analysis period should be related to</w:t>
            </w:r>
            <w:r>
              <w:t xml:space="preserve"> expected </w:t>
            </w:r>
            <w:r w:rsidRPr="00166DB6">
              <w:t xml:space="preserve">peaking patterns of demand </w:t>
            </w:r>
            <w:r>
              <w:t>o</w:t>
            </w:r>
            <w:r w:rsidRPr="00166DB6">
              <w:t>n</w:t>
            </w:r>
            <w:r>
              <w:t xml:space="preserve"> </w:t>
            </w:r>
            <w:r w:rsidRPr="00166DB6">
              <w:t xml:space="preserve">the </w:t>
            </w:r>
            <w:r>
              <w:t xml:space="preserve">roadway </w:t>
            </w:r>
            <w:r w:rsidRPr="00166DB6">
              <w:t xml:space="preserve">and </w:t>
            </w:r>
            <w:r>
              <w:t xml:space="preserve">anticipated </w:t>
            </w:r>
            <w:r w:rsidRPr="00166DB6">
              <w:t xml:space="preserve">development traffic. </w:t>
            </w:r>
          </w:p>
          <w:p w:rsidR="00225952" w:rsidRPr="00166DB6" w:rsidRDefault="00225952" w:rsidP="00D53BEE">
            <w:r w:rsidRPr="00166DB6">
              <w:t>The</w:t>
            </w:r>
            <w:r>
              <w:t xml:space="preserve"> </w:t>
            </w:r>
            <w:r w:rsidRPr="00166DB6">
              <w:t xml:space="preserve">typical period used </w:t>
            </w:r>
            <w:r>
              <w:t>by the</w:t>
            </w:r>
            <w:r w:rsidRPr="00166DB6">
              <w:t xml:space="preserve"> </w:t>
            </w:r>
            <w:r>
              <w:t>FDOT</w:t>
            </w:r>
            <w:r w:rsidRPr="00166DB6">
              <w:t xml:space="preserve"> for most </w:t>
            </w:r>
            <w:r>
              <w:t>transportation</w:t>
            </w:r>
            <w:r w:rsidRPr="00166DB6">
              <w:t xml:space="preserve"> impact</w:t>
            </w:r>
            <w:r>
              <w:t xml:space="preserve"> </w:t>
            </w:r>
            <w:r w:rsidRPr="00166DB6">
              <w:t>analyses is the 100</w:t>
            </w:r>
            <w:r w:rsidRPr="002C50F7">
              <w:rPr>
                <w:vertAlign w:val="superscript"/>
              </w:rPr>
              <w:t>th</w:t>
            </w:r>
            <w:r>
              <w:t xml:space="preserve"> </w:t>
            </w:r>
            <w:r w:rsidRPr="00166DB6">
              <w:t>highest hourly volume. This</w:t>
            </w:r>
            <w:r>
              <w:t xml:space="preserve"> </w:t>
            </w:r>
            <w:r w:rsidRPr="00166DB6">
              <w:t>period represents a typical weekday peak hour during</w:t>
            </w:r>
            <w:r>
              <w:t xml:space="preserve"> </w:t>
            </w:r>
            <w:r w:rsidRPr="00166DB6">
              <w:t>the peak season of the year (</w:t>
            </w:r>
            <w:r>
              <w:t xml:space="preserve">see the </w:t>
            </w:r>
            <w:hyperlink r:id="rId44" w:history="1">
              <w:r w:rsidRPr="000B2454">
                <w:rPr>
                  <w:rStyle w:val="Hyperlink"/>
                </w:rPr>
                <w:t>FDOT Q</w:t>
              </w:r>
              <w:r>
                <w:rPr>
                  <w:rStyle w:val="Hyperlink"/>
                </w:rPr>
                <w:t>uality</w:t>
              </w:r>
              <w:r w:rsidRPr="000B2454">
                <w:rPr>
                  <w:rStyle w:val="Hyperlink"/>
                </w:rPr>
                <w:t>/L</w:t>
              </w:r>
              <w:r>
                <w:rPr>
                  <w:rStyle w:val="Hyperlink"/>
                </w:rPr>
                <w:t xml:space="preserve">evel of </w:t>
              </w:r>
              <w:r w:rsidRPr="000B2454">
                <w:rPr>
                  <w:rStyle w:val="Hyperlink"/>
                </w:rPr>
                <w:t>S</w:t>
              </w:r>
              <w:r>
                <w:rPr>
                  <w:rStyle w:val="Hyperlink"/>
                </w:rPr>
                <w:t>ervice</w:t>
              </w:r>
              <w:r w:rsidRPr="000B2454">
                <w:rPr>
                  <w:rStyle w:val="Hyperlink"/>
                </w:rPr>
                <w:t xml:space="preserve"> </w:t>
              </w:r>
              <w:r>
                <w:rPr>
                  <w:rStyle w:val="Hyperlink"/>
                </w:rPr>
                <w:t>Handbook</w:t>
              </w:r>
            </w:hyperlink>
            <w:r>
              <w:t xml:space="preserve"> and </w:t>
            </w:r>
            <w:hyperlink r:id="rId45" w:history="1">
              <w:r w:rsidRPr="0069534B">
                <w:rPr>
                  <w:rStyle w:val="Hyperlink"/>
                </w:rPr>
                <w:t>Rule 14-94 FAC</w:t>
              </w:r>
            </w:hyperlink>
            <w:r>
              <w:t xml:space="preserve"> for additional information</w:t>
            </w:r>
            <w:r w:rsidRPr="00166DB6">
              <w:t>).</w:t>
            </w:r>
            <w:r>
              <w:t xml:space="preserve"> </w:t>
            </w:r>
            <w:r w:rsidRPr="00166DB6">
              <w:t xml:space="preserve">If this period </w:t>
            </w:r>
            <w:r>
              <w:t>is</w:t>
            </w:r>
            <w:r w:rsidRPr="00166DB6">
              <w:t xml:space="preserve"> not adequate, the period selected</w:t>
            </w:r>
            <w:r>
              <w:t xml:space="preserve"> </w:t>
            </w:r>
            <w:r w:rsidRPr="00166DB6">
              <w:t>should be the period that has the highest combination</w:t>
            </w:r>
            <w:r>
              <w:t xml:space="preserve"> </w:t>
            </w:r>
            <w:r w:rsidRPr="00166DB6">
              <w:t>of development and background traffic.</w:t>
            </w:r>
            <w:r>
              <w:t xml:space="preserve"> This is referred to as the “</w:t>
            </w:r>
            <w:r w:rsidRPr="008A22C3">
              <w:rPr>
                <w:b/>
              </w:rPr>
              <w:t>critical hour</w:t>
            </w:r>
            <w:r>
              <w:t xml:space="preserve">.” To illustrate this concept, typical critical hours for selected land </w:t>
            </w:r>
            <w:r>
              <w:lastRenderedPageBreak/>
              <w:t xml:space="preserve">uses are illustrated in </w:t>
            </w:r>
            <w:r w:rsidR="00D53BEE">
              <w:t>Exhibit 7</w:t>
            </w:r>
            <w:r>
              <w:t xml:space="preserve">. </w:t>
            </w:r>
          </w:p>
        </w:tc>
      </w:tr>
      <w:tr w:rsidR="00225952" w:rsidRPr="00380CF5" w:rsidTr="0021455D">
        <w:tc>
          <w:tcPr>
            <w:tcW w:w="2431" w:type="dxa"/>
          </w:tcPr>
          <w:p w:rsidR="00225952" w:rsidRDefault="00225952" w:rsidP="00225952">
            <w:pPr>
              <w:pStyle w:val="SidebarSentence"/>
              <w:jc w:val="center"/>
              <w:rPr>
                <w:noProof/>
              </w:rPr>
            </w:pPr>
            <w:r>
              <w:rPr>
                <w:bCs w:val="0"/>
                <w:noProof/>
              </w:rPr>
              <w:lastRenderedPageBreak/>
              <w:drawing>
                <wp:inline distT="0" distB="0" distL="0" distR="0">
                  <wp:extent cx="1391920" cy="543560"/>
                  <wp:effectExtent l="19050" t="0" r="0" b="0"/>
                  <wp:docPr id="16" name="Picture 16" descr="button_PDFlink.png">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utton_PDFlink.png"/>
                          <pic:cNvPicPr>
                            <a:picLocks noChangeAspect="1" noChangeArrowheads="1"/>
                          </pic:cNvPicPr>
                        </pic:nvPicPr>
                        <pic:blipFill>
                          <a:blip r:embed="rId15" cstate="print"/>
                          <a:srcRect/>
                          <a:stretch>
                            <a:fillRect/>
                          </a:stretch>
                        </pic:blipFill>
                        <pic:spPr bwMode="auto">
                          <a:xfrm>
                            <a:off x="0" y="0"/>
                            <a:ext cx="1391920" cy="543560"/>
                          </a:xfrm>
                          <a:prstGeom prst="rect">
                            <a:avLst/>
                          </a:prstGeom>
                          <a:noFill/>
                          <a:ln w="9525">
                            <a:noFill/>
                            <a:miter lim="800000"/>
                            <a:headEnd/>
                            <a:tailEnd/>
                          </a:ln>
                        </pic:spPr>
                      </pic:pic>
                    </a:graphicData>
                  </a:graphic>
                </wp:inline>
              </w:drawing>
            </w:r>
            <w:r w:rsidRPr="00592EC1">
              <w:t>Project Traffic</w:t>
            </w:r>
            <w:r>
              <w:t xml:space="preserve"> Forecasting Handbook</w:t>
            </w:r>
          </w:p>
        </w:tc>
        <w:tc>
          <w:tcPr>
            <w:tcW w:w="7919" w:type="dxa"/>
          </w:tcPr>
          <w:p w:rsidR="00225952" w:rsidRDefault="00225952">
            <w:r>
              <w:t xml:space="preserve">The analysis period to be used should be clearly stated in the methodology. The FDOT reviewer should check that appropriate factors have been applied to field collected data so that the appropriate analysis period is being used. Detailed information about the application of adjustment factors to collected traffic counts is found in the </w:t>
            </w:r>
            <w:hyperlink r:id="rId47" w:history="1">
              <w:r w:rsidRPr="00176919">
                <w:rPr>
                  <w:rStyle w:val="Hyperlink"/>
                </w:rPr>
                <w:t xml:space="preserve">FDOT </w:t>
              </w:r>
              <w:r w:rsidRPr="00176919">
                <w:rPr>
                  <w:rStyle w:val="Hyperlink"/>
                  <w:i/>
                </w:rPr>
                <w:t>Project Traffic Forecasting Handbook</w:t>
              </w:r>
            </w:hyperlink>
            <w:r w:rsidRPr="00176919">
              <w:t>.</w:t>
            </w:r>
            <w:r w:rsidR="00DD15F6">
              <w:tab/>
            </w:r>
          </w:p>
        </w:tc>
      </w:tr>
      <w:tr w:rsidR="00225952" w:rsidRPr="00380CF5" w:rsidTr="0021455D">
        <w:tc>
          <w:tcPr>
            <w:tcW w:w="2431" w:type="dxa"/>
          </w:tcPr>
          <w:p w:rsidR="00225952" w:rsidRDefault="00225952">
            <w:pPr>
              <w:pStyle w:val="Exhibit"/>
            </w:pPr>
          </w:p>
          <w:p w:rsidR="00225952" w:rsidRDefault="00225952">
            <w:pPr>
              <w:pStyle w:val="Exhibit"/>
            </w:pPr>
          </w:p>
          <w:p w:rsidR="00225952" w:rsidRDefault="00225952">
            <w:pPr>
              <w:pStyle w:val="Exhibit"/>
            </w:pPr>
            <w:r w:rsidRPr="008A22C3">
              <w:t>Exhibit</w:t>
            </w:r>
            <w:r w:rsidRPr="006B7664">
              <w:t xml:space="preserve"> </w:t>
            </w:r>
            <w:r w:rsidR="00D53BEE">
              <w:t>7</w:t>
            </w:r>
          </w:p>
          <w:p w:rsidR="00225952" w:rsidRDefault="00225952" w:rsidP="00225952">
            <w:pPr>
              <w:pStyle w:val="ExhibitTitle"/>
            </w:pPr>
            <w:r w:rsidRPr="006B7664">
              <w:t>Typical Critical Hour Analysis Period for Various Types of Developments</w:t>
            </w:r>
          </w:p>
          <w:p w:rsidR="00225952" w:rsidRDefault="00225952" w:rsidP="00225952">
            <w:pPr>
              <w:pStyle w:val="SidebarSentence"/>
              <w:jc w:val="center"/>
              <w:rPr>
                <w:bCs w:val="0"/>
                <w:noProof/>
              </w:rPr>
            </w:pPr>
          </w:p>
        </w:tc>
        <w:tc>
          <w:tcPr>
            <w:tcW w:w="7919" w:type="dxa"/>
          </w:tcPr>
          <w:tbl>
            <w:tblPr>
              <w:tblW w:w="0" w:type="auto"/>
              <w:tblBorders>
                <w:top w:val="single" w:sz="4" w:space="0" w:color="215868" w:themeColor="accent5" w:themeShade="80"/>
                <w:bottom w:val="single" w:sz="12" w:space="0" w:color="215868" w:themeColor="accent5" w:themeShade="80"/>
                <w:insideH w:val="single" w:sz="4" w:space="0" w:color="215868" w:themeColor="accent5" w:themeShade="80"/>
                <w:insideV w:val="single" w:sz="4" w:space="0" w:color="215868" w:themeColor="accent5" w:themeShade="80"/>
              </w:tblBorders>
              <w:tblLayout w:type="fixed"/>
              <w:tblLook w:val="04A0"/>
            </w:tblPr>
            <w:tblGrid>
              <w:gridCol w:w="2495"/>
              <w:gridCol w:w="810"/>
              <w:gridCol w:w="720"/>
              <w:gridCol w:w="3664"/>
            </w:tblGrid>
            <w:tr w:rsidR="00225952" w:rsidTr="00225952">
              <w:tc>
                <w:tcPr>
                  <w:tcW w:w="2495" w:type="dxa"/>
                  <w:tcBorders>
                    <w:top w:val="nil"/>
                    <w:bottom w:val="nil"/>
                  </w:tcBorders>
                </w:tcPr>
                <w:p w:rsidR="00225952" w:rsidRDefault="00225952"/>
              </w:tc>
              <w:tc>
                <w:tcPr>
                  <w:tcW w:w="1530" w:type="dxa"/>
                  <w:gridSpan w:val="2"/>
                  <w:tcBorders>
                    <w:top w:val="nil"/>
                    <w:bottom w:val="nil"/>
                  </w:tcBorders>
                </w:tcPr>
                <w:p w:rsidR="00221BB9" w:rsidRDefault="00225952">
                  <w:pPr>
                    <w:spacing w:after="0"/>
                    <w:jc w:val="center"/>
                  </w:pPr>
                  <w:r w:rsidRPr="008A22C3">
                    <w:rPr>
                      <w:sz w:val="18"/>
                    </w:rPr>
                    <w:t>Weekday Street Peak Hour</w:t>
                  </w:r>
                </w:p>
              </w:tc>
              <w:tc>
                <w:tcPr>
                  <w:tcW w:w="3664" w:type="dxa"/>
                  <w:tcBorders>
                    <w:top w:val="nil"/>
                    <w:bottom w:val="nil"/>
                  </w:tcBorders>
                </w:tcPr>
                <w:p w:rsidR="00225952" w:rsidRDefault="00225952"/>
              </w:tc>
            </w:tr>
            <w:tr w:rsidR="00225952" w:rsidTr="00C67E35">
              <w:tc>
                <w:tcPr>
                  <w:tcW w:w="2495" w:type="dxa"/>
                  <w:tcBorders>
                    <w:top w:val="nil"/>
                    <w:bottom w:val="single" w:sz="18" w:space="0" w:color="215868" w:themeColor="accent5" w:themeShade="80"/>
                  </w:tcBorders>
                  <w:vAlign w:val="bottom"/>
                </w:tcPr>
                <w:p w:rsidR="00221BB9" w:rsidRDefault="00225952">
                  <w:pPr>
                    <w:spacing w:before="120" w:after="0"/>
                    <w:rPr>
                      <w:b/>
                    </w:rPr>
                  </w:pPr>
                  <w:r w:rsidRPr="008A22C3">
                    <w:rPr>
                      <w:b/>
                    </w:rPr>
                    <w:t>Development</w:t>
                  </w:r>
                </w:p>
              </w:tc>
              <w:tc>
                <w:tcPr>
                  <w:tcW w:w="810" w:type="dxa"/>
                  <w:tcBorders>
                    <w:top w:val="nil"/>
                    <w:bottom w:val="single" w:sz="18" w:space="0" w:color="215868" w:themeColor="accent5" w:themeShade="80"/>
                  </w:tcBorders>
                  <w:vAlign w:val="bottom"/>
                </w:tcPr>
                <w:p w:rsidR="00221BB9" w:rsidRDefault="00225952">
                  <w:pPr>
                    <w:spacing w:before="120" w:after="0"/>
                    <w:jc w:val="center"/>
                    <w:rPr>
                      <w:b/>
                    </w:rPr>
                  </w:pPr>
                  <w:r w:rsidRPr="008A22C3">
                    <w:rPr>
                      <w:b/>
                    </w:rPr>
                    <w:t>AM</w:t>
                  </w:r>
                </w:p>
              </w:tc>
              <w:tc>
                <w:tcPr>
                  <w:tcW w:w="720" w:type="dxa"/>
                  <w:tcBorders>
                    <w:top w:val="nil"/>
                    <w:bottom w:val="single" w:sz="18" w:space="0" w:color="215868" w:themeColor="accent5" w:themeShade="80"/>
                  </w:tcBorders>
                  <w:vAlign w:val="bottom"/>
                </w:tcPr>
                <w:p w:rsidR="00221BB9" w:rsidRDefault="00225952">
                  <w:pPr>
                    <w:spacing w:before="120" w:after="0"/>
                    <w:jc w:val="center"/>
                    <w:rPr>
                      <w:b/>
                    </w:rPr>
                  </w:pPr>
                  <w:r w:rsidRPr="008A22C3">
                    <w:rPr>
                      <w:b/>
                    </w:rPr>
                    <w:t>PM</w:t>
                  </w:r>
                </w:p>
              </w:tc>
              <w:tc>
                <w:tcPr>
                  <w:tcW w:w="3664" w:type="dxa"/>
                  <w:tcBorders>
                    <w:top w:val="nil"/>
                    <w:bottom w:val="single" w:sz="18" w:space="0" w:color="215868" w:themeColor="accent5" w:themeShade="80"/>
                  </w:tcBorders>
                  <w:vAlign w:val="bottom"/>
                </w:tcPr>
                <w:p w:rsidR="00221BB9" w:rsidRDefault="00225952">
                  <w:pPr>
                    <w:spacing w:before="120" w:after="0"/>
                    <w:rPr>
                      <w:b/>
                    </w:rPr>
                  </w:pPr>
                  <w:r w:rsidRPr="008A22C3">
                    <w:rPr>
                      <w:b/>
                    </w:rPr>
                    <w:t>Other</w:t>
                  </w:r>
                </w:p>
              </w:tc>
            </w:tr>
            <w:tr w:rsidR="00225952" w:rsidTr="00C67E35">
              <w:tc>
                <w:tcPr>
                  <w:tcW w:w="2495" w:type="dxa"/>
                  <w:tcBorders>
                    <w:top w:val="single" w:sz="18" w:space="0" w:color="215868" w:themeColor="accent5" w:themeShade="80"/>
                  </w:tcBorders>
                  <w:vAlign w:val="center"/>
                </w:tcPr>
                <w:p w:rsidR="00221BB9" w:rsidRDefault="00225952" w:rsidP="00DD15F6">
                  <w:pPr>
                    <w:tabs>
                      <w:tab w:val="right" w:pos="2279"/>
                    </w:tabs>
                    <w:spacing w:before="40" w:after="40"/>
                    <w:rPr>
                      <w:b/>
                    </w:rPr>
                  </w:pPr>
                  <w:r w:rsidRPr="008A22C3">
                    <w:rPr>
                      <w:b/>
                    </w:rPr>
                    <w:t>Residential</w:t>
                  </w:r>
                </w:p>
              </w:tc>
              <w:tc>
                <w:tcPr>
                  <w:tcW w:w="810" w:type="dxa"/>
                  <w:tcBorders>
                    <w:top w:val="single" w:sz="18" w:space="0" w:color="215868" w:themeColor="accent5" w:themeShade="80"/>
                  </w:tcBorders>
                  <w:vAlign w:val="center"/>
                </w:tcPr>
                <w:p w:rsidR="00221BB9" w:rsidRDefault="00225952" w:rsidP="00DD15F6">
                  <w:pPr>
                    <w:spacing w:before="40" w:after="40"/>
                    <w:jc w:val="center"/>
                  </w:pPr>
                  <w:r>
                    <w:t>X</w:t>
                  </w:r>
                </w:p>
              </w:tc>
              <w:tc>
                <w:tcPr>
                  <w:tcW w:w="720" w:type="dxa"/>
                  <w:tcBorders>
                    <w:top w:val="single" w:sz="18" w:space="0" w:color="215868" w:themeColor="accent5" w:themeShade="80"/>
                  </w:tcBorders>
                  <w:vAlign w:val="center"/>
                </w:tcPr>
                <w:p w:rsidR="00221BB9" w:rsidRDefault="00225952" w:rsidP="00DD15F6">
                  <w:pPr>
                    <w:spacing w:before="40" w:after="40"/>
                    <w:jc w:val="center"/>
                  </w:pPr>
                  <w:r>
                    <w:t>X</w:t>
                  </w:r>
                </w:p>
              </w:tc>
              <w:tc>
                <w:tcPr>
                  <w:tcW w:w="3664" w:type="dxa"/>
                  <w:tcBorders>
                    <w:top w:val="single" w:sz="18" w:space="0" w:color="215868" w:themeColor="accent5" w:themeShade="80"/>
                  </w:tcBorders>
                </w:tcPr>
                <w:p w:rsidR="00221BB9" w:rsidRDefault="00221BB9" w:rsidP="00DD15F6">
                  <w:pPr>
                    <w:spacing w:before="40" w:after="40"/>
                    <w:rPr>
                      <w:rFonts w:ascii="Tahoma" w:eastAsia="Calibri" w:hAnsi="Tahoma" w:cs="Times New Roman"/>
                      <w:b/>
                      <w:bCs/>
                      <w:sz w:val="32"/>
                      <w:szCs w:val="20"/>
                    </w:rPr>
                  </w:pPr>
                </w:p>
              </w:tc>
            </w:tr>
            <w:tr w:rsidR="00225952" w:rsidTr="00C67E35">
              <w:tc>
                <w:tcPr>
                  <w:tcW w:w="2495" w:type="dxa"/>
                  <w:tcBorders>
                    <w:bottom w:val="single" w:sz="4" w:space="0" w:color="215868" w:themeColor="accent5" w:themeShade="80"/>
                  </w:tcBorders>
                  <w:vAlign w:val="center"/>
                </w:tcPr>
                <w:p w:rsidR="00221BB9" w:rsidRDefault="00225952" w:rsidP="00DD15F6">
                  <w:pPr>
                    <w:tabs>
                      <w:tab w:val="right" w:pos="2279"/>
                    </w:tabs>
                    <w:spacing w:before="40" w:after="40"/>
                    <w:rPr>
                      <w:b/>
                    </w:rPr>
                  </w:pPr>
                  <w:r w:rsidRPr="008A22C3">
                    <w:rPr>
                      <w:b/>
                    </w:rPr>
                    <w:t>Office</w:t>
                  </w:r>
                </w:p>
              </w:tc>
              <w:tc>
                <w:tcPr>
                  <w:tcW w:w="810" w:type="dxa"/>
                  <w:vAlign w:val="center"/>
                </w:tcPr>
                <w:p w:rsidR="00221BB9" w:rsidRDefault="00225952" w:rsidP="00DD15F6">
                  <w:pPr>
                    <w:spacing w:before="40" w:after="40"/>
                    <w:jc w:val="center"/>
                  </w:pPr>
                  <w:r>
                    <w:t>X</w:t>
                  </w:r>
                </w:p>
              </w:tc>
              <w:tc>
                <w:tcPr>
                  <w:tcW w:w="720" w:type="dxa"/>
                  <w:vAlign w:val="center"/>
                </w:tcPr>
                <w:p w:rsidR="00221BB9" w:rsidRDefault="00225952" w:rsidP="00DD15F6">
                  <w:pPr>
                    <w:spacing w:before="40" w:after="40"/>
                    <w:jc w:val="center"/>
                  </w:pPr>
                  <w:r>
                    <w:t>X</w:t>
                  </w:r>
                </w:p>
              </w:tc>
              <w:tc>
                <w:tcPr>
                  <w:tcW w:w="3664" w:type="dxa"/>
                </w:tcPr>
                <w:p w:rsidR="00221BB9" w:rsidRDefault="00221BB9" w:rsidP="00DD15F6">
                  <w:pPr>
                    <w:spacing w:before="40" w:after="40"/>
                    <w:rPr>
                      <w:rFonts w:ascii="Tahoma" w:eastAsia="Calibri" w:hAnsi="Tahoma" w:cs="Times New Roman"/>
                      <w:b/>
                      <w:bCs/>
                      <w:sz w:val="32"/>
                      <w:szCs w:val="20"/>
                    </w:rPr>
                  </w:pPr>
                </w:p>
              </w:tc>
            </w:tr>
            <w:tr w:rsidR="00225952" w:rsidTr="00C67E35">
              <w:tc>
                <w:tcPr>
                  <w:tcW w:w="2495" w:type="dxa"/>
                  <w:tcBorders>
                    <w:bottom w:val="nil"/>
                  </w:tcBorders>
                  <w:vAlign w:val="center"/>
                </w:tcPr>
                <w:p w:rsidR="00221BB9" w:rsidRDefault="00225952" w:rsidP="00DD15F6">
                  <w:pPr>
                    <w:tabs>
                      <w:tab w:val="right" w:pos="2279"/>
                    </w:tabs>
                    <w:spacing w:before="40" w:after="40"/>
                    <w:rPr>
                      <w:b/>
                    </w:rPr>
                  </w:pPr>
                  <w:r w:rsidRPr="008A22C3">
                    <w:rPr>
                      <w:b/>
                    </w:rPr>
                    <w:t>Shopping Center</w:t>
                  </w:r>
                </w:p>
              </w:tc>
              <w:tc>
                <w:tcPr>
                  <w:tcW w:w="810" w:type="dxa"/>
                  <w:vAlign w:val="center"/>
                </w:tcPr>
                <w:p w:rsidR="00221BB9" w:rsidRDefault="00221BB9" w:rsidP="00DD15F6">
                  <w:pPr>
                    <w:spacing w:before="40" w:after="40"/>
                    <w:jc w:val="center"/>
                  </w:pPr>
                </w:p>
              </w:tc>
              <w:tc>
                <w:tcPr>
                  <w:tcW w:w="720" w:type="dxa"/>
                  <w:vAlign w:val="center"/>
                </w:tcPr>
                <w:p w:rsidR="00221BB9" w:rsidRDefault="00225952" w:rsidP="00DD15F6">
                  <w:pPr>
                    <w:spacing w:before="40" w:after="40"/>
                    <w:jc w:val="center"/>
                  </w:pPr>
                  <w:r>
                    <w:t>X</w:t>
                  </w:r>
                </w:p>
              </w:tc>
              <w:tc>
                <w:tcPr>
                  <w:tcW w:w="3664" w:type="dxa"/>
                </w:tcPr>
                <w:p w:rsidR="00221BB9" w:rsidRDefault="00225952" w:rsidP="00DD15F6">
                  <w:pPr>
                    <w:spacing w:before="40" w:after="40"/>
                  </w:pPr>
                  <w:r w:rsidRPr="008A22C3">
                    <w:rPr>
                      <w:sz w:val="18"/>
                    </w:rPr>
                    <w:t>(including freestanding Discount Superstores)</w:t>
                  </w:r>
                </w:p>
              </w:tc>
            </w:tr>
            <w:tr w:rsidR="00225952" w:rsidTr="00225952">
              <w:tc>
                <w:tcPr>
                  <w:tcW w:w="2495" w:type="dxa"/>
                  <w:tcBorders>
                    <w:top w:val="nil"/>
                    <w:bottom w:val="nil"/>
                  </w:tcBorders>
                </w:tcPr>
                <w:p w:rsidR="00221BB9" w:rsidRDefault="00225952" w:rsidP="00DD15F6">
                  <w:pPr>
                    <w:tabs>
                      <w:tab w:val="right" w:pos="2279"/>
                    </w:tabs>
                    <w:spacing w:before="40" w:after="40"/>
                    <w:jc w:val="right"/>
                  </w:pPr>
                  <w:r w:rsidRPr="008A22C3">
                    <w:t>Intersection capacity</w:t>
                  </w:r>
                </w:p>
              </w:tc>
              <w:tc>
                <w:tcPr>
                  <w:tcW w:w="810" w:type="dxa"/>
                  <w:vAlign w:val="center"/>
                </w:tcPr>
                <w:p w:rsidR="00221BB9" w:rsidRDefault="00221BB9" w:rsidP="00DD15F6">
                  <w:pPr>
                    <w:spacing w:before="40" w:after="40"/>
                    <w:jc w:val="center"/>
                    <w:rPr>
                      <w:rFonts w:ascii="Tahoma" w:eastAsia="Calibri" w:hAnsi="Tahoma" w:cs="Times New Roman"/>
                      <w:b/>
                      <w:bCs/>
                      <w:color w:val="008080"/>
                      <w:sz w:val="28"/>
                      <w:szCs w:val="20"/>
                    </w:rPr>
                  </w:pPr>
                </w:p>
              </w:tc>
              <w:tc>
                <w:tcPr>
                  <w:tcW w:w="720" w:type="dxa"/>
                  <w:vAlign w:val="center"/>
                </w:tcPr>
                <w:p w:rsidR="00221BB9" w:rsidRDefault="00225952" w:rsidP="00DD15F6">
                  <w:pPr>
                    <w:spacing w:before="40" w:after="40"/>
                    <w:jc w:val="center"/>
                  </w:pPr>
                  <w:r>
                    <w:t>X</w:t>
                  </w:r>
                </w:p>
              </w:tc>
              <w:tc>
                <w:tcPr>
                  <w:tcW w:w="3664" w:type="dxa"/>
                </w:tcPr>
                <w:p w:rsidR="00221BB9" w:rsidRDefault="00221BB9" w:rsidP="00DD15F6">
                  <w:pPr>
                    <w:spacing w:before="40" w:after="40"/>
                    <w:rPr>
                      <w:rFonts w:ascii="Tahoma" w:eastAsia="Calibri" w:hAnsi="Tahoma" w:cs="Times New Roman"/>
                      <w:b/>
                      <w:bCs/>
                      <w:sz w:val="32"/>
                      <w:szCs w:val="20"/>
                    </w:rPr>
                  </w:pPr>
                </w:p>
              </w:tc>
            </w:tr>
            <w:tr w:rsidR="00225952" w:rsidTr="00225952">
              <w:tc>
                <w:tcPr>
                  <w:tcW w:w="2495" w:type="dxa"/>
                  <w:tcBorders>
                    <w:top w:val="nil"/>
                    <w:bottom w:val="single" w:sz="4" w:space="0" w:color="215868" w:themeColor="accent5" w:themeShade="80"/>
                  </w:tcBorders>
                </w:tcPr>
                <w:p w:rsidR="00221BB9" w:rsidRDefault="00225952" w:rsidP="00DD15F6">
                  <w:pPr>
                    <w:tabs>
                      <w:tab w:val="right" w:pos="2279"/>
                    </w:tabs>
                    <w:spacing w:before="40" w:after="40"/>
                    <w:jc w:val="right"/>
                  </w:pPr>
                  <w:r w:rsidRPr="008A22C3">
                    <w:t>Access Design</w:t>
                  </w:r>
                </w:p>
              </w:tc>
              <w:tc>
                <w:tcPr>
                  <w:tcW w:w="810" w:type="dxa"/>
                  <w:vAlign w:val="center"/>
                </w:tcPr>
                <w:p w:rsidR="00221BB9" w:rsidRDefault="00221BB9" w:rsidP="00DD15F6">
                  <w:pPr>
                    <w:spacing w:before="40" w:after="40"/>
                    <w:jc w:val="center"/>
                    <w:rPr>
                      <w:rFonts w:ascii="Tahoma" w:eastAsia="Calibri" w:hAnsi="Tahoma" w:cs="Times New Roman"/>
                      <w:b/>
                      <w:bCs/>
                      <w:color w:val="008080"/>
                      <w:sz w:val="28"/>
                      <w:szCs w:val="20"/>
                    </w:rPr>
                  </w:pPr>
                </w:p>
              </w:tc>
              <w:tc>
                <w:tcPr>
                  <w:tcW w:w="720" w:type="dxa"/>
                  <w:vAlign w:val="center"/>
                </w:tcPr>
                <w:p w:rsidR="00221BB9" w:rsidRDefault="00225952" w:rsidP="00DD15F6">
                  <w:pPr>
                    <w:spacing w:before="40" w:after="40"/>
                    <w:jc w:val="center"/>
                  </w:pPr>
                  <w:r>
                    <w:t>X</w:t>
                  </w:r>
                </w:p>
              </w:tc>
              <w:tc>
                <w:tcPr>
                  <w:tcW w:w="3664" w:type="dxa"/>
                </w:tcPr>
                <w:p w:rsidR="00221BB9" w:rsidRDefault="00225952" w:rsidP="00DD15F6">
                  <w:pPr>
                    <w:spacing w:before="40" w:after="40"/>
                  </w:pPr>
                  <w:r w:rsidRPr="008A22C3">
                    <w:t>Saturday 11:00-15:00</w:t>
                  </w:r>
                </w:p>
              </w:tc>
            </w:tr>
            <w:tr w:rsidR="00225952" w:rsidTr="00225952">
              <w:tc>
                <w:tcPr>
                  <w:tcW w:w="2495" w:type="dxa"/>
                  <w:tcBorders>
                    <w:top w:val="single" w:sz="4" w:space="0" w:color="215868" w:themeColor="accent5" w:themeShade="80"/>
                    <w:bottom w:val="nil"/>
                  </w:tcBorders>
                </w:tcPr>
                <w:p w:rsidR="00221BB9" w:rsidRDefault="00225952" w:rsidP="00DD15F6">
                  <w:pPr>
                    <w:tabs>
                      <w:tab w:val="right" w:pos="2279"/>
                    </w:tabs>
                    <w:spacing w:before="40" w:after="40"/>
                    <w:rPr>
                      <w:b/>
                    </w:rPr>
                  </w:pPr>
                  <w:r w:rsidRPr="008A22C3">
                    <w:rPr>
                      <w:b/>
                    </w:rPr>
                    <w:t>Restaurants</w:t>
                  </w:r>
                  <w:r w:rsidRPr="00B57BE2">
                    <w:t xml:space="preserve"> </w:t>
                  </w:r>
                  <w:r>
                    <w:tab/>
                  </w:r>
                  <w:r w:rsidRPr="00B57BE2">
                    <w:t>Fast Food</w:t>
                  </w:r>
                </w:p>
              </w:tc>
              <w:tc>
                <w:tcPr>
                  <w:tcW w:w="810" w:type="dxa"/>
                  <w:vAlign w:val="center"/>
                </w:tcPr>
                <w:p w:rsidR="00221BB9" w:rsidRDefault="00221BB9" w:rsidP="00DD15F6">
                  <w:pPr>
                    <w:spacing w:before="40" w:after="40"/>
                    <w:jc w:val="center"/>
                  </w:pPr>
                </w:p>
              </w:tc>
              <w:tc>
                <w:tcPr>
                  <w:tcW w:w="720" w:type="dxa"/>
                  <w:vAlign w:val="center"/>
                </w:tcPr>
                <w:p w:rsidR="00221BB9" w:rsidRDefault="00225952" w:rsidP="00DD15F6">
                  <w:pPr>
                    <w:spacing w:before="40" w:after="40"/>
                    <w:jc w:val="center"/>
                  </w:pPr>
                  <w:r>
                    <w:t>X</w:t>
                  </w:r>
                </w:p>
              </w:tc>
              <w:tc>
                <w:tcPr>
                  <w:tcW w:w="3664" w:type="dxa"/>
                </w:tcPr>
                <w:p w:rsidR="00221BB9" w:rsidRDefault="00225952" w:rsidP="00DD15F6">
                  <w:pPr>
                    <w:spacing w:before="40" w:after="40"/>
                  </w:pPr>
                  <w:r w:rsidRPr="00B57BE2">
                    <w:t>11:00-13:00</w:t>
                  </w:r>
                </w:p>
              </w:tc>
            </w:tr>
            <w:tr w:rsidR="00225952" w:rsidTr="00225952">
              <w:tc>
                <w:tcPr>
                  <w:tcW w:w="2495" w:type="dxa"/>
                  <w:tcBorders>
                    <w:top w:val="nil"/>
                    <w:bottom w:val="single" w:sz="4" w:space="0" w:color="215868" w:themeColor="accent5" w:themeShade="80"/>
                  </w:tcBorders>
                </w:tcPr>
                <w:p w:rsidR="00221BB9" w:rsidRDefault="00225952" w:rsidP="00DD15F6">
                  <w:pPr>
                    <w:tabs>
                      <w:tab w:val="right" w:pos="2279"/>
                    </w:tabs>
                    <w:spacing w:before="40" w:after="40"/>
                    <w:jc w:val="right"/>
                  </w:pPr>
                  <w:r w:rsidRPr="008A22C3">
                    <w:t>Dinner Trade</w:t>
                  </w:r>
                </w:p>
              </w:tc>
              <w:tc>
                <w:tcPr>
                  <w:tcW w:w="810" w:type="dxa"/>
                  <w:vAlign w:val="center"/>
                </w:tcPr>
                <w:p w:rsidR="00221BB9" w:rsidRDefault="00221BB9" w:rsidP="00DD15F6">
                  <w:pPr>
                    <w:spacing w:before="40" w:after="40"/>
                    <w:jc w:val="center"/>
                    <w:rPr>
                      <w:rFonts w:ascii="Tahoma" w:eastAsia="Calibri" w:hAnsi="Tahoma" w:cs="Times New Roman"/>
                      <w:b/>
                      <w:bCs/>
                      <w:color w:val="008080"/>
                      <w:sz w:val="28"/>
                      <w:szCs w:val="20"/>
                    </w:rPr>
                  </w:pPr>
                </w:p>
              </w:tc>
              <w:tc>
                <w:tcPr>
                  <w:tcW w:w="720" w:type="dxa"/>
                  <w:vAlign w:val="center"/>
                </w:tcPr>
                <w:p w:rsidR="00221BB9" w:rsidRDefault="00225952" w:rsidP="00DD15F6">
                  <w:pPr>
                    <w:spacing w:before="40" w:after="40"/>
                    <w:jc w:val="center"/>
                  </w:pPr>
                  <w:r>
                    <w:t>X</w:t>
                  </w:r>
                </w:p>
              </w:tc>
              <w:tc>
                <w:tcPr>
                  <w:tcW w:w="3664" w:type="dxa"/>
                </w:tcPr>
                <w:p w:rsidR="00221BB9" w:rsidRDefault="00221BB9" w:rsidP="00DD15F6">
                  <w:pPr>
                    <w:spacing w:before="40" w:after="40"/>
                    <w:rPr>
                      <w:rFonts w:ascii="Tahoma" w:eastAsia="Calibri" w:hAnsi="Tahoma" w:cs="Times New Roman"/>
                      <w:b/>
                      <w:bCs/>
                      <w:sz w:val="32"/>
                      <w:szCs w:val="20"/>
                    </w:rPr>
                  </w:pPr>
                </w:p>
              </w:tc>
            </w:tr>
            <w:tr w:rsidR="00225952" w:rsidTr="00225952">
              <w:tc>
                <w:tcPr>
                  <w:tcW w:w="2495" w:type="dxa"/>
                  <w:tcBorders>
                    <w:top w:val="single" w:sz="4" w:space="0" w:color="215868" w:themeColor="accent5" w:themeShade="80"/>
                  </w:tcBorders>
                </w:tcPr>
                <w:p w:rsidR="00221BB9" w:rsidRDefault="00225952" w:rsidP="00DD15F6">
                  <w:pPr>
                    <w:tabs>
                      <w:tab w:val="right" w:pos="2279"/>
                    </w:tabs>
                    <w:spacing w:before="40" w:after="40"/>
                    <w:rPr>
                      <w:b/>
                    </w:rPr>
                  </w:pPr>
                  <w:r w:rsidRPr="008A22C3">
                    <w:rPr>
                      <w:b/>
                    </w:rPr>
                    <w:t>Industrial</w:t>
                  </w:r>
                </w:p>
              </w:tc>
              <w:tc>
                <w:tcPr>
                  <w:tcW w:w="810" w:type="dxa"/>
                  <w:vAlign w:val="center"/>
                </w:tcPr>
                <w:p w:rsidR="00221BB9" w:rsidRDefault="00225952" w:rsidP="00DD15F6">
                  <w:pPr>
                    <w:spacing w:before="40" w:after="40"/>
                    <w:jc w:val="center"/>
                  </w:pPr>
                  <w:r>
                    <w:t>X</w:t>
                  </w:r>
                </w:p>
              </w:tc>
              <w:tc>
                <w:tcPr>
                  <w:tcW w:w="720" w:type="dxa"/>
                  <w:vAlign w:val="center"/>
                </w:tcPr>
                <w:p w:rsidR="00221BB9" w:rsidRDefault="00225952" w:rsidP="00DD15F6">
                  <w:pPr>
                    <w:spacing w:before="40" w:after="40"/>
                    <w:jc w:val="center"/>
                  </w:pPr>
                  <w:r>
                    <w:t>X</w:t>
                  </w:r>
                </w:p>
              </w:tc>
              <w:tc>
                <w:tcPr>
                  <w:tcW w:w="3664" w:type="dxa"/>
                </w:tcPr>
                <w:p w:rsidR="00221BB9" w:rsidRDefault="00225952" w:rsidP="00DD15F6">
                  <w:pPr>
                    <w:spacing w:before="40" w:after="40"/>
                  </w:pPr>
                  <w:r w:rsidRPr="008A22C3">
                    <w:rPr>
                      <w:sz w:val="18"/>
                    </w:rPr>
                    <w:t xml:space="preserve">Industrial Plant shifts may precede typical commuter </w:t>
                  </w:r>
                  <w:r>
                    <w:rPr>
                      <w:sz w:val="18"/>
                    </w:rPr>
                    <w:t xml:space="preserve">adjacent street peak hour </w:t>
                  </w:r>
                </w:p>
              </w:tc>
            </w:tr>
            <w:tr w:rsidR="00225952" w:rsidTr="00225952">
              <w:tc>
                <w:tcPr>
                  <w:tcW w:w="2495" w:type="dxa"/>
                  <w:tcBorders>
                    <w:bottom w:val="single" w:sz="4" w:space="0" w:color="215868" w:themeColor="accent5" w:themeShade="80"/>
                  </w:tcBorders>
                </w:tcPr>
                <w:p w:rsidR="00221BB9" w:rsidRDefault="00225952" w:rsidP="00DD15F6">
                  <w:pPr>
                    <w:tabs>
                      <w:tab w:val="right" w:pos="2279"/>
                    </w:tabs>
                    <w:spacing w:before="40" w:after="40"/>
                    <w:rPr>
                      <w:b/>
                    </w:rPr>
                  </w:pPr>
                  <w:r w:rsidRPr="008A22C3">
                    <w:rPr>
                      <w:b/>
                    </w:rPr>
                    <w:t>Hotel/Motel</w:t>
                  </w:r>
                </w:p>
              </w:tc>
              <w:tc>
                <w:tcPr>
                  <w:tcW w:w="810" w:type="dxa"/>
                  <w:vAlign w:val="center"/>
                </w:tcPr>
                <w:p w:rsidR="00221BB9" w:rsidRDefault="00221BB9" w:rsidP="00DD15F6">
                  <w:pPr>
                    <w:spacing w:before="40" w:after="40"/>
                    <w:jc w:val="center"/>
                  </w:pPr>
                </w:p>
              </w:tc>
              <w:tc>
                <w:tcPr>
                  <w:tcW w:w="720" w:type="dxa"/>
                  <w:vAlign w:val="center"/>
                </w:tcPr>
                <w:p w:rsidR="00221BB9" w:rsidRDefault="00225952" w:rsidP="00DD15F6">
                  <w:pPr>
                    <w:spacing w:before="40" w:after="40"/>
                    <w:jc w:val="center"/>
                  </w:pPr>
                  <w:r>
                    <w:t>X</w:t>
                  </w:r>
                </w:p>
              </w:tc>
              <w:tc>
                <w:tcPr>
                  <w:tcW w:w="3664" w:type="dxa"/>
                </w:tcPr>
                <w:p w:rsidR="00221BB9" w:rsidRDefault="00221BB9" w:rsidP="00DD15F6">
                  <w:pPr>
                    <w:spacing w:before="40" w:after="40"/>
                    <w:rPr>
                      <w:rFonts w:ascii="Tahoma" w:eastAsia="Calibri" w:hAnsi="Tahoma" w:cs="Times New Roman"/>
                      <w:b/>
                      <w:bCs/>
                      <w:sz w:val="32"/>
                      <w:szCs w:val="20"/>
                    </w:rPr>
                  </w:pPr>
                </w:p>
              </w:tc>
            </w:tr>
            <w:tr w:rsidR="00225952" w:rsidTr="00225952">
              <w:tc>
                <w:tcPr>
                  <w:tcW w:w="2495" w:type="dxa"/>
                  <w:tcBorders>
                    <w:bottom w:val="nil"/>
                  </w:tcBorders>
                </w:tcPr>
                <w:p w:rsidR="00221BB9" w:rsidRDefault="00225952" w:rsidP="00DD15F6">
                  <w:pPr>
                    <w:tabs>
                      <w:tab w:val="right" w:pos="2279"/>
                    </w:tabs>
                    <w:spacing w:before="40" w:after="40"/>
                    <w:rPr>
                      <w:b/>
                    </w:rPr>
                  </w:pPr>
                  <w:r w:rsidRPr="008A22C3">
                    <w:rPr>
                      <w:b/>
                    </w:rPr>
                    <w:t>Schools</w:t>
                  </w:r>
                  <w:r w:rsidRPr="00B57BE2">
                    <w:t xml:space="preserve"> </w:t>
                  </w:r>
                  <w:r>
                    <w:tab/>
                  </w:r>
                  <w:r w:rsidRPr="00B57BE2">
                    <w:t>Grade</w:t>
                  </w:r>
                </w:p>
              </w:tc>
              <w:tc>
                <w:tcPr>
                  <w:tcW w:w="810" w:type="dxa"/>
                  <w:vAlign w:val="center"/>
                </w:tcPr>
                <w:p w:rsidR="00221BB9" w:rsidRDefault="00225952" w:rsidP="00DD15F6">
                  <w:pPr>
                    <w:spacing w:before="40" w:after="40"/>
                    <w:jc w:val="center"/>
                  </w:pPr>
                  <w:r>
                    <w:t>X</w:t>
                  </w:r>
                </w:p>
              </w:tc>
              <w:tc>
                <w:tcPr>
                  <w:tcW w:w="720" w:type="dxa"/>
                  <w:vAlign w:val="center"/>
                </w:tcPr>
                <w:p w:rsidR="00221BB9" w:rsidRDefault="00221BB9" w:rsidP="00DD15F6">
                  <w:pPr>
                    <w:spacing w:before="40" w:after="40"/>
                    <w:jc w:val="center"/>
                    <w:rPr>
                      <w:rFonts w:ascii="Tahoma" w:eastAsia="Calibri" w:hAnsi="Tahoma" w:cs="Times New Roman"/>
                      <w:b/>
                      <w:bCs/>
                      <w:sz w:val="32"/>
                      <w:szCs w:val="20"/>
                    </w:rPr>
                  </w:pPr>
                </w:p>
              </w:tc>
              <w:tc>
                <w:tcPr>
                  <w:tcW w:w="3664" w:type="dxa"/>
                </w:tcPr>
                <w:p w:rsidR="00221BB9" w:rsidRDefault="00225952" w:rsidP="00DD15F6">
                  <w:pPr>
                    <w:spacing w:before="40" w:after="40"/>
                  </w:pPr>
                  <w:r>
                    <w:t>14:30-15:30</w:t>
                  </w:r>
                </w:p>
              </w:tc>
            </w:tr>
            <w:tr w:rsidR="00225952" w:rsidTr="00225952">
              <w:tc>
                <w:tcPr>
                  <w:tcW w:w="2495" w:type="dxa"/>
                  <w:tcBorders>
                    <w:top w:val="nil"/>
                    <w:bottom w:val="nil"/>
                  </w:tcBorders>
                </w:tcPr>
                <w:p w:rsidR="00221BB9" w:rsidRDefault="00225952" w:rsidP="00DD15F6">
                  <w:pPr>
                    <w:tabs>
                      <w:tab w:val="right" w:pos="2279"/>
                    </w:tabs>
                    <w:spacing w:before="40" w:after="40"/>
                    <w:jc w:val="right"/>
                  </w:pPr>
                  <w:r w:rsidRPr="008A22C3">
                    <w:t>High</w:t>
                  </w:r>
                </w:p>
              </w:tc>
              <w:tc>
                <w:tcPr>
                  <w:tcW w:w="810" w:type="dxa"/>
                  <w:vAlign w:val="center"/>
                </w:tcPr>
                <w:p w:rsidR="00221BB9" w:rsidRDefault="00225952" w:rsidP="00DD15F6">
                  <w:pPr>
                    <w:spacing w:before="40" w:after="40"/>
                    <w:jc w:val="center"/>
                  </w:pPr>
                  <w:r>
                    <w:t>X</w:t>
                  </w:r>
                </w:p>
              </w:tc>
              <w:tc>
                <w:tcPr>
                  <w:tcW w:w="720" w:type="dxa"/>
                  <w:vAlign w:val="center"/>
                </w:tcPr>
                <w:p w:rsidR="00221BB9" w:rsidRDefault="00221BB9" w:rsidP="00DD15F6">
                  <w:pPr>
                    <w:spacing w:before="40" w:after="40"/>
                    <w:jc w:val="center"/>
                    <w:rPr>
                      <w:rFonts w:ascii="Tahoma" w:eastAsia="Calibri" w:hAnsi="Tahoma" w:cs="Times New Roman"/>
                      <w:b/>
                      <w:bCs/>
                      <w:sz w:val="32"/>
                      <w:szCs w:val="20"/>
                    </w:rPr>
                  </w:pPr>
                </w:p>
              </w:tc>
              <w:tc>
                <w:tcPr>
                  <w:tcW w:w="3664" w:type="dxa"/>
                </w:tcPr>
                <w:p w:rsidR="00221BB9" w:rsidRDefault="00225952" w:rsidP="00DD15F6">
                  <w:pPr>
                    <w:spacing w:before="40" w:after="40"/>
                  </w:pPr>
                  <w:r>
                    <w:t>14:30-15:30</w:t>
                  </w:r>
                </w:p>
              </w:tc>
            </w:tr>
            <w:tr w:rsidR="00225952" w:rsidTr="00225952">
              <w:tc>
                <w:tcPr>
                  <w:tcW w:w="2495" w:type="dxa"/>
                  <w:tcBorders>
                    <w:top w:val="nil"/>
                    <w:bottom w:val="single" w:sz="4" w:space="0" w:color="215868" w:themeColor="accent5" w:themeShade="80"/>
                  </w:tcBorders>
                </w:tcPr>
                <w:p w:rsidR="00221BB9" w:rsidRDefault="00225952" w:rsidP="00DD15F6">
                  <w:pPr>
                    <w:tabs>
                      <w:tab w:val="right" w:pos="2279"/>
                    </w:tabs>
                    <w:spacing w:before="40" w:after="40"/>
                    <w:jc w:val="right"/>
                  </w:pPr>
                  <w:r w:rsidRPr="008A22C3">
                    <w:t xml:space="preserve">College </w:t>
                  </w:r>
                </w:p>
              </w:tc>
              <w:tc>
                <w:tcPr>
                  <w:tcW w:w="810" w:type="dxa"/>
                  <w:vAlign w:val="center"/>
                </w:tcPr>
                <w:p w:rsidR="00221BB9" w:rsidRDefault="00225952" w:rsidP="00DD15F6">
                  <w:pPr>
                    <w:spacing w:before="40" w:after="40"/>
                    <w:jc w:val="center"/>
                  </w:pPr>
                  <w:r>
                    <w:t>X</w:t>
                  </w:r>
                </w:p>
              </w:tc>
              <w:tc>
                <w:tcPr>
                  <w:tcW w:w="720" w:type="dxa"/>
                  <w:vAlign w:val="center"/>
                </w:tcPr>
                <w:p w:rsidR="00221BB9" w:rsidRDefault="00225952" w:rsidP="00DD15F6">
                  <w:pPr>
                    <w:spacing w:before="40" w:after="40"/>
                    <w:jc w:val="center"/>
                  </w:pPr>
                  <w:r>
                    <w:t>X</w:t>
                  </w:r>
                </w:p>
              </w:tc>
              <w:tc>
                <w:tcPr>
                  <w:tcW w:w="3664" w:type="dxa"/>
                </w:tcPr>
                <w:p w:rsidR="00221BB9" w:rsidRDefault="00221BB9" w:rsidP="00DD15F6">
                  <w:pPr>
                    <w:spacing w:before="40" w:after="40"/>
                    <w:rPr>
                      <w:rFonts w:ascii="Tahoma" w:eastAsia="Calibri" w:hAnsi="Tahoma" w:cs="Times New Roman"/>
                      <w:b/>
                      <w:bCs/>
                      <w:sz w:val="32"/>
                      <w:szCs w:val="20"/>
                    </w:rPr>
                  </w:pPr>
                </w:p>
              </w:tc>
            </w:tr>
            <w:tr w:rsidR="00225952" w:rsidTr="00225952">
              <w:tc>
                <w:tcPr>
                  <w:tcW w:w="2495" w:type="dxa"/>
                  <w:tcBorders>
                    <w:top w:val="single" w:sz="4" w:space="0" w:color="215868" w:themeColor="accent5" w:themeShade="80"/>
                    <w:bottom w:val="nil"/>
                  </w:tcBorders>
                </w:tcPr>
                <w:p w:rsidR="00221BB9" w:rsidRDefault="00225952" w:rsidP="00DD15F6">
                  <w:pPr>
                    <w:tabs>
                      <w:tab w:val="right" w:pos="2279"/>
                    </w:tabs>
                    <w:spacing w:before="40" w:after="40"/>
                    <w:rPr>
                      <w:b/>
                    </w:rPr>
                  </w:pPr>
                  <w:r w:rsidRPr="008A22C3">
                    <w:rPr>
                      <w:b/>
                    </w:rPr>
                    <w:t>Medical</w:t>
                  </w:r>
                  <w:r w:rsidRPr="00B57BE2">
                    <w:t xml:space="preserve"> </w:t>
                  </w:r>
                  <w:r>
                    <w:tab/>
                  </w:r>
                  <w:r w:rsidRPr="00B57BE2">
                    <w:t>Hospitals</w:t>
                  </w:r>
                </w:p>
              </w:tc>
              <w:tc>
                <w:tcPr>
                  <w:tcW w:w="810" w:type="dxa"/>
                  <w:vAlign w:val="center"/>
                </w:tcPr>
                <w:p w:rsidR="00221BB9" w:rsidRDefault="00225952" w:rsidP="00DD15F6">
                  <w:pPr>
                    <w:spacing w:before="40" w:after="40"/>
                    <w:jc w:val="center"/>
                  </w:pPr>
                  <w:r>
                    <w:t>X</w:t>
                  </w:r>
                </w:p>
              </w:tc>
              <w:tc>
                <w:tcPr>
                  <w:tcW w:w="720" w:type="dxa"/>
                  <w:vAlign w:val="center"/>
                </w:tcPr>
                <w:p w:rsidR="00221BB9" w:rsidRDefault="00225952" w:rsidP="00DD15F6">
                  <w:pPr>
                    <w:spacing w:before="40" w:after="40"/>
                    <w:jc w:val="center"/>
                  </w:pPr>
                  <w:r>
                    <w:t>X</w:t>
                  </w:r>
                </w:p>
              </w:tc>
              <w:tc>
                <w:tcPr>
                  <w:tcW w:w="3664" w:type="dxa"/>
                </w:tcPr>
                <w:p w:rsidR="00221BB9" w:rsidRDefault="00225952" w:rsidP="00DD15F6">
                  <w:pPr>
                    <w:spacing w:before="40" w:after="40"/>
                  </w:pPr>
                  <w:r>
                    <w:t>6:30-8:00  14:30-15:30</w:t>
                  </w:r>
                </w:p>
              </w:tc>
            </w:tr>
            <w:tr w:rsidR="00225952" w:rsidTr="00225952">
              <w:tc>
                <w:tcPr>
                  <w:tcW w:w="2495" w:type="dxa"/>
                  <w:tcBorders>
                    <w:top w:val="nil"/>
                    <w:bottom w:val="single" w:sz="4" w:space="0" w:color="215868" w:themeColor="accent5" w:themeShade="80"/>
                  </w:tcBorders>
                </w:tcPr>
                <w:p w:rsidR="00221BB9" w:rsidRDefault="00225952" w:rsidP="00DD15F6">
                  <w:pPr>
                    <w:spacing w:before="40" w:after="40"/>
                    <w:jc w:val="right"/>
                  </w:pPr>
                  <w:r w:rsidRPr="008A22C3">
                    <w:t>Doctors offices</w:t>
                  </w:r>
                </w:p>
              </w:tc>
              <w:tc>
                <w:tcPr>
                  <w:tcW w:w="810" w:type="dxa"/>
                  <w:vAlign w:val="center"/>
                </w:tcPr>
                <w:p w:rsidR="00221BB9" w:rsidRDefault="00221BB9" w:rsidP="00DD15F6">
                  <w:pPr>
                    <w:spacing w:before="40" w:after="40"/>
                    <w:jc w:val="center"/>
                    <w:rPr>
                      <w:rFonts w:ascii="Tahoma" w:eastAsia="Calibri" w:hAnsi="Tahoma" w:cs="Times New Roman"/>
                      <w:b/>
                      <w:bCs/>
                      <w:color w:val="008080"/>
                      <w:sz w:val="28"/>
                      <w:szCs w:val="20"/>
                    </w:rPr>
                  </w:pPr>
                </w:p>
              </w:tc>
              <w:tc>
                <w:tcPr>
                  <w:tcW w:w="720" w:type="dxa"/>
                  <w:vAlign w:val="center"/>
                </w:tcPr>
                <w:p w:rsidR="00221BB9" w:rsidRDefault="00225952" w:rsidP="00DD15F6">
                  <w:pPr>
                    <w:spacing w:before="40" w:after="40"/>
                    <w:jc w:val="center"/>
                  </w:pPr>
                  <w:r>
                    <w:t>X</w:t>
                  </w:r>
                </w:p>
              </w:tc>
              <w:tc>
                <w:tcPr>
                  <w:tcW w:w="3664" w:type="dxa"/>
                </w:tcPr>
                <w:p w:rsidR="00221BB9" w:rsidRDefault="00225952" w:rsidP="00DD15F6">
                  <w:pPr>
                    <w:spacing w:before="40" w:after="40"/>
                  </w:pPr>
                  <w:r>
                    <w:t>9:00-10:00    16:00-18:00</w:t>
                  </w:r>
                </w:p>
              </w:tc>
            </w:tr>
            <w:tr w:rsidR="00225952" w:rsidTr="00225952">
              <w:tc>
                <w:tcPr>
                  <w:tcW w:w="2495" w:type="dxa"/>
                  <w:tcBorders>
                    <w:top w:val="single" w:sz="4" w:space="0" w:color="215868" w:themeColor="accent5" w:themeShade="80"/>
                    <w:bottom w:val="single" w:sz="4" w:space="0" w:color="215868" w:themeColor="accent5" w:themeShade="80"/>
                  </w:tcBorders>
                </w:tcPr>
                <w:p w:rsidR="00221BB9" w:rsidRDefault="00225952" w:rsidP="00DD15F6">
                  <w:pPr>
                    <w:spacing w:before="40" w:after="40"/>
                    <w:rPr>
                      <w:b/>
                    </w:rPr>
                  </w:pPr>
                  <w:r w:rsidRPr="008A22C3">
                    <w:rPr>
                      <w:b/>
                    </w:rPr>
                    <w:t>Convenience Markets/Gas</w:t>
                  </w:r>
                </w:p>
              </w:tc>
              <w:tc>
                <w:tcPr>
                  <w:tcW w:w="810" w:type="dxa"/>
                  <w:tcBorders>
                    <w:bottom w:val="single" w:sz="4" w:space="0" w:color="215868" w:themeColor="accent5" w:themeShade="80"/>
                  </w:tcBorders>
                  <w:vAlign w:val="center"/>
                </w:tcPr>
                <w:p w:rsidR="00221BB9" w:rsidRDefault="00225952" w:rsidP="00DD15F6">
                  <w:pPr>
                    <w:spacing w:before="40" w:after="40"/>
                    <w:jc w:val="center"/>
                  </w:pPr>
                  <w:r>
                    <w:t>X</w:t>
                  </w:r>
                </w:p>
              </w:tc>
              <w:tc>
                <w:tcPr>
                  <w:tcW w:w="720" w:type="dxa"/>
                  <w:tcBorders>
                    <w:bottom w:val="single" w:sz="4" w:space="0" w:color="215868" w:themeColor="accent5" w:themeShade="80"/>
                  </w:tcBorders>
                  <w:vAlign w:val="center"/>
                </w:tcPr>
                <w:p w:rsidR="00221BB9" w:rsidRDefault="00225952" w:rsidP="00DD15F6">
                  <w:pPr>
                    <w:spacing w:before="40" w:after="40"/>
                    <w:jc w:val="center"/>
                  </w:pPr>
                  <w:r>
                    <w:t>X</w:t>
                  </w:r>
                </w:p>
              </w:tc>
              <w:tc>
                <w:tcPr>
                  <w:tcW w:w="3664" w:type="dxa"/>
                  <w:tcBorders>
                    <w:bottom w:val="single" w:sz="4" w:space="0" w:color="215868" w:themeColor="accent5" w:themeShade="80"/>
                  </w:tcBorders>
                </w:tcPr>
                <w:p w:rsidR="00221BB9" w:rsidRDefault="00221BB9" w:rsidP="00DD15F6">
                  <w:pPr>
                    <w:spacing w:before="40" w:after="40"/>
                    <w:rPr>
                      <w:rFonts w:ascii="Tahoma" w:eastAsia="Calibri" w:hAnsi="Tahoma" w:cs="Times New Roman"/>
                      <w:b/>
                      <w:bCs/>
                      <w:sz w:val="32"/>
                      <w:szCs w:val="20"/>
                    </w:rPr>
                  </w:pPr>
                </w:p>
              </w:tc>
            </w:tr>
            <w:tr w:rsidR="00225952" w:rsidTr="00225952">
              <w:tc>
                <w:tcPr>
                  <w:tcW w:w="2495" w:type="dxa"/>
                  <w:tcBorders>
                    <w:bottom w:val="single" w:sz="18" w:space="0" w:color="215868" w:themeColor="accent5" w:themeShade="80"/>
                  </w:tcBorders>
                </w:tcPr>
                <w:p w:rsidR="00221BB9" w:rsidRDefault="00225952" w:rsidP="00DD15F6">
                  <w:pPr>
                    <w:spacing w:before="40" w:after="40"/>
                    <w:rPr>
                      <w:b/>
                    </w:rPr>
                  </w:pPr>
                  <w:r w:rsidRPr="008A22C3">
                    <w:rPr>
                      <w:b/>
                    </w:rPr>
                    <w:t>Sports/Recreational</w:t>
                  </w:r>
                </w:p>
              </w:tc>
              <w:tc>
                <w:tcPr>
                  <w:tcW w:w="810" w:type="dxa"/>
                  <w:tcBorders>
                    <w:bottom w:val="single" w:sz="18" w:space="0" w:color="215868" w:themeColor="accent5" w:themeShade="80"/>
                  </w:tcBorders>
                  <w:vAlign w:val="center"/>
                </w:tcPr>
                <w:p w:rsidR="00221BB9" w:rsidRDefault="00221BB9" w:rsidP="00DD15F6">
                  <w:pPr>
                    <w:spacing w:before="40" w:after="40"/>
                    <w:jc w:val="center"/>
                  </w:pPr>
                </w:p>
              </w:tc>
              <w:tc>
                <w:tcPr>
                  <w:tcW w:w="720" w:type="dxa"/>
                  <w:tcBorders>
                    <w:bottom w:val="single" w:sz="18" w:space="0" w:color="215868" w:themeColor="accent5" w:themeShade="80"/>
                  </w:tcBorders>
                  <w:vAlign w:val="center"/>
                </w:tcPr>
                <w:p w:rsidR="00221BB9" w:rsidRDefault="00221BB9" w:rsidP="00DD15F6">
                  <w:pPr>
                    <w:spacing w:before="40" w:after="40"/>
                    <w:jc w:val="center"/>
                  </w:pPr>
                </w:p>
              </w:tc>
              <w:tc>
                <w:tcPr>
                  <w:tcW w:w="3664" w:type="dxa"/>
                  <w:tcBorders>
                    <w:bottom w:val="single" w:sz="18" w:space="0" w:color="215868" w:themeColor="accent5" w:themeShade="80"/>
                  </w:tcBorders>
                </w:tcPr>
                <w:p w:rsidR="00221BB9" w:rsidRDefault="00225952" w:rsidP="00DD15F6">
                  <w:pPr>
                    <w:spacing w:before="40" w:after="40"/>
                  </w:pPr>
                  <w:r>
                    <w:t>Peak entry/exit</w:t>
                  </w:r>
                </w:p>
              </w:tc>
            </w:tr>
          </w:tbl>
          <w:p w:rsidR="00225952" w:rsidRDefault="00225952"/>
        </w:tc>
      </w:tr>
      <w:tr w:rsidR="00225952" w:rsidRPr="00380CF5" w:rsidTr="0021455D">
        <w:tc>
          <w:tcPr>
            <w:tcW w:w="2431" w:type="dxa"/>
          </w:tcPr>
          <w:p w:rsidR="00DD15F6" w:rsidRDefault="00DD15F6" w:rsidP="00225952">
            <w:pPr>
              <w:pStyle w:val="FigureTitle"/>
            </w:pPr>
          </w:p>
        </w:tc>
        <w:tc>
          <w:tcPr>
            <w:tcW w:w="7919" w:type="dxa"/>
          </w:tcPr>
          <w:p w:rsidR="00225952" w:rsidRPr="00101DBD" w:rsidRDefault="00225952" w:rsidP="00225952">
            <w:pPr>
              <w:autoSpaceDE w:val="0"/>
              <w:autoSpaceDN w:val="0"/>
              <w:adjustRightInd w:val="0"/>
              <w:spacing w:after="0"/>
              <w:rPr>
                <w:i/>
                <w:sz w:val="20"/>
              </w:rPr>
            </w:pPr>
            <w:r w:rsidRPr="00101DBD">
              <w:rPr>
                <w:b/>
                <w:bCs/>
                <w:i/>
                <w:sz w:val="20"/>
              </w:rPr>
              <w:t xml:space="preserve">Adapted From: </w:t>
            </w:r>
            <w:r w:rsidRPr="00101DBD">
              <w:rPr>
                <w:i/>
                <w:sz w:val="20"/>
              </w:rPr>
              <w:t>ANALYSIS OF TRAFFIC IMPACT FOR NEW DEVELOPMENTS</w:t>
            </w:r>
          </w:p>
          <w:p w:rsidR="00DD15F6" w:rsidRPr="00DD15F6" w:rsidRDefault="00225952" w:rsidP="00DD15F6">
            <w:pPr>
              <w:autoSpaceDE w:val="0"/>
              <w:autoSpaceDN w:val="0"/>
              <w:adjustRightInd w:val="0"/>
              <w:spacing w:after="120"/>
              <w:rPr>
                <w:i/>
              </w:rPr>
            </w:pPr>
            <w:r w:rsidRPr="00101DBD">
              <w:rPr>
                <w:i/>
                <w:sz w:val="20"/>
              </w:rPr>
              <w:t xml:space="preserve">PAUL C. BOX, </w:t>
            </w:r>
            <w:r w:rsidRPr="00101DBD">
              <w:rPr>
                <w:i/>
              </w:rPr>
              <w:t>Skokie, Illinois</w:t>
            </w:r>
            <w:r w:rsidRPr="00101DBD">
              <w:rPr>
                <w:i/>
                <w:sz w:val="20"/>
              </w:rPr>
              <w:t xml:space="preserve">  </w:t>
            </w:r>
            <w:r w:rsidRPr="00101DBD">
              <w:rPr>
                <w:b/>
                <w:bCs/>
                <w:i/>
              </w:rPr>
              <w:t xml:space="preserve">Public Works Magazine: </w:t>
            </w:r>
            <w:r w:rsidRPr="00101DBD">
              <w:rPr>
                <w:i/>
              </w:rPr>
              <w:t>February 1981</w:t>
            </w:r>
            <w:r w:rsidR="00DD15F6">
              <w:rPr>
                <w:i/>
              </w:rPr>
              <w:br/>
            </w:r>
          </w:p>
        </w:tc>
      </w:tr>
    </w:tbl>
    <w:p w:rsidR="00DD15F6" w:rsidRDefault="00DD15F6">
      <w:r>
        <w:rPr>
          <w:b/>
          <w:bCs/>
        </w:rPr>
        <w:br w:type="page"/>
      </w:r>
    </w:p>
    <w:tbl>
      <w:tblPr>
        <w:tblW w:w="10268" w:type="dxa"/>
        <w:tblInd w:w="108" w:type="dxa"/>
        <w:tblLayout w:type="fixed"/>
        <w:tblLook w:val="0000"/>
      </w:tblPr>
      <w:tblGrid>
        <w:gridCol w:w="2431"/>
        <w:gridCol w:w="7837"/>
      </w:tblGrid>
      <w:tr w:rsidR="00225952" w:rsidRPr="00380CF5" w:rsidTr="00DD15F6">
        <w:tc>
          <w:tcPr>
            <w:tcW w:w="2431" w:type="dxa"/>
          </w:tcPr>
          <w:p w:rsidR="00225952" w:rsidRPr="006135BA" w:rsidRDefault="00225952" w:rsidP="00225952">
            <w:pPr>
              <w:pStyle w:val="Heading4"/>
            </w:pPr>
            <w:r w:rsidRPr="006135BA">
              <w:lastRenderedPageBreak/>
              <w:t>Trip Generation</w:t>
            </w:r>
            <w:r>
              <w:t xml:space="preserve"> and</w:t>
            </w:r>
            <w:r w:rsidRPr="006135BA">
              <w:t xml:space="preserve"> Adjustments</w:t>
            </w:r>
          </w:p>
          <w:p w:rsidR="00225952" w:rsidRDefault="00225952" w:rsidP="00225952">
            <w:pPr>
              <w:pStyle w:val="Heading4"/>
              <w:rPr>
                <w:color w:val="632423"/>
                <w:sz w:val="24"/>
                <w:highlight w:val="yellow"/>
              </w:rPr>
            </w:pPr>
          </w:p>
          <w:p w:rsidR="00221BB9" w:rsidRDefault="00221BB9">
            <w:pPr>
              <w:rPr>
                <w:highlight w:val="yellow"/>
              </w:rPr>
            </w:pPr>
          </w:p>
          <w:p w:rsidR="00221BB9" w:rsidRDefault="00221BB9">
            <w:pPr>
              <w:rPr>
                <w:highlight w:val="yellow"/>
              </w:rPr>
            </w:pPr>
          </w:p>
          <w:p w:rsidR="00C67E35" w:rsidRDefault="00C67E35" w:rsidP="00C67E35">
            <w:pPr>
              <w:spacing w:after="0"/>
              <w:ind w:left="720"/>
              <w:rPr>
                <w:b/>
                <w:i/>
              </w:rPr>
            </w:pPr>
          </w:p>
          <w:p w:rsidR="00C67E35" w:rsidRDefault="00C67E35" w:rsidP="00A72D9B">
            <w:pPr>
              <w:spacing w:after="0"/>
              <w:rPr>
                <w:b/>
                <w:i/>
              </w:rPr>
            </w:pPr>
          </w:p>
          <w:p w:rsidR="00C67E35" w:rsidRDefault="00C67E35" w:rsidP="00C67E35">
            <w:pPr>
              <w:spacing w:after="0"/>
              <w:ind w:left="720"/>
              <w:rPr>
                <w:b/>
                <w:i/>
              </w:rPr>
            </w:pPr>
          </w:p>
          <w:p w:rsidR="00C67E35" w:rsidRDefault="00C67E35" w:rsidP="00C67E35">
            <w:pPr>
              <w:spacing w:after="0"/>
              <w:ind w:left="720"/>
              <w:rPr>
                <w:b/>
                <w:i/>
              </w:rPr>
            </w:pPr>
          </w:p>
          <w:p w:rsidR="00221BB9" w:rsidRDefault="00C67E35">
            <w:pPr>
              <w:pStyle w:val="HeadSide20"/>
            </w:pPr>
            <w:r w:rsidRPr="00AB1193">
              <w:t>Advice from</w:t>
            </w:r>
            <w:r>
              <w:t xml:space="preserve">, </w:t>
            </w:r>
            <w:r w:rsidRPr="00AB1193">
              <w:t xml:space="preserve"> </w:t>
            </w:r>
            <w:r w:rsidR="00F30B41" w:rsidRPr="00F30B41">
              <w:rPr>
                <w:b/>
              </w:rPr>
              <w:t>Transportation Concurrency Best Practices</w:t>
            </w:r>
          </w:p>
          <w:p w:rsidR="00221BB9" w:rsidRDefault="00221BB9"/>
        </w:tc>
        <w:tc>
          <w:tcPr>
            <w:tcW w:w="7837" w:type="dxa"/>
          </w:tcPr>
          <w:p w:rsidR="00C67E35" w:rsidRDefault="00225952" w:rsidP="00225952">
            <w:pPr>
              <w:rPr>
                <w:spacing w:val="-2"/>
              </w:rPr>
            </w:pPr>
            <w:r>
              <w:t xml:space="preserve">Trip generation is the process by which the number and type of trips associated with a given land use is estimated. </w:t>
            </w:r>
            <w:r w:rsidRPr="005E2097">
              <w:rPr>
                <w:spacing w:val="-2"/>
              </w:rPr>
              <w:t xml:space="preserve">Trip generation may be the most critical element of the transportation impact analysis because it estimates the amount of vehicular travel associated with a specific land use or development. An estimate of trip generation from the development using FDOT approved trip generation methods (such as ITE’s </w:t>
            </w:r>
            <w:r w:rsidRPr="005E2097">
              <w:rPr>
                <w:i/>
                <w:spacing w:val="-2"/>
              </w:rPr>
              <w:t>Trip Generation</w:t>
            </w:r>
            <w:r w:rsidRPr="005E2097">
              <w:rPr>
                <w:spacing w:val="-2"/>
              </w:rPr>
              <w:t xml:space="preserve"> publications) is required in all analyses.</w:t>
            </w:r>
          </w:p>
          <w:p w:rsidR="00221BB9" w:rsidRDefault="00225952">
            <w:pPr>
              <w:pStyle w:val="Quote"/>
              <w:spacing w:after="120"/>
            </w:pPr>
            <w:r w:rsidRPr="00AB1193">
              <w:t>If there is no land use code in the Trip Generation Handbook for a specific development, a local government may require the applicant to either use the equations or rates of a similar land use or conduct trip generation studies at sites with characteristics similar to those of the proposed development</w:t>
            </w:r>
            <w:r w:rsidRPr="008108E3">
              <w:t>.</w:t>
            </w:r>
            <w:r>
              <w:t xml:space="preserve"> </w:t>
            </w:r>
            <w:r w:rsidR="00C67E35">
              <w:t xml:space="preserve">   </w:t>
            </w:r>
          </w:p>
          <w:p w:rsidR="00225952" w:rsidRDefault="00A72D9B" w:rsidP="00225952">
            <w:r w:rsidRPr="0051747B">
              <w:rPr>
                <w:b/>
              </w:rPr>
              <w:t>Source</w:t>
            </w:r>
            <w:r w:rsidRPr="0051747B">
              <w:t>: Transportation Concurrency Best Practices, DCA, 2007</w:t>
            </w:r>
            <w:r w:rsidR="00225952">
              <w:t>When</w:t>
            </w:r>
            <w:r w:rsidR="00225952" w:rsidRPr="003E5783">
              <w:t xml:space="preserve"> dealing with adjustments to trip generation that a</w:t>
            </w:r>
            <w:r w:rsidR="00225952">
              <w:t xml:space="preserve">re made to </w:t>
            </w:r>
            <w:r w:rsidR="00225952" w:rsidRPr="003E5783">
              <w:t>lower the gross trip generation (e.g. internal capture percentag</w:t>
            </w:r>
            <w:r w:rsidR="00225952">
              <w:t>es for mixed-use projects, transit oriented development, pass</w:t>
            </w:r>
            <w:r w:rsidR="00225952" w:rsidRPr="003E5783">
              <w:t xml:space="preserve">-by capture rates for retail land uses, etc) </w:t>
            </w:r>
            <w:r w:rsidR="00225952">
              <w:t xml:space="preserve">these </w:t>
            </w:r>
            <w:r w:rsidR="00225952" w:rsidRPr="003E5783">
              <w:t xml:space="preserve">should be accompanied by sufficient </w:t>
            </w:r>
            <w:r w:rsidR="00225952">
              <w:t xml:space="preserve">logical justification and/or </w:t>
            </w:r>
            <w:r w:rsidR="00225952" w:rsidRPr="003E5783">
              <w:t>empirical data</w:t>
            </w:r>
            <w:r w:rsidR="00225952">
              <w:t xml:space="preserve"> early in the process. We suggest this be a major item of discussion at Methodology Development.</w:t>
            </w:r>
          </w:p>
          <w:p w:rsidR="00682DDA" w:rsidRDefault="00225952">
            <w:r>
              <w:t xml:space="preserve">Trip generation and adjustments are discussed in detail in </w:t>
            </w:r>
            <w:hyperlink w:anchor="_2.4__" w:history="1">
              <w:r w:rsidR="002274C7">
                <w:rPr>
                  <w:rStyle w:val="Hyperlink"/>
                  <w:rFonts w:cstheme="minorBidi"/>
                </w:rPr>
                <w:t>Section</w:t>
              </w:r>
              <w:r w:rsidR="00C67E35" w:rsidRPr="00C67E35">
                <w:rPr>
                  <w:rStyle w:val="Hyperlink"/>
                  <w:rFonts w:cstheme="minorBidi"/>
                </w:rPr>
                <w:t xml:space="preserve"> </w:t>
              </w:r>
              <w:r w:rsidR="006B7F55" w:rsidRPr="00C67E35">
                <w:rPr>
                  <w:rStyle w:val="Hyperlink"/>
                  <w:rFonts w:cstheme="minorBidi"/>
                </w:rPr>
                <w:t>2.4</w:t>
              </w:r>
            </w:hyperlink>
            <w:r>
              <w:t xml:space="preserve">. </w:t>
            </w:r>
          </w:p>
        </w:tc>
      </w:tr>
      <w:tr w:rsidR="00225952" w:rsidRPr="00380CF5" w:rsidTr="00DD15F6">
        <w:tc>
          <w:tcPr>
            <w:tcW w:w="2431" w:type="dxa"/>
          </w:tcPr>
          <w:p w:rsidR="00225952" w:rsidRPr="006135BA" w:rsidRDefault="00225952" w:rsidP="00225952">
            <w:pPr>
              <w:pStyle w:val="Heading4"/>
            </w:pPr>
            <w:r w:rsidRPr="006135BA">
              <w:t xml:space="preserve">Use of </w:t>
            </w:r>
            <w:r>
              <w:t>“</w:t>
            </w:r>
            <w:r w:rsidRPr="006135BA">
              <w:t>Manual Methods</w:t>
            </w:r>
            <w:r>
              <w:t>”</w:t>
            </w:r>
            <w:r w:rsidRPr="006135BA">
              <w:t xml:space="preserve"> and Travel Demand Forecasting Models</w:t>
            </w:r>
          </w:p>
          <w:p w:rsidR="00225952" w:rsidRPr="006135BA" w:rsidRDefault="00225952" w:rsidP="00225952">
            <w:pPr>
              <w:pStyle w:val="Heading4"/>
              <w:rPr>
                <w:highlight w:val="red"/>
              </w:rPr>
            </w:pPr>
          </w:p>
        </w:tc>
        <w:tc>
          <w:tcPr>
            <w:tcW w:w="7837" w:type="dxa"/>
          </w:tcPr>
          <w:p w:rsidR="00225952" w:rsidRDefault="00225952" w:rsidP="00225952">
            <w:r>
              <w:t>Future conditions for impact assessments can be estimated using “manual methods,” travel demand forecasting models, or a combination of the two. For the purposes of this handbook, “</w:t>
            </w:r>
            <w:r w:rsidRPr="008A22C3">
              <w:rPr>
                <w:b/>
              </w:rPr>
              <w:t>Manual Methods</w:t>
            </w:r>
            <w:r>
              <w:t xml:space="preserve">” are those methods of trip generation NOT done with large scale travel demand models, such as FSUTMS. The most common examples of what we call “Manual Methods” are, trip generation done through the use of trip generation factors, and  background traffic growth done by growth factors or adding known trips from other developments to the surrounding road system. </w:t>
            </w:r>
          </w:p>
          <w:p w:rsidR="00225952" w:rsidRPr="00F64382" w:rsidRDefault="00225952" w:rsidP="00225952">
            <w:r w:rsidRPr="00F77138">
              <w:t xml:space="preserve">The method to be used </w:t>
            </w:r>
            <w:r>
              <w:t xml:space="preserve">will often depend on the size and scope of the project, as well as the availability of a travel demand model for the study area. The method to be used </w:t>
            </w:r>
            <w:r w:rsidRPr="00F77138">
              <w:t>should be determined as early as possible in the process</w:t>
            </w:r>
            <w:r>
              <w:t xml:space="preserve"> through coordination with FDOT and local agencies</w:t>
            </w:r>
            <w:r w:rsidRPr="00F77138">
              <w:t>.</w:t>
            </w:r>
            <w:r>
              <w:t xml:space="preserve"> </w:t>
            </w:r>
            <w:r w:rsidRPr="00F64382">
              <w:t xml:space="preserve">The preparer of a transportation impact analysis should ensure the purpose of using any model is clearly stated and approved by </w:t>
            </w:r>
            <w:r>
              <w:t>FDOT</w:t>
            </w:r>
            <w:r w:rsidRPr="00F64382">
              <w:t xml:space="preserve"> prior to initiating the study.</w:t>
            </w:r>
          </w:p>
          <w:p w:rsidR="00225952" w:rsidRDefault="00225952">
            <w:r>
              <w:t>In many cases, a hybrid approach can be used that employs elements of both manual and model methods.</w:t>
            </w:r>
            <w:r w:rsidRPr="00166DB6">
              <w:t xml:space="preserve"> </w:t>
            </w:r>
            <w:r>
              <w:t xml:space="preserve">For example, background conditions and trip generation might be estimated using manual methods while trip distribution and </w:t>
            </w:r>
            <w:r>
              <w:lastRenderedPageBreak/>
              <w:t xml:space="preserve">assignment might be based on model methods. In another </w:t>
            </w:r>
            <w:r w:rsidRPr="00166DB6">
              <w:t xml:space="preserve">example, </w:t>
            </w:r>
            <w:r>
              <w:t xml:space="preserve">if </w:t>
            </w:r>
            <w:r w:rsidRPr="00166DB6">
              <w:t xml:space="preserve">the </w:t>
            </w:r>
            <w:r>
              <w:t>FDOT r</w:t>
            </w:r>
            <w:r w:rsidRPr="00166DB6">
              <w:t>eviewer questions the distribution and</w:t>
            </w:r>
            <w:r>
              <w:t xml:space="preserve"> </w:t>
            </w:r>
            <w:r w:rsidRPr="00166DB6">
              <w:t xml:space="preserve">assignment of trips generated by </w:t>
            </w:r>
            <w:r>
              <w:t>a</w:t>
            </w:r>
            <w:r w:rsidRPr="00166DB6">
              <w:t xml:space="preserve"> development </w:t>
            </w:r>
            <w:r>
              <w:t xml:space="preserve">analyzed </w:t>
            </w:r>
            <w:r w:rsidRPr="00166DB6">
              <w:t>using</w:t>
            </w:r>
            <w:r>
              <w:t xml:space="preserve"> </w:t>
            </w:r>
            <w:r w:rsidRPr="00166DB6">
              <w:t xml:space="preserve">a manual method, the step </w:t>
            </w:r>
            <w:r>
              <w:t>potentially could</w:t>
            </w:r>
            <w:r w:rsidRPr="00166DB6">
              <w:t xml:space="preserve"> be compared with the</w:t>
            </w:r>
            <w:r>
              <w:t xml:space="preserve"> </w:t>
            </w:r>
            <w:r w:rsidRPr="00166DB6">
              <w:t xml:space="preserve">results of an assignment made with </w:t>
            </w:r>
            <w:r>
              <w:t>a travel demand</w:t>
            </w:r>
            <w:r w:rsidRPr="00166DB6">
              <w:t xml:space="preserve"> model.</w:t>
            </w:r>
          </w:p>
        </w:tc>
      </w:tr>
      <w:tr w:rsidR="00225952" w:rsidRPr="00380CF5" w:rsidTr="00DD15F6">
        <w:tc>
          <w:tcPr>
            <w:tcW w:w="2431" w:type="dxa"/>
          </w:tcPr>
          <w:p w:rsidR="00225952" w:rsidRDefault="00225952" w:rsidP="00225952">
            <w:pPr>
              <w:pStyle w:val="Heading4"/>
            </w:pPr>
            <w:r w:rsidRPr="006135BA">
              <w:lastRenderedPageBreak/>
              <w:t xml:space="preserve">Other Major </w:t>
            </w:r>
            <w:r w:rsidRPr="00EF1B86">
              <w:t>Committed</w:t>
            </w:r>
            <w:r w:rsidRPr="006135BA">
              <w:t xml:space="preserve"> Developments</w:t>
            </w:r>
          </w:p>
          <w:p w:rsidR="00225952" w:rsidRDefault="00225952" w:rsidP="00225952">
            <w:pPr>
              <w:pStyle w:val="SidebarSentence"/>
            </w:pPr>
          </w:p>
          <w:p w:rsidR="00225952" w:rsidRDefault="00225952" w:rsidP="00225952">
            <w:pPr>
              <w:pStyle w:val="SidebarSentence"/>
            </w:pPr>
          </w:p>
          <w:p w:rsidR="00225952" w:rsidRDefault="00225952" w:rsidP="00225952">
            <w:pPr>
              <w:pStyle w:val="HeadSide2"/>
            </w:pPr>
            <w:r w:rsidRPr="00086DC1">
              <w:t>Other major committed developments should be considered in any site impact analysis</w:t>
            </w:r>
          </w:p>
          <w:p w:rsidR="00225952" w:rsidRPr="0093486C" w:rsidRDefault="00225952" w:rsidP="00225952">
            <w:pPr>
              <w:pStyle w:val="SidebarSentence"/>
            </w:pPr>
          </w:p>
        </w:tc>
        <w:tc>
          <w:tcPr>
            <w:tcW w:w="7837" w:type="dxa"/>
          </w:tcPr>
          <w:p w:rsidR="00225952" w:rsidRDefault="00225952" w:rsidP="00225952">
            <w:r>
              <w:t xml:space="preserve">Major </w:t>
            </w:r>
            <w:r w:rsidRPr="00166DB6">
              <w:t>committed developments</w:t>
            </w:r>
            <w:r>
              <w:t xml:space="preserve"> are developments</w:t>
            </w:r>
            <w:r w:rsidRPr="00166DB6">
              <w:t xml:space="preserve"> that have an approved development order</w:t>
            </w:r>
            <w:r>
              <w:t xml:space="preserve"> (DO) </w:t>
            </w:r>
            <w:r w:rsidRPr="00166DB6">
              <w:t>or an approved concurrency management</w:t>
            </w:r>
            <w:r>
              <w:t xml:space="preserve"> </w:t>
            </w:r>
            <w:r w:rsidRPr="00166DB6">
              <w:t>certificate</w:t>
            </w:r>
            <w:r>
              <w:t xml:space="preserve">.  These </w:t>
            </w:r>
            <w:r w:rsidRPr="00166DB6">
              <w:t xml:space="preserve">should be considered in </w:t>
            </w:r>
            <w:r>
              <w:t>the transportation</w:t>
            </w:r>
            <w:r w:rsidRPr="00166DB6">
              <w:t xml:space="preserve"> impact</w:t>
            </w:r>
            <w:r>
              <w:t xml:space="preserve"> </w:t>
            </w:r>
            <w:r w:rsidRPr="00166DB6">
              <w:t>analysis.</w:t>
            </w:r>
            <w:r>
              <w:t xml:space="preserve"> These trips are known as “Vested Trips.” </w:t>
            </w:r>
            <w:r w:rsidRPr="00166DB6">
              <w:t xml:space="preserve"> </w:t>
            </w:r>
            <w:r w:rsidRPr="00F16308">
              <w:t xml:space="preserve">If one or more developments are included in </w:t>
            </w:r>
            <w:r>
              <w:t>a comprehensive plan</w:t>
            </w:r>
            <w:r w:rsidRPr="00F16308">
              <w:t xml:space="preserve"> amendment package, they should all be analyzed in one comprehensive analysis.</w:t>
            </w:r>
            <w:r w:rsidRPr="00166DB6">
              <w:t xml:space="preserve"> </w:t>
            </w:r>
          </w:p>
          <w:p w:rsidR="00225952" w:rsidRDefault="00225952" w:rsidP="00225952">
            <w:r w:rsidRPr="00166DB6">
              <w:t>The traffic from these developments is part</w:t>
            </w:r>
            <w:r>
              <w:t xml:space="preserve"> </w:t>
            </w:r>
            <w:r w:rsidRPr="00166DB6">
              <w:t>of the background traffic and is addressed in greater</w:t>
            </w:r>
            <w:r>
              <w:t xml:space="preserve"> </w:t>
            </w:r>
            <w:r w:rsidRPr="0076138C">
              <w:t xml:space="preserve">detail in </w:t>
            </w:r>
            <w:r w:rsidRPr="0076138C">
              <w:rPr>
                <w:b/>
                <w:bCs/>
              </w:rPr>
              <w:t>Step 3: Background Traffic.</w:t>
            </w:r>
            <w:r>
              <w:rPr>
                <w:b/>
                <w:bCs/>
              </w:rPr>
              <w:t xml:space="preserve"> </w:t>
            </w:r>
            <w:r>
              <w:t xml:space="preserve">The manner in which committed development will be accounted for in the analysis </w:t>
            </w:r>
            <w:r w:rsidRPr="00F77138">
              <w:t>should be determined as early as possible in the process</w:t>
            </w:r>
            <w:r>
              <w:t xml:space="preserve"> through coordination with FDOT and local agencies</w:t>
            </w:r>
            <w:r w:rsidRPr="00F77138">
              <w:t>.</w:t>
            </w:r>
          </w:p>
        </w:tc>
      </w:tr>
      <w:tr w:rsidR="00225952" w:rsidRPr="00380CF5" w:rsidTr="00DD15F6">
        <w:tc>
          <w:tcPr>
            <w:tcW w:w="2431" w:type="dxa"/>
          </w:tcPr>
          <w:p w:rsidR="00225952" w:rsidRDefault="00225952" w:rsidP="00225952">
            <w:pPr>
              <w:pStyle w:val="Heading4"/>
              <w:rPr>
                <w:noProof/>
              </w:rPr>
            </w:pPr>
            <w:r w:rsidRPr="00EF1B86">
              <w:t>Redevelopment</w:t>
            </w:r>
            <w:r w:rsidRPr="006135BA">
              <w:rPr>
                <w:noProof/>
              </w:rPr>
              <w:t xml:space="preserve"> Sites</w:t>
            </w:r>
          </w:p>
          <w:p w:rsidR="00225952" w:rsidRDefault="00225952" w:rsidP="00225952">
            <w:pPr>
              <w:pStyle w:val="SidebarSentence"/>
            </w:pPr>
          </w:p>
          <w:p w:rsidR="00225952" w:rsidRDefault="00225952" w:rsidP="00225952">
            <w:pPr>
              <w:pStyle w:val="HeadSide2"/>
            </w:pPr>
            <w:r>
              <w:t>How to account for previous traffic from site that is being redeveloped</w:t>
            </w:r>
          </w:p>
          <w:p w:rsidR="00225952" w:rsidRDefault="00225952" w:rsidP="00225952">
            <w:pPr>
              <w:pStyle w:val="SidebarSentence"/>
            </w:pPr>
          </w:p>
        </w:tc>
        <w:tc>
          <w:tcPr>
            <w:tcW w:w="7837" w:type="dxa"/>
          </w:tcPr>
          <w:p w:rsidR="00225952" w:rsidRDefault="00225952">
            <w:pPr>
              <w:rPr>
                <w:noProof/>
              </w:rPr>
            </w:pPr>
            <w:r>
              <w:rPr>
                <w:noProof/>
              </w:rPr>
              <w:t xml:space="preserve">If a new development is being proposed on a site that previously generated a significant amount of traffic, the reviewer should determine, in advance, the treatment of the traffic that used to be generated on that site. </w:t>
            </w:r>
          </w:p>
          <w:p w:rsidR="00225952" w:rsidRPr="004A0448" w:rsidRDefault="00225952" w:rsidP="00225952">
            <w:pPr>
              <w:rPr>
                <w:noProof/>
              </w:rPr>
            </w:pPr>
            <w:r>
              <w:rPr>
                <w:noProof/>
              </w:rPr>
              <w:t xml:space="preserve"> In order to encourage  in-fill development, some local governments and other agencies “discount” the older site developed traffic and treat it as part of the Background Traffic.  This will depend on local government practices, and other considerations such as, the time the property was vacant and  existing traffic conditions around the site</w:t>
            </w:r>
            <w:r w:rsidRPr="00BC632C">
              <w:rPr>
                <w:noProof/>
              </w:rPr>
              <w:t xml:space="preserve">.  </w:t>
            </w:r>
          </w:p>
        </w:tc>
      </w:tr>
    </w:tbl>
    <w:p w:rsidR="00225952" w:rsidRDefault="00225952" w:rsidP="00225952">
      <w:pPr>
        <w:pStyle w:val="Heading2"/>
        <w:sectPr w:rsidR="00225952" w:rsidSect="0021455D">
          <w:headerReference w:type="default" r:id="rId48"/>
          <w:type w:val="continuous"/>
          <w:pgSz w:w="12240" w:h="15840" w:code="1"/>
          <w:pgMar w:top="1440" w:right="720" w:bottom="1440" w:left="1152" w:header="720" w:footer="720" w:gutter="0"/>
          <w:cols w:space="720"/>
          <w:docGrid w:linePitch="313"/>
        </w:sectPr>
      </w:pPr>
      <w:bookmarkStart w:id="47" w:name="_Toc232912641"/>
    </w:p>
    <w:tbl>
      <w:tblPr>
        <w:tblW w:w="10267" w:type="dxa"/>
        <w:tblInd w:w="108" w:type="dxa"/>
        <w:tblLayout w:type="fixed"/>
        <w:tblLook w:val="0000"/>
      </w:tblPr>
      <w:tblGrid>
        <w:gridCol w:w="2347"/>
        <w:gridCol w:w="3863"/>
        <w:gridCol w:w="4057"/>
      </w:tblGrid>
      <w:tr w:rsidR="00225952" w:rsidRPr="00380CF5" w:rsidTr="003F432A">
        <w:tc>
          <w:tcPr>
            <w:tcW w:w="10267" w:type="dxa"/>
            <w:gridSpan w:val="3"/>
          </w:tcPr>
          <w:p w:rsidR="00225952" w:rsidRPr="006135BA" w:rsidRDefault="006B7F55" w:rsidP="00225952">
            <w:pPr>
              <w:pStyle w:val="Heading2"/>
              <w:rPr>
                <w:noProof/>
              </w:rPr>
            </w:pPr>
            <w:bookmarkStart w:id="48" w:name="_Toc264274070"/>
            <w:r>
              <w:lastRenderedPageBreak/>
              <w:t>2.3</w:t>
            </w:r>
            <w:r w:rsidR="00225952" w:rsidRPr="006135BA">
              <w:t xml:space="preserve">   Existing Conditions Analysis and Data Collection (</w:t>
            </w:r>
            <w:r w:rsidR="00225952">
              <w:t>S</w:t>
            </w:r>
            <w:r w:rsidR="00225952" w:rsidRPr="006135BA">
              <w:t>tep 2)</w:t>
            </w:r>
            <w:bookmarkEnd w:id="47"/>
            <w:bookmarkEnd w:id="48"/>
          </w:p>
        </w:tc>
      </w:tr>
      <w:tr w:rsidR="00225952" w:rsidRPr="00380CF5" w:rsidTr="003F432A">
        <w:tc>
          <w:tcPr>
            <w:tcW w:w="2347" w:type="dxa"/>
          </w:tcPr>
          <w:p w:rsidR="00225952" w:rsidRDefault="00225952" w:rsidP="00225952">
            <w:pPr>
              <w:pStyle w:val="SidebarSentence"/>
              <w:rPr>
                <w:highlight w:val="red"/>
              </w:rPr>
            </w:pPr>
            <w:r>
              <w:rPr>
                <w:noProof/>
              </w:rPr>
              <w:drawing>
                <wp:inline distT="0" distB="0" distL="0" distR="0">
                  <wp:extent cx="1021715" cy="1021715"/>
                  <wp:effectExtent l="19050" t="0" r="6985" b="0"/>
                  <wp:docPr id="19" name="Picture 19" descr="iStep2Exist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Step2Existing.png"/>
                          <pic:cNvPicPr>
                            <a:picLocks noChangeAspect="1" noChangeArrowheads="1"/>
                          </pic:cNvPicPr>
                        </pic:nvPicPr>
                        <pic:blipFill>
                          <a:blip r:embed="rId49" cstate="print"/>
                          <a:srcRect/>
                          <a:stretch>
                            <a:fillRect/>
                          </a:stretch>
                        </pic:blipFill>
                        <pic:spPr bwMode="auto">
                          <a:xfrm>
                            <a:off x="0" y="0"/>
                            <a:ext cx="1021715" cy="1021715"/>
                          </a:xfrm>
                          <a:prstGeom prst="rect">
                            <a:avLst/>
                          </a:prstGeom>
                          <a:noFill/>
                          <a:ln w="9525">
                            <a:noFill/>
                            <a:miter lim="800000"/>
                            <a:headEnd/>
                            <a:tailEnd/>
                          </a:ln>
                        </pic:spPr>
                      </pic:pic>
                    </a:graphicData>
                  </a:graphic>
                </wp:inline>
              </w:drawing>
            </w:r>
          </w:p>
          <w:p w:rsidR="00225952" w:rsidRDefault="00225952" w:rsidP="00225952">
            <w:pPr>
              <w:pStyle w:val="SidebarSentence"/>
              <w:rPr>
                <w:highlight w:val="red"/>
              </w:rPr>
            </w:pPr>
          </w:p>
          <w:p w:rsidR="00225952" w:rsidRDefault="00225952" w:rsidP="00225952">
            <w:pPr>
              <w:pStyle w:val="SidebarSentence"/>
              <w:rPr>
                <w:highlight w:val="red"/>
              </w:rPr>
            </w:pPr>
          </w:p>
          <w:p w:rsidR="00225952" w:rsidRDefault="00225952" w:rsidP="00225952">
            <w:pPr>
              <w:pStyle w:val="SidebarSentence"/>
            </w:pPr>
          </w:p>
          <w:p w:rsidR="00225952" w:rsidRDefault="00225952" w:rsidP="00C51DAE">
            <w:pPr>
              <w:pStyle w:val="SidebarSentence"/>
              <w:spacing w:after="0"/>
              <w:rPr>
                <w:highlight w:val="red"/>
              </w:rPr>
            </w:pPr>
            <w:r>
              <w:rPr>
                <w:noProof/>
              </w:rPr>
              <w:lastRenderedPageBreak/>
              <w:drawing>
                <wp:inline distT="0" distB="0" distL="0" distR="0">
                  <wp:extent cx="1408430" cy="543560"/>
                  <wp:effectExtent l="19050" t="0" r="0" b="0"/>
                  <wp:docPr id="116" name="Picture 8" descr="button_PDFlink.png">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utton_PDFlink.png"/>
                          <pic:cNvPicPr>
                            <a:picLocks noChangeAspect="1" noChangeArrowheads="1"/>
                          </pic:cNvPicPr>
                        </pic:nvPicPr>
                        <pic:blipFill>
                          <a:blip r:embed="rId15" cstate="print"/>
                          <a:srcRect/>
                          <a:stretch>
                            <a:fillRect/>
                          </a:stretch>
                        </pic:blipFill>
                        <pic:spPr bwMode="auto">
                          <a:xfrm>
                            <a:off x="0" y="0"/>
                            <a:ext cx="1408430" cy="543560"/>
                          </a:xfrm>
                          <a:prstGeom prst="rect">
                            <a:avLst/>
                          </a:prstGeom>
                          <a:noFill/>
                          <a:ln w="9525">
                            <a:noFill/>
                            <a:miter lim="800000"/>
                            <a:headEnd/>
                            <a:tailEnd/>
                          </a:ln>
                        </pic:spPr>
                      </pic:pic>
                    </a:graphicData>
                  </a:graphic>
                </wp:inline>
              </w:drawing>
            </w:r>
          </w:p>
          <w:p w:rsidR="00C51DAE" w:rsidRDefault="00C51DAE" w:rsidP="00C51DAE">
            <w:pPr>
              <w:pStyle w:val="HeadSide20"/>
              <w:jc w:val="center"/>
              <w:rPr>
                <w:highlight w:val="red"/>
              </w:rPr>
            </w:pPr>
            <w:r w:rsidRPr="00C51DAE">
              <w:t>Q/LOS Handbook</w:t>
            </w:r>
          </w:p>
        </w:tc>
        <w:tc>
          <w:tcPr>
            <w:tcW w:w="7920" w:type="dxa"/>
            <w:gridSpan w:val="2"/>
          </w:tcPr>
          <w:p w:rsidR="00225952" w:rsidRPr="006339B1" w:rsidRDefault="00225952" w:rsidP="00225952">
            <w:pPr>
              <w:rPr>
                <w:szCs w:val="23"/>
              </w:rPr>
            </w:pPr>
            <w:r w:rsidRPr="008A22C3">
              <w:rPr>
                <w:rFonts w:cs="Tahoma"/>
                <w:color w:val="000000"/>
                <w:szCs w:val="23"/>
              </w:rPr>
              <w:lastRenderedPageBreak/>
              <w:t xml:space="preserve">The existing traffic information (year, adjustment factors representing peak season, daily and peak hour traffic) should be discussed during the </w:t>
            </w:r>
            <w:r w:rsidRPr="008A22C3">
              <w:rPr>
                <w:rFonts w:cs="Tahoma"/>
                <w:b/>
                <w:color w:val="000000"/>
                <w:szCs w:val="23"/>
              </w:rPr>
              <w:t>Transportation Methodology</w:t>
            </w:r>
            <w:r w:rsidRPr="008A22C3">
              <w:rPr>
                <w:rFonts w:cs="Tahoma"/>
                <w:color w:val="000000"/>
                <w:szCs w:val="23"/>
              </w:rPr>
              <w:t xml:space="preserve"> and accepted by the governmental entities prior to conducting traffic counts.</w:t>
            </w:r>
          </w:p>
          <w:p w:rsidR="00225952" w:rsidRDefault="00225952" w:rsidP="00225952">
            <w:r>
              <w:t xml:space="preserve">Once the parameters are established in the methodology development step, the transportation impact analysis can begin. The first step in the process is to perform an analysis of the existing travel conditions. This analysis establishes a basis of comparison for the proposed development. The basic analysis should consist of identifying the physical characteristics of the transportation system and traffic operating conditions of roadways using FDOT’s guidelines for data collection found in the </w:t>
            </w:r>
            <w:hyperlink r:id="rId50" w:history="1">
              <w:r w:rsidRPr="000B2454">
                <w:rPr>
                  <w:rStyle w:val="Hyperlink"/>
                </w:rPr>
                <w:t>FDOT Q</w:t>
              </w:r>
              <w:r>
                <w:rPr>
                  <w:rStyle w:val="Hyperlink"/>
                </w:rPr>
                <w:t>uality</w:t>
              </w:r>
              <w:r w:rsidRPr="000B2454">
                <w:rPr>
                  <w:rStyle w:val="Hyperlink"/>
                </w:rPr>
                <w:t>/L</w:t>
              </w:r>
              <w:r>
                <w:rPr>
                  <w:rStyle w:val="Hyperlink"/>
                </w:rPr>
                <w:t xml:space="preserve">evel of </w:t>
              </w:r>
              <w:r w:rsidRPr="000B2454">
                <w:rPr>
                  <w:rStyle w:val="Hyperlink"/>
                </w:rPr>
                <w:t>S</w:t>
              </w:r>
              <w:r>
                <w:rPr>
                  <w:rStyle w:val="Hyperlink"/>
                </w:rPr>
                <w:t>ervice Handbook</w:t>
              </w:r>
            </w:hyperlink>
            <w:r>
              <w:t xml:space="preserve">, 2009 and </w:t>
            </w:r>
            <w:r>
              <w:lastRenderedPageBreak/>
              <w:t xml:space="preserve">standards or other accepted techniques. The quality of service for transit, and non vehicle travel can also be evaluated using the Handbook.  </w:t>
            </w:r>
            <w:r w:rsidR="00125B91">
              <w:br/>
            </w:r>
            <w:r w:rsidR="00125B91">
              <w:br/>
            </w:r>
          </w:p>
        </w:tc>
      </w:tr>
      <w:tr w:rsidR="00225952" w:rsidRPr="00380CF5" w:rsidTr="003F432A">
        <w:tc>
          <w:tcPr>
            <w:tcW w:w="10267" w:type="dxa"/>
            <w:gridSpan w:val="3"/>
          </w:tcPr>
          <w:p w:rsidR="00225952" w:rsidRDefault="006B7F55" w:rsidP="00225952">
            <w:pPr>
              <w:pStyle w:val="Heading3"/>
            </w:pPr>
            <w:bookmarkStart w:id="49" w:name="_Toc264274071"/>
            <w:r>
              <w:lastRenderedPageBreak/>
              <w:t>2.3</w:t>
            </w:r>
            <w:r w:rsidR="00225952">
              <w:t xml:space="preserve">.1  </w:t>
            </w:r>
            <w:r w:rsidR="00225952" w:rsidRPr="006135BA">
              <w:t>Data Collection</w:t>
            </w:r>
            <w:bookmarkEnd w:id="49"/>
          </w:p>
        </w:tc>
      </w:tr>
      <w:tr w:rsidR="00225952" w:rsidRPr="00380CF5" w:rsidTr="003F432A">
        <w:tc>
          <w:tcPr>
            <w:tcW w:w="2347" w:type="dxa"/>
          </w:tcPr>
          <w:p w:rsidR="00225952" w:rsidRDefault="00225952" w:rsidP="00225952">
            <w:pPr>
              <w:pStyle w:val="SidebarSentence"/>
              <w:rPr>
                <w:rStyle w:val="Emphasis"/>
                <w:i/>
                <w:iCs w:val="0"/>
              </w:rPr>
            </w:pPr>
          </w:p>
          <w:p w:rsidR="00225952" w:rsidRDefault="00225952" w:rsidP="00225952">
            <w:pPr>
              <w:pStyle w:val="SidebarSentence"/>
              <w:rPr>
                <w:rStyle w:val="Emphasis"/>
                <w:i/>
                <w:iCs w:val="0"/>
              </w:rPr>
            </w:pPr>
          </w:p>
          <w:p w:rsidR="00225952" w:rsidRDefault="00225952" w:rsidP="00225952">
            <w:pPr>
              <w:pStyle w:val="SidebarSentence"/>
              <w:rPr>
                <w:rStyle w:val="Emphasis"/>
                <w:i/>
                <w:iCs w:val="0"/>
              </w:rPr>
            </w:pPr>
          </w:p>
          <w:p w:rsidR="00225952" w:rsidRDefault="00225952" w:rsidP="00225952">
            <w:pPr>
              <w:pStyle w:val="FigureTitle"/>
              <w:rPr>
                <w:rStyle w:val="Emphasis"/>
                <w:i w:val="0"/>
                <w:iCs w:val="0"/>
              </w:rPr>
            </w:pPr>
            <w:r>
              <w:rPr>
                <w:rStyle w:val="Emphasis"/>
              </w:rPr>
              <w:t xml:space="preserve"> </w:t>
            </w:r>
          </w:p>
          <w:p w:rsidR="00225952" w:rsidRPr="005862AE" w:rsidRDefault="00225952" w:rsidP="00225952">
            <w:pPr>
              <w:pStyle w:val="ExhibitNumber"/>
            </w:pPr>
          </w:p>
        </w:tc>
        <w:tc>
          <w:tcPr>
            <w:tcW w:w="3863" w:type="dxa"/>
          </w:tcPr>
          <w:p w:rsidR="00225952" w:rsidRDefault="00225952" w:rsidP="00225952">
            <w:r>
              <w:t xml:space="preserve">The specific data that should be collected during a transportation impact analysis is usually defined in the methodology development step. The applicant is responsible for the collection, assembly, analysis and presentation of all data. Types of data generally required for the study area are discussed below. Exhibit </w:t>
            </w:r>
            <w:r w:rsidR="00D53BEE">
              <w:t>8</w:t>
            </w:r>
            <w:r>
              <w:t xml:space="preserve"> summarizes the data collection and existing conditions requirements.</w:t>
            </w:r>
          </w:p>
          <w:p w:rsidR="00225952" w:rsidRDefault="00225952" w:rsidP="00225952">
            <w:pPr>
              <w:spacing w:after="0"/>
            </w:pPr>
          </w:p>
          <w:p w:rsidR="00225952" w:rsidRDefault="00225952" w:rsidP="00225952">
            <w:pPr>
              <w:pStyle w:val="ExhibitNumber"/>
              <w:rPr>
                <w:rStyle w:val="Emphasis"/>
                <w:i w:val="0"/>
                <w:iCs w:val="0"/>
              </w:rPr>
            </w:pPr>
          </w:p>
          <w:p w:rsidR="00225952" w:rsidRDefault="00225952" w:rsidP="00225952">
            <w:pPr>
              <w:pStyle w:val="Exhibit"/>
              <w:rPr>
                <w:rStyle w:val="Emphasis"/>
                <w:rFonts w:ascii="Calibri" w:hAnsi="Calibri"/>
                <w:i w:val="0"/>
                <w:iCs w:val="0"/>
                <w:color w:val="auto"/>
              </w:rPr>
            </w:pPr>
            <w:r w:rsidRPr="007C637C">
              <w:rPr>
                <w:rStyle w:val="Emphasis"/>
              </w:rPr>
              <w:t>Exhibit</w:t>
            </w:r>
            <w:r w:rsidRPr="005862AE">
              <w:rPr>
                <w:rStyle w:val="Emphasis"/>
              </w:rPr>
              <w:t xml:space="preserve"> </w:t>
            </w:r>
            <w:r w:rsidR="00D53BEE">
              <w:rPr>
                <w:rStyle w:val="Emphasis"/>
              </w:rPr>
              <w:t>8</w:t>
            </w:r>
          </w:p>
          <w:p w:rsidR="00225952" w:rsidRDefault="00225952" w:rsidP="00225952">
            <w:pPr>
              <w:pStyle w:val="ExhibitTitle"/>
              <w:rPr>
                <w:rStyle w:val="Emphasis"/>
              </w:rPr>
            </w:pPr>
            <w:r>
              <w:rPr>
                <w:rStyle w:val="Emphasis"/>
              </w:rPr>
              <w:t>C</w:t>
            </w:r>
            <w:r w:rsidRPr="00335CCB">
              <w:rPr>
                <w:rStyle w:val="Emphasis"/>
              </w:rPr>
              <w:t xml:space="preserve">ommon Data Needs for </w:t>
            </w:r>
            <w:r>
              <w:rPr>
                <w:rStyle w:val="Emphasis"/>
              </w:rPr>
              <w:t>S</w:t>
            </w:r>
            <w:r w:rsidRPr="00335CCB">
              <w:rPr>
                <w:rStyle w:val="Emphasis"/>
              </w:rPr>
              <w:t xml:space="preserve">ite Impact </w:t>
            </w:r>
            <w:r>
              <w:rPr>
                <w:rStyle w:val="Emphasis"/>
              </w:rPr>
              <w:t>Analysis</w:t>
            </w:r>
          </w:p>
          <w:p w:rsidR="00125B91" w:rsidRDefault="00125B91" w:rsidP="00225952">
            <w:pPr>
              <w:pStyle w:val="ExhibitTitle"/>
              <w:rPr>
                <w:rStyle w:val="Emphasis"/>
              </w:rPr>
            </w:pPr>
          </w:p>
          <w:p w:rsidR="00125B91" w:rsidRDefault="00125B91" w:rsidP="00125B91">
            <w:pPr>
              <w:pStyle w:val="SidebarSentence"/>
              <w:jc w:val="center"/>
              <w:rPr>
                <w:rStyle w:val="Emphasis"/>
                <w:i/>
                <w:iCs w:val="0"/>
              </w:rPr>
            </w:pPr>
            <w:r w:rsidRPr="00D448ED">
              <w:rPr>
                <w:rStyle w:val="Emphasis"/>
              </w:rPr>
              <w:t>The applicant is responsible for</w:t>
            </w:r>
            <w:r>
              <w:rPr>
                <w:rStyle w:val="Emphasis"/>
              </w:rPr>
              <w:t xml:space="preserve"> compiling </w:t>
            </w:r>
            <w:r w:rsidRPr="00D448ED">
              <w:rPr>
                <w:rStyle w:val="Emphasis"/>
              </w:rPr>
              <w:t xml:space="preserve"> all data</w:t>
            </w:r>
          </w:p>
          <w:p w:rsidR="00125B91" w:rsidRDefault="00125B91" w:rsidP="00225952">
            <w:pPr>
              <w:pStyle w:val="ExhibitTitle"/>
            </w:pPr>
          </w:p>
        </w:tc>
        <w:tc>
          <w:tcPr>
            <w:tcW w:w="4057" w:type="dxa"/>
          </w:tcPr>
          <w:p w:rsidR="00225952" w:rsidRDefault="00225952">
            <w:pPr>
              <w:rPr>
                <w:noProof/>
              </w:rPr>
            </w:pPr>
            <w:r>
              <w:rPr>
                <w:noProof/>
              </w:rPr>
              <w:drawing>
                <wp:inline distT="0" distB="0" distL="0" distR="0">
                  <wp:extent cx="2439035" cy="6436344"/>
                  <wp:effectExtent l="19050" t="0" r="0" b="0"/>
                  <wp:docPr id="102" name="Picture 101" descr="Exhibit2-6.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hibit2-6.emf"/>
                          <pic:cNvPicPr/>
                        </pic:nvPicPr>
                        <pic:blipFill>
                          <a:blip r:embed="rId51" cstate="print"/>
                          <a:stretch>
                            <a:fillRect/>
                          </a:stretch>
                        </pic:blipFill>
                        <pic:spPr>
                          <a:xfrm>
                            <a:off x="0" y="0"/>
                            <a:ext cx="2439035" cy="6436344"/>
                          </a:xfrm>
                          <a:prstGeom prst="rect">
                            <a:avLst/>
                          </a:prstGeom>
                        </pic:spPr>
                      </pic:pic>
                    </a:graphicData>
                  </a:graphic>
                </wp:inline>
              </w:drawing>
            </w:r>
          </w:p>
        </w:tc>
      </w:tr>
    </w:tbl>
    <w:p w:rsidR="007C5CDB" w:rsidRDefault="007C5CDB">
      <w:r>
        <w:rPr>
          <w:b/>
          <w:bCs/>
        </w:rPr>
        <w:br w:type="page"/>
      </w:r>
    </w:p>
    <w:tbl>
      <w:tblPr>
        <w:tblW w:w="10375" w:type="dxa"/>
        <w:tblLayout w:type="fixed"/>
        <w:tblLook w:val="0000"/>
      </w:tblPr>
      <w:tblGrid>
        <w:gridCol w:w="2455"/>
        <w:gridCol w:w="3960"/>
        <w:gridCol w:w="3960"/>
      </w:tblGrid>
      <w:tr w:rsidR="00225952" w:rsidRPr="00380CF5" w:rsidTr="00225952">
        <w:tc>
          <w:tcPr>
            <w:tcW w:w="10375" w:type="dxa"/>
            <w:gridSpan w:val="3"/>
          </w:tcPr>
          <w:p w:rsidR="00225952" w:rsidRDefault="006B7F55" w:rsidP="00225952">
            <w:pPr>
              <w:pStyle w:val="Heading3"/>
            </w:pPr>
            <w:bookmarkStart w:id="50" w:name="_Toc264274072"/>
            <w:r>
              <w:lastRenderedPageBreak/>
              <w:t>2.3</w:t>
            </w:r>
            <w:r w:rsidR="00225952">
              <w:t xml:space="preserve">.2  </w:t>
            </w:r>
            <w:r w:rsidR="00225952" w:rsidRPr="001823B6">
              <w:t xml:space="preserve">Proposed </w:t>
            </w:r>
            <w:r w:rsidR="00225952" w:rsidRPr="008A22C3">
              <w:t>Site</w:t>
            </w:r>
            <w:r w:rsidR="00225952" w:rsidRPr="001823B6">
              <w:t xml:space="preserve"> Development Characteristics</w:t>
            </w:r>
            <w:bookmarkEnd w:id="50"/>
          </w:p>
        </w:tc>
      </w:tr>
      <w:tr w:rsidR="00225952" w:rsidRPr="00380CF5">
        <w:tc>
          <w:tcPr>
            <w:tcW w:w="2455" w:type="dxa"/>
          </w:tcPr>
          <w:p w:rsidR="00225952" w:rsidRDefault="00225952" w:rsidP="00225952"/>
          <w:p w:rsidR="00225952" w:rsidRDefault="00225952" w:rsidP="00225952">
            <w:pPr>
              <w:pStyle w:val="SidebarSentence"/>
            </w:pPr>
            <w:r>
              <w:t xml:space="preserve">The proposed land uses should be identified by intensity and classification consistent with </w:t>
            </w:r>
            <w:r w:rsidRPr="00D448ED">
              <w:rPr>
                <w:b/>
              </w:rPr>
              <w:t>ITE’s Trip Generation</w:t>
            </w:r>
            <w:r>
              <w:rPr>
                <w:b/>
              </w:rPr>
              <w:t xml:space="preserve"> Report</w:t>
            </w:r>
          </w:p>
          <w:p w:rsidR="00225952" w:rsidRPr="0093486C" w:rsidRDefault="00225952" w:rsidP="00225952"/>
        </w:tc>
        <w:tc>
          <w:tcPr>
            <w:tcW w:w="7920" w:type="dxa"/>
            <w:gridSpan w:val="2"/>
          </w:tcPr>
          <w:p w:rsidR="00225952" w:rsidRPr="007763CD" w:rsidRDefault="00225952" w:rsidP="00225952">
            <w:pPr>
              <w:spacing w:after="0"/>
              <w:rPr>
                <w:szCs w:val="23"/>
              </w:rPr>
            </w:pPr>
            <w:r w:rsidRPr="001823B6">
              <w:rPr>
                <w:szCs w:val="23"/>
              </w:rPr>
              <w:t>The proposed site development characteristics will identify the location of the proposed development, site boundaries and other site related characteristics. This information should be presented based on the following guidance:</w:t>
            </w:r>
          </w:p>
          <w:p w:rsidR="00225952" w:rsidRDefault="00225952" w:rsidP="008D2D1A">
            <w:pPr>
              <w:pStyle w:val="ListParagraph"/>
              <w:numPr>
                <w:ilvl w:val="0"/>
                <w:numId w:val="19"/>
              </w:numPr>
              <w:rPr>
                <w:rFonts w:cs="Book Antiqua"/>
                <w:szCs w:val="23"/>
              </w:rPr>
            </w:pPr>
            <w:r w:rsidRPr="001D626B">
              <w:rPr>
                <w:szCs w:val="23"/>
              </w:rPr>
              <w:t xml:space="preserve">A site plan or master plan should be provided which clearly indicates the location of proposed land uses and intensities, </w:t>
            </w:r>
            <w:r>
              <w:rPr>
                <w:szCs w:val="23"/>
              </w:rPr>
              <w:t>and internal roadways</w:t>
            </w:r>
          </w:p>
          <w:p w:rsidR="00225952" w:rsidRDefault="00225952" w:rsidP="008D2D1A">
            <w:pPr>
              <w:pStyle w:val="ListParagraph"/>
              <w:numPr>
                <w:ilvl w:val="0"/>
                <w:numId w:val="19"/>
              </w:numPr>
              <w:rPr>
                <w:szCs w:val="23"/>
              </w:rPr>
            </w:pPr>
            <w:r w:rsidRPr="001D626B">
              <w:rPr>
                <w:szCs w:val="23"/>
              </w:rPr>
              <w:t xml:space="preserve">The proposed land uses should be identified by intensity and classification consistent with ITE’s </w:t>
            </w:r>
            <w:r w:rsidRPr="001D626B">
              <w:rPr>
                <w:i/>
                <w:szCs w:val="23"/>
              </w:rPr>
              <w:t>Trip Generation</w:t>
            </w:r>
          </w:p>
          <w:p w:rsidR="00225952" w:rsidRDefault="00225952" w:rsidP="008D2D1A">
            <w:pPr>
              <w:pStyle w:val="ListParagraph"/>
              <w:numPr>
                <w:ilvl w:val="0"/>
                <w:numId w:val="19"/>
              </w:numPr>
              <w:rPr>
                <w:szCs w:val="23"/>
              </w:rPr>
            </w:pPr>
            <w:r w:rsidRPr="001D626B">
              <w:rPr>
                <w:szCs w:val="23"/>
              </w:rPr>
              <w:t xml:space="preserve">The proposed </w:t>
            </w:r>
            <w:r>
              <w:rPr>
                <w:szCs w:val="23"/>
              </w:rPr>
              <w:t xml:space="preserve">traffic signals, </w:t>
            </w:r>
            <w:r w:rsidRPr="001D626B">
              <w:rPr>
                <w:szCs w:val="23"/>
              </w:rPr>
              <w:t>median openings and majo</w:t>
            </w:r>
            <w:r w:rsidRPr="001823B6">
              <w:rPr>
                <w:szCs w:val="23"/>
              </w:rPr>
              <w:t xml:space="preserve">r driveway locations </w:t>
            </w:r>
            <w:r>
              <w:rPr>
                <w:szCs w:val="23"/>
              </w:rPr>
              <w:t xml:space="preserve">serving the site. </w:t>
            </w:r>
          </w:p>
          <w:p w:rsidR="00225952" w:rsidRDefault="00225952" w:rsidP="008D2D1A">
            <w:pPr>
              <w:pStyle w:val="ListParagraph"/>
              <w:numPr>
                <w:ilvl w:val="0"/>
                <w:numId w:val="19"/>
              </w:numPr>
              <w:rPr>
                <w:szCs w:val="23"/>
              </w:rPr>
            </w:pPr>
            <w:r w:rsidRPr="001823B6">
              <w:rPr>
                <w:rFonts w:cs="Book Antiqua"/>
                <w:szCs w:val="23"/>
              </w:rPr>
              <w:t>The required study area or a</w:t>
            </w:r>
            <w:r w:rsidRPr="001823B6">
              <w:rPr>
                <w:szCs w:val="23"/>
              </w:rPr>
              <w:t>nticipated area of influence for the proposed development should be identified with site development characteristics;</w:t>
            </w:r>
          </w:p>
        </w:tc>
      </w:tr>
      <w:tr w:rsidR="00225952" w:rsidRPr="00380CF5" w:rsidTr="00225952">
        <w:tc>
          <w:tcPr>
            <w:tcW w:w="10375" w:type="dxa"/>
            <w:gridSpan w:val="3"/>
          </w:tcPr>
          <w:p w:rsidR="00225952" w:rsidRDefault="006B7F55" w:rsidP="00225952">
            <w:pPr>
              <w:pStyle w:val="Heading3"/>
            </w:pPr>
            <w:bookmarkStart w:id="51" w:name="_Toc264274073"/>
            <w:r>
              <w:t>2.3</w:t>
            </w:r>
            <w:r w:rsidR="00225952">
              <w:t xml:space="preserve">.3  Existing </w:t>
            </w:r>
            <w:r w:rsidR="00225952" w:rsidRPr="00A70F9D">
              <w:t>Transportation</w:t>
            </w:r>
            <w:r w:rsidR="00225952" w:rsidRPr="001823B6">
              <w:t xml:space="preserve"> System Data</w:t>
            </w:r>
            <w:bookmarkEnd w:id="51"/>
          </w:p>
        </w:tc>
      </w:tr>
      <w:tr w:rsidR="00225952" w:rsidRPr="00380CF5">
        <w:tc>
          <w:tcPr>
            <w:tcW w:w="2455" w:type="dxa"/>
          </w:tcPr>
          <w:p w:rsidR="00225952" w:rsidRDefault="00225952" w:rsidP="00225952"/>
          <w:p w:rsidR="00225952" w:rsidRDefault="00225952" w:rsidP="00225952"/>
          <w:p w:rsidR="00225952" w:rsidRDefault="00225952" w:rsidP="00225952"/>
          <w:p w:rsidR="00225952" w:rsidRDefault="00225952" w:rsidP="00225952"/>
          <w:p w:rsidR="00225952" w:rsidRDefault="00225952" w:rsidP="00225952"/>
          <w:p w:rsidR="00A72D9B" w:rsidRPr="008A22C3" w:rsidRDefault="00A72D9B" w:rsidP="00A72D9B">
            <w:pPr>
              <w:spacing w:line="240" w:lineRule="auto"/>
              <w:rPr>
                <w:b/>
              </w:rPr>
            </w:pPr>
            <w:r w:rsidRPr="008A22C3">
              <w:rPr>
                <w:b/>
              </w:rPr>
              <w:t>Existing Number of Lanes</w:t>
            </w:r>
          </w:p>
          <w:p w:rsidR="00225952" w:rsidRDefault="00225952" w:rsidP="00225952"/>
          <w:p w:rsidR="00225952" w:rsidRDefault="00225952" w:rsidP="00225952"/>
          <w:p w:rsidR="00225952" w:rsidRDefault="00225952" w:rsidP="00225952"/>
          <w:p w:rsidR="00225952" w:rsidRDefault="00225952" w:rsidP="00225952"/>
          <w:p w:rsidR="00225952" w:rsidRDefault="00225952" w:rsidP="00225952"/>
          <w:p w:rsidR="00225952" w:rsidRDefault="00225952" w:rsidP="00225952"/>
          <w:p w:rsidR="00225952" w:rsidRDefault="00225952" w:rsidP="00225952"/>
          <w:p w:rsidR="00225952" w:rsidRDefault="00225952" w:rsidP="00225952"/>
          <w:p w:rsidR="00225952" w:rsidRDefault="00225952" w:rsidP="00225952"/>
          <w:p w:rsidR="00225952" w:rsidRPr="00176919" w:rsidRDefault="00225952" w:rsidP="00225952">
            <w:pPr>
              <w:pStyle w:val="HeadSide2"/>
              <w:jc w:val="center"/>
            </w:pPr>
          </w:p>
        </w:tc>
        <w:tc>
          <w:tcPr>
            <w:tcW w:w="7920" w:type="dxa"/>
            <w:gridSpan w:val="2"/>
          </w:tcPr>
          <w:p w:rsidR="00225952" w:rsidRDefault="00225952">
            <w:r w:rsidRPr="001823B6">
              <w:t>The existing Transportation System Data will include the physical and functional characteristics of the transportation system. Required data to be provided include:</w:t>
            </w:r>
          </w:p>
          <w:p w:rsidR="00225952" w:rsidRDefault="00225952" w:rsidP="00BA4326">
            <w:pPr>
              <w:pStyle w:val="ListParagraph"/>
              <w:numPr>
                <w:ilvl w:val="0"/>
                <w:numId w:val="2"/>
              </w:numPr>
              <w:rPr>
                <w:szCs w:val="23"/>
              </w:rPr>
            </w:pPr>
            <w:r w:rsidRPr="001823B6">
              <w:rPr>
                <w:szCs w:val="23"/>
              </w:rPr>
              <w:t xml:space="preserve">Geometric data such as the number of lanes, locations of intersections </w:t>
            </w:r>
            <w:r>
              <w:rPr>
                <w:szCs w:val="23"/>
              </w:rPr>
              <w:t>and signals  (see example below)</w:t>
            </w:r>
          </w:p>
          <w:p w:rsidR="00225952" w:rsidRDefault="00225952" w:rsidP="00225952">
            <w:pPr>
              <w:pStyle w:val="ListParagraph"/>
              <w:rPr>
                <w:szCs w:val="23"/>
              </w:rPr>
            </w:pPr>
            <w:r>
              <w:rPr>
                <w:noProof/>
                <w:szCs w:val="23"/>
              </w:rPr>
              <w:drawing>
                <wp:inline distT="0" distB="0" distL="0" distR="0">
                  <wp:extent cx="4100774" cy="1772458"/>
                  <wp:effectExtent l="1905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cstate="print"/>
                          <a:srcRect b="34207"/>
                          <a:stretch>
                            <a:fillRect/>
                          </a:stretch>
                        </pic:blipFill>
                        <pic:spPr bwMode="auto">
                          <a:xfrm>
                            <a:off x="0" y="0"/>
                            <a:ext cx="4105704" cy="1774589"/>
                          </a:xfrm>
                          <a:prstGeom prst="rect">
                            <a:avLst/>
                          </a:prstGeom>
                          <a:noFill/>
                          <a:ln w="9525">
                            <a:noFill/>
                            <a:miter lim="800000"/>
                            <a:headEnd/>
                            <a:tailEnd/>
                          </a:ln>
                        </pic:spPr>
                      </pic:pic>
                    </a:graphicData>
                  </a:graphic>
                </wp:inline>
              </w:drawing>
            </w:r>
          </w:p>
          <w:p w:rsidR="00225952" w:rsidRPr="001823B6" w:rsidRDefault="00225952" w:rsidP="00AD2D7A">
            <w:pPr>
              <w:pStyle w:val="BulletA"/>
              <w:numPr>
                <w:ilvl w:val="0"/>
                <w:numId w:val="128"/>
              </w:numPr>
            </w:pPr>
            <w:r w:rsidRPr="001823B6">
              <w:t>The functional classification, access management classification and jurisdiction responsible for the facility (state, county or local) for all facilities within the area of influence</w:t>
            </w:r>
          </w:p>
          <w:p w:rsidR="00225952" w:rsidRPr="001823B6" w:rsidRDefault="00225952" w:rsidP="00AD2D7A">
            <w:pPr>
              <w:pStyle w:val="BulletA"/>
              <w:numPr>
                <w:ilvl w:val="0"/>
                <w:numId w:val="128"/>
              </w:numPr>
            </w:pPr>
            <w:r w:rsidRPr="001823B6">
              <w:t>The area type (rural, transitioning, urban or urbanized area)</w:t>
            </w:r>
          </w:p>
          <w:p w:rsidR="00225952" w:rsidRDefault="00225952" w:rsidP="00AD2D7A">
            <w:pPr>
              <w:pStyle w:val="BulletA"/>
              <w:numPr>
                <w:ilvl w:val="0"/>
                <w:numId w:val="128"/>
              </w:numPr>
            </w:pPr>
            <w:r w:rsidRPr="001823B6">
              <w:t xml:space="preserve">Traffic </w:t>
            </w:r>
            <w:r>
              <w:t>signal location and operations information i</w:t>
            </w:r>
            <w:r w:rsidRPr="001823B6">
              <w:t>dentification of transit, bicycle, and pedestrian routes/facilities that the development might impact</w:t>
            </w:r>
            <w:r>
              <w:t xml:space="preserve"> or use</w:t>
            </w:r>
          </w:p>
          <w:p w:rsidR="00225952" w:rsidRPr="00000B16" w:rsidRDefault="00225952" w:rsidP="00DD15F6">
            <w:pPr>
              <w:pStyle w:val="BulletA"/>
              <w:numPr>
                <w:ilvl w:val="0"/>
                <w:numId w:val="128"/>
              </w:numPr>
            </w:pPr>
            <w:r>
              <w:t>Safety information for all modes, including pedestrian crashes.  This may point out problem areas for future remediation</w:t>
            </w:r>
            <w:r w:rsidR="00563102">
              <w:br/>
            </w:r>
          </w:p>
          <w:p w:rsidR="00225952" w:rsidRPr="00000B16" w:rsidRDefault="00225952" w:rsidP="00AD2D7A">
            <w:pPr>
              <w:pStyle w:val="BulletA"/>
              <w:numPr>
                <w:ilvl w:val="0"/>
                <w:numId w:val="128"/>
              </w:numPr>
            </w:pPr>
            <w:r w:rsidRPr="00000B16">
              <w:lastRenderedPageBreak/>
              <w:t xml:space="preserve">Identification of any Strategic Intermodal System (SIS) facilities, Florida Intrastate Highway System (FIHS) facilities, </w:t>
            </w:r>
            <w:r w:rsidRPr="006339B1">
              <w:t>Transportation Regional Incentive Program</w:t>
            </w:r>
            <w:r>
              <w:t xml:space="preserve"> (</w:t>
            </w:r>
            <w:r w:rsidRPr="00000B16">
              <w:t>TRIP</w:t>
            </w:r>
            <w:r>
              <w:t>)</w:t>
            </w:r>
            <w:r w:rsidRPr="00000B16">
              <w:t xml:space="preserve"> funded facilities, or facilities on the State Highway System (SHS)</w:t>
            </w:r>
          </w:p>
          <w:p w:rsidR="00225952" w:rsidRPr="001823B6" w:rsidRDefault="00225952" w:rsidP="00AD2D7A">
            <w:pPr>
              <w:pStyle w:val="BulletA"/>
              <w:numPr>
                <w:ilvl w:val="0"/>
                <w:numId w:val="128"/>
              </w:numPr>
            </w:pPr>
            <w:r>
              <w:t>Identification of programmed improvements on state highways and significant regional, local (city or county) road</w:t>
            </w:r>
            <w:r w:rsidRPr="001823B6">
              <w:t>s</w:t>
            </w:r>
            <w:r w:rsidRPr="00000B16">
              <w:t xml:space="preserve"> and transit facilities </w:t>
            </w:r>
            <w:r>
              <w:t>within the next thre</w:t>
            </w:r>
            <w:r w:rsidRPr="001823B6">
              <w:t>e</w:t>
            </w:r>
            <w:r w:rsidRPr="00000B16">
              <w:t xml:space="preserve"> </w:t>
            </w:r>
            <w:r w:rsidRPr="001823B6">
              <w:t>years</w:t>
            </w:r>
            <w:r>
              <w:t xml:space="preserve"> </w:t>
            </w:r>
            <w:r w:rsidRPr="001823B6">
              <w:t>or through each major phase of the proposed development</w:t>
            </w:r>
          </w:p>
          <w:p w:rsidR="00225952" w:rsidRDefault="00225952" w:rsidP="00AD2D7A">
            <w:pPr>
              <w:pStyle w:val="BulletA"/>
              <w:numPr>
                <w:ilvl w:val="0"/>
                <w:numId w:val="128"/>
              </w:numPr>
            </w:pPr>
            <w:r w:rsidRPr="001823B6">
              <w:t>Identification of</w:t>
            </w:r>
            <w:r>
              <w:t xml:space="preserve"> plann</w:t>
            </w:r>
            <w:r w:rsidRPr="001823B6">
              <w:t>ed improvements that are reported in the MPO long-range transportation plan</w:t>
            </w:r>
            <w:r>
              <w:t xml:space="preserve"> </w:t>
            </w:r>
          </w:p>
          <w:p w:rsidR="00225952" w:rsidRDefault="00225952" w:rsidP="00AD2D7A">
            <w:pPr>
              <w:pStyle w:val="BulletA"/>
              <w:numPr>
                <w:ilvl w:val="0"/>
                <w:numId w:val="128"/>
              </w:numPr>
            </w:pPr>
            <w:r w:rsidRPr="00000B16">
              <w:t>Identification and review of multimodal informati</w:t>
            </w:r>
            <w:r w:rsidRPr="001823B6">
              <w:t>o</w:t>
            </w:r>
            <w:r w:rsidRPr="00000B16">
              <w:t>n, data, and considerations with appropriate agencies</w:t>
            </w:r>
          </w:p>
        </w:tc>
      </w:tr>
      <w:tr w:rsidR="00225952" w:rsidRPr="00380CF5">
        <w:tc>
          <w:tcPr>
            <w:tcW w:w="2455" w:type="dxa"/>
          </w:tcPr>
          <w:p w:rsidR="00225952" w:rsidRDefault="00225952" w:rsidP="00225952">
            <w:pPr>
              <w:pStyle w:val="Heading4"/>
            </w:pPr>
            <w:r w:rsidRPr="001823B6">
              <w:lastRenderedPageBreak/>
              <w:t xml:space="preserve">Data Considerations for Future Transit Service </w:t>
            </w:r>
          </w:p>
          <w:p w:rsidR="00225952" w:rsidRDefault="00225952" w:rsidP="00225952"/>
        </w:tc>
        <w:tc>
          <w:tcPr>
            <w:tcW w:w="7920" w:type="dxa"/>
            <w:gridSpan w:val="2"/>
          </w:tcPr>
          <w:p w:rsidR="00225952" w:rsidRDefault="00225952" w:rsidP="00225952">
            <w:pPr>
              <w:pStyle w:val="ListParagraph"/>
              <w:ind w:left="0"/>
              <w:rPr>
                <w:szCs w:val="23"/>
              </w:rPr>
            </w:pPr>
            <w:r w:rsidRPr="001823B6">
              <w:rPr>
                <w:szCs w:val="23"/>
              </w:rPr>
              <w:t xml:space="preserve">When considering potential transit services, the density, diversity, and distance factors associated with a proposed development should all be considered. Specifically, transit needs should be assessed in the context of the types of housing, mixture of land uses, density and intensity of development, and walking distance to transit stops. </w:t>
            </w:r>
          </w:p>
          <w:p w:rsidR="00225952" w:rsidRDefault="00225952" w:rsidP="00225952">
            <w:pPr>
              <w:pStyle w:val="ListParagraph"/>
              <w:ind w:left="0"/>
              <w:rPr>
                <w:szCs w:val="23"/>
              </w:rPr>
            </w:pPr>
            <w:r w:rsidRPr="001823B6">
              <w:rPr>
                <w:szCs w:val="23"/>
              </w:rPr>
              <w:t xml:space="preserve">As the need for </w:t>
            </w:r>
            <w:r>
              <w:rPr>
                <w:szCs w:val="23"/>
              </w:rPr>
              <w:t>transit</w:t>
            </w:r>
            <w:r w:rsidRPr="001823B6">
              <w:rPr>
                <w:szCs w:val="23"/>
              </w:rPr>
              <w:t xml:space="preserve"> services is reviewed, the focus of the analysis should extend outward from development projects and activity nodes to consider the potential for modifying existing or committed fixed-route bus service</w:t>
            </w:r>
            <w:r>
              <w:rPr>
                <w:szCs w:val="23"/>
              </w:rPr>
              <w:t>,</w:t>
            </w:r>
            <w:r w:rsidRPr="001823B6">
              <w:rPr>
                <w:szCs w:val="23"/>
              </w:rPr>
              <w:t xml:space="preserve"> circulator</w:t>
            </w:r>
            <w:r>
              <w:rPr>
                <w:szCs w:val="23"/>
              </w:rPr>
              <w:t xml:space="preserve">, </w:t>
            </w:r>
            <w:r w:rsidRPr="001823B6">
              <w:rPr>
                <w:szCs w:val="23"/>
              </w:rPr>
              <w:t xml:space="preserve"> or feeder service to premium transit. </w:t>
            </w:r>
          </w:p>
          <w:p w:rsidR="00225952" w:rsidRDefault="00225952" w:rsidP="00225952">
            <w:pPr>
              <w:pStyle w:val="ListParagraph"/>
              <w:ind w:left="0"/>
              <w:rPr>
                <w:szCs w:val="23"/>
              </w:rPr>
            </w:pPr>
            <w:r w:rsidRPr="001823B6">
              <w:rPr>
                <w:szCs w:val="23"/>
              </w:rPr>
              <w:t xml:space="preserve">The </w:t>
            </w:r>
            <w:r w:rsidRPr="001C1348">
              <w:rPr>
                <w:szCs w:val="23"/>
              </w:rPr>
              <w:t xml:space="preserve">study area should not be restricted in terms of walking distance; rather the </w:t>
            </w:r>
            <w:r>
              <w:rPr>
                <w:szCs w:val="23"/>
              </w:rPr>
              <w:t xml:space="preserve">reviewer </w:t>
            </w:r>
            <w:r w:rsidRPr="001C1348">
              <w:rPr>
                <w:szCs w:val="23"/>
              </w:rPr>
              <w:t>should consider</w:t>
            </w:r>
            <w:r>
              <w:rPr>
                <w:szCs w:val="23"/>
              </w:rPr>
              <w:t>,</w:t>
            </w:r>
            <w:r w:rsidRPr="001C1348">
              <w:rPr>
                <w:szCs w:val="23"/>
              </w:rPr>
              <w:t xml:space="preserve"> in consultation with the transit provider</w:t>
            </w:r>
            <w:r>
              <w:rPr>
                <w:szCs w:val="23"/>
              </w:rPr>
              <w:t xml:space="preserve">, </w:t>
            </w:r>
            <w:r w:rsidRPr="001C1348">
              <w:rPr>
                <w:szCs w:val="23"/>
              </w:rPr>
              <w:t xml:space="preserve">whether it is desirable to extend service a modest distance to serve new development. </w:t>
            </w:r>
          </w:p>
          <w:p w:rsidR="00225952" w:rsidRDefault="00225952" w:rsidP="00225952">
            <w:pPr>
              <w:pStyle w:val="Heading4"/>
              <w:spacing w:after="180"/>
            </w:pPr>
            <w:r w:rsidRPr="00000B16">
              <w:rPr>
                <w:sz w:val="23"/>
                <w:szCs w:val="23"/>
              </w:rPr>
              <w:t>The transit development plan (TDP) should be reviewed and the transit agency serving the area should be contacted to determine the current and committed service in the area.</w:t>
            </w:r>
          </w:p>
        </w:tc>
      </w:tr>
      <w:tr w:rsidR="00225952" w:rsidRPr="00380CF5" w:rsidTr="00225952">
        <w:tc>
          <w:tcPr>
            <w:tcW w:w="10375" w:type="dxa"/>
            <w:gridSpan w:val="3"/>
          </w:tcPr>
          <w:p w:rsidR="00225952" w:rsidRDefault="006B7F55" w:rsidP="00225952">
            <w:pPr>
              <w:pStyle w:val="Heading3"/>
            </w:pPr>
            <w:bookmarkStart w:id="52" w:name="_Toc264274074"/>
            <w:r>
              <w:t>2.3</w:t>
            </w:r>
            <w:r w:rsidR="00225952">
              <w:t xml:space="preserve">.4  </w:t>
            </w:r>
            <w:r w:rsidR="00225952" w:rsidRPr="006135BA">
              <w:t xml:space="preserve">Traffic </w:t>
            </w:r>
            <w:r w:rsidR="00225952" w:rsidRPr="00A70F9D">
              <w:t>Counts</w:t>
            </w:r>
            <w:r w:rsidR="00225952" w:rsidRPr="006135BA">
              <w:t xml:space="preserve"> </w:t>
            </w:r>
            <w:r w:rsidR="00225952" w:rsidRPr="00A70F9D">
              <w:t>and</w:t>
            </w:r>
            <w:r w:rsidR="00225952" w:rsidRPr="006135BA">
              <w:t xml:space="preserve"> other Tr</w:t>
            </w:r>
            <w:r w:rsidR="00225952">
              <w:t>affic</w:t>
            </w:r>
            <w:r w:rsidR="00225952" w:rsidRPr="006135BA">
              <w:t xml:space="preserve"> Data</w:t>
            </w:r>
            <w:bookmarkEnd w:id="52"/>
          </w:p>
        </w:tc>
      </w:tr>
      <w:tr w:rsidR="00225952" w:rsidRPr="00380CF5">
        <w:tc>
          <w:tcPr>
            <w:tcW w:w="2455" w:type="dxa"/>
          </w:tcPr>
          <w:p w:rsidR="00225952" w:rsidRDefault="00225952" w:rsidP="00225952">
            <w:pPr>
              <w:pStyle w:val="SidebarSentence"/>
              <w:rPr>
                <w:highlight w:val="red"/>
              </w:rPr>
            </w:pPr>
          </w:p>
          <w:p w:rsidR="00225952" w:rsidRDefault="00225952" w:rsidP="00225952">
            <w:pPr>
              <w:pStyle w:val="SidebarSentence"/>
              <w:rPr>
                <w:highlight w:val="red"/>
              </w:rPr>
            </w:pPr>
          </w:p>
        </w:tc>
        <w:tc>
          <w:tcPr>
            <w:tcW w:w="7920" w:type="dxa"/>
            <w:gridSpan w:val="2"/>
          </w:tcPr>
          <w:p w:rsidR="00225952" w:rsidRDefault="00225952">
            <w:r>
              <w:t>Existing transportation demand data will include current and historical traffic volumes, turning movement counts, traffic characteristics such as peaking and directional factors, ridership data, bicycle and pedestrian activity, even if it is simply good observational reports of cycling and pedestrian activity. Existing data that will support trip generation analysis such as origin and destination data or market analysis may also be required. All traffic analysis summaries and reports should clearly identify the specific year of analysis.</w:t>
            </w:r>
          </w:p>
        </w:tc>
      </w:tr>
      <w:tr w:rsidR="00225952" w:rsidRPr="00380CF5" w:rsidTr="00225952">
        <w:tc>
          <w:tcPr>
            <w:tcW w:w="2455" w:type="dxa"/>
          </w:tcPr>
          <w:p w:rsidR="00225952" w:rsidRDefault="00225952" w:rsidP="00225952">
            <w:pPr>
              <w:pStyle w:val="SidebarSentence"/>
              <w:rPr>
                <w:highlight w:val="red"/>
              </w:rPr>
            </w:pPr>
          </w:p>
        </w:tc>
        <w:tc>
          <w:tcPr>
            <w:tcW w:w="3960" w:type="dxa"/>
            <w:vAlign w:val="center"/>
          </w:tcPr>
          <w:p w:rsidR="00225952" w:rsidRDefault="00225952" w:rsidP="005C7350">
            <w:pPr>
              <w:spacing w:after="0"/>
              <w:jc w:val="right"/>
            </w:pPr>
            <w:r>
              <w:rPr>
                <w:b/>
                <w:noProof/>
              </w:rPr>
              <w:drawing>
                <wp:inline distT="0" distB="0" distL="0" distR="0">
                  <wp:extent cx="1885907" cy="1920240"/>
                  <wp:effectExtent l="19050" t="0" r="43" b="0"/>
                  <wp:docPr id="46" name="Picture 45" descr="2-2-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bmp"/>
                          <pic:cNvPicPr/>
                        </pic:nvPicPr>
                        <pic:blipFill>
                          <a:blip r:embed="rId53" cstate="print"/>
                          <a:stretch>
                            <a:fillRect/>
                          </a:stretch>
                        </pic:blipFill>
                        <pic:spPr>
                          <a:xfrm>
                            <a:off x="0" y="0"/>
                            <a:ext cx="1885907" cy="1920240"/>
                          </a:xfrm>
                          <a:prstGeom prst="rect">
                            <a:avLst/>
                          </a:prstGeom>
                        </pic:spPr>
                      </pic:pic>
                    </a:graphicData>
                  </a:graphic>
                </wp:inline>
              </w:drawing>
            </w:r>
            <w:r>
              <w:rPr>
                <w:b/>
              </w:rPr>
              <w:t xml:space="preserve">  </w:t>
            </w:r>
          </w:p>
        </w:tc>
        <w:tc>
          <w:tcPr>
            <w:tcW w:w="3960" w:type="dxa"/>
            <w:vAlign w:val="bottom"/>
          </w:tcPr>
          <w:p w:rsidR="00225952" w:rsidRDefault="00225952" w:rsidP="00225952">
            <w:pPr>
              <w:rPr>
                <w:i/>
                <w:sz w:val="24"/>
              </w:rPr>
            </w:pPr>
          </w:p>
          <w:p w:rsidR="00225952" w:rsidRDefault="00225952" w:rsidP="00225952">
            <w:pPr>
              <w:rPr>
                <w:i/>
                <w:sz w:val="24"/>
              </w:rPr>
            </w:pPr>
          </w:p>
          <w:p w:rsidR="00225952" w:rsidRDefault="00225952" w:rsidP="00225952">
            <w:pPr>
              <w:rPr>
                <w:i/>
                <w:sz w:val="24"/>
              </w:rPr>
            </w:pPr>
            <w:r w:rsidRPr="00EF1B86">
              <w:rPr>
                <w:b/>
              </w:rPr>
              <w:t>Example of Existing Intersection Counts</w:t>
            </w:r>
          </w:p>
          <w:p w:rsidR="00225952" w:rsidRDefault="00225952" w:rsidP="00225952">
            <w:pPr>
              <w:rPr>
                <w:i/>
                <w:sz w:val="24"/>
              </w:rPr>
            </w:pPr>
            <w:r w:rsidRPr="009C3B7B">
              <w:rPr>
                <w:i/>
                <w:sz w:val="24"/>
              </w:rPr>
              <w:t>Numbers in parenthesis are PM Peak and Without are AM Peak</w:t>
            </w:r>
          </w:p>
          <w:p w:rsidR="00225952" w:rsidRPr="00F03765" w:rsidRDefault="00225952" w:rsidP="00225952"/>
        </w:tc>
      </w:tr>
      <w:tr w:rsidR="00225952" w:rsidRPr="00380CF5">
        <w:tc>
          <w:tcPr>
            <w:tcW w:w="2455" w:type="dxa"/>
          </w:tcPr>
          <w:p w:rsidR="00225952" w:rsidRDefault="00225952" w:rsidP="00225952">
            <w:pPr>
              <w:pStyle w:val="HeadSide2"/>
              <w:rPr>
                <w:highlight w:val="red"/>
              </w:rPr>
            </w:pPr>
            <w:r w:rsidRPr="00F03765">
              <w:t xml:space="preserve">Where </w:t>
            </w:r>
            <w:r>
              <w:t xml:space="preserve">FDOT or local government </w:t>
            </w:r>
            <w:r w:rsidRPr="00F03765">
              <w:t>data is not available, collec</w:t>
            </w:r>
            <w:r>
              <w:t>t</w:t>
            </w:r>
            <w:r w:rsidRPr="00F03765">
              <w:t xml:space="preserve"> data in accordance with </w:t>
            </w:r>
            <w:r>
              <w:t xml:space="preserve">FDOT </w:t>
            </w:r>
            <w:r w:rsidRPr="00F03765">
              <w:t>procedures</w:t>
            </w:r>
          </w:p>
        </w:tc>
        <w:tc>
          <w:tcPr>
            <w:tcW w:w="7920" w:type="dxa"/>
            <w:gridSpan w:val="2"/>
          </w:tcPr>
          <w:p w:rsidR="00225952" w:rsidRPr="006135BA" w:rsidDel="00A70F9D" w:rsidRDefault="00225952" w:rsidP="00225952">
            <w:r w:rsidRPr="00F03765">
              <w:t xml:space="preserve">Where </w:t>
            </w:r>
            <w:r>
              <w:t>FDOT</w:t>
            </w:r>
            <w:r w:rsidRPr="00F03765">
              <w:t xml:space="preserve"> data is not available, </w:t>
            </w:r>
            <w:r>
              <w:t xml:space="preserve">(this is usually for turning and freeway ramp counts),  </w:t>
            </w:r>
            <w:r w:rsidRPr="00F03765">
              <w:t xml:space="preserve">the applicant is responsible for collecting data in accordance with </w:t>
            </w:r>
            <w:r>
              <w:t>FDOT</w:t>
            </w:r>
            <w:r w:rsidRPr="00F03765">
              <w:t xml:space="preserve"> </w:t>
            </w:r>
            <w:r>
              <w:t xml:space="preserve">guidance and </w:t>
            </w:r>
            <w:r w:rsidRPr="00F03765">
              <w:t xml:space="preserve">procedures and consistent with agreed </w:t>
            </w:r>
            <w:r>
              <w:t xml:space="preserve">upon </w:t>
            </w:r>
            <w:r w:rsidRPr="00F03765">
              <w:t>methodologies</w:t>
            </w:r>
            <w:r>
              <w:t xml:space="preserve">. </w:t>
            </w:r>
            <w:r w:rsidRPr="00F03765">
              <w:t xml:space="preserve">Data </w:t>
            </w:r>
            <w:r>
              <w:t xml:space="preserve">from </w:t>
            </w:r>
            <w:r w:rsidRPr="00F03765">
              <w:t>years where significant transportation network changes occurred or major phases of related developments were opened to traffic</w:t>
            </w:r>
            <w:r>
              <w:t xml:space="preserve"> should be noted and possibly excluded if it</w:t>
            </w:r>
            <w:r w:rsidRPr="00F03765">
              <w:t xml:space="preserve"> could </w:t>
            </w:r>
            <w:r>
              <w:t>skew</w:t>
            </w:r>
            <w:r w:rsidRPr="00F03765">
              <w:t xml:space="preserve"> a trend analysis.</w:t>
            </w:r>
          </w:p>
        </w:tc>
      </w:tr>
      <w:tr w:rsidR="00225952" w:rsidRPr="00380CF5">
        <w:tc>
          <w:tcPr>
            <w:tcW w:w="2455" w:type="dxa"/>
          </w:tcPr>
          <w:p w:rsidR="00225952" w:rsidRDefault="00225952" w:rsidP="00225952">
            <w:pPr>
              <w:pStyle w:val="SidebarSentence"/>
            </w:pPr>
          </w:p>
          <w:p w:rsidR="00225952" w:rsidRDefault="00225952" w:rsidP="00225952">
            <w:pPr>
              <w:pStyle w:val="SidebarSentence"/>
              <w:rPr>
                <w:highlight w:val="red"/>
              </w:rPr>
            </w:pPr>
          </w:p>
          <w:p w:rsidR="007C5CDB" w:rsidRDefault="007C5CDB" w:rsidP="00225952">
            <w:pPr>
              <w:pStyle w:val="SidebarSentence"/>
              <w:rPr>
                <w:highlight w:val="red"/>
              </w:rPr>
            </w:pPr>
          </w:p>
          <w:p w:rsidR="007C5CDB" w:rsidRDefault="007C5CDB" w:rsidP="00225952">
            <w:pPr>
              <w:pStyle w:val="SidebarSentence"/>
              <w:rPr>
                <w:highlight w:val="red"/>
              </w:rPr>
            </w:pPr>
          </w:p>
          <w:p w:rsidR="007C5CDB" w:rsidRDefault="007C5CDB" w:rsidP="00225952">
            <w:pPr>
              <w:pStyle w:val="SidebarSentence"/>
              <w:rPr>
                <w:highlight w:val="red"/>
              </w:rPr>
            </w:pPr>
          </w:p>
          <w:p w:rsidR="007C5CDB" w:rsidRDefault="007C5CDB" w:rsidP="00225952">
            <w:pPr>
              <w:pStyle w:val="SidebarSentence"/>
              <w:rPr>
                <w:highlight w:val="red"/>
              </w:rPr>
            </w:pPr>
          </w:p>
          <w:p w:rsidR="007C5CDB" w:rsidRDefault="007C5CDB" w:rsidP="00225952">
            <w:pPr>
              <w:pStyle w:val="SidebarSentence"/>
              <w:rPr>
                <w:highlight w:val="red"/>
              </w:rPr>
            </w:pPr>
          </w:p>
          <w:p w:rsidR="007C5CDB" w:rsidRDefault="007C5CDB" w:rsidP="00225952">
            <w:pPr>
              <w:pStyle w:val="SidebarSentence"/>
              <w:rPr>
                <w:highlight w:val="red"/>
              </w:rPr>
            </w:pPr>
          </w:p>
          <w:p w:rsidR="007C5CDB" w:rsidRDefault="007C5CDB" w:rsidP="00225952">
            <w:pPr>
              <w:pStyle w:val="SidebarSentence"/>
              <w:rPr>
                <w:highlight w:val="red"/>
              </w:rPr>
            </w:pPr>
          </w:p>
          <w:p w:rsidR="007C5CDB" w:rsidRDefault="007C5CDB" w:rsidP="00225952">
            <w:pPr>
              <w:pStyle w:val="SidebarSentence"/>
              <w:rPr>
                <w:highlight w:val="red"/>
              </w:rPr>
            </w:pPr>
          </w:p>
          <w:p w:rsidR="00225952" w:rsidRDefault="007C5CDB" w:rsidP="007C5CDB">
            <w:pPr>
              <w:pStyle w:val="SidebarSentence"/>
              <w:spacing w:after="0"/>
              <w:jc w:val="center"/>
              <w:rPr>
                <w:highlight w:val="red"/>
              </w:rPr>
            </w:pPr>
            <w:r w:rsidRPr="007C5CDB">
              <w:rPr>
                <w:noProof/>
              </w:rPr>
              <w:drawing>
                <wp:inline distT="0" distB="0" distL="0" distR="0">
                  <wp:extent cx="1391920" cy="543560"/>
                  <wp:effectExtent l="19050" t="0" r="0" b="0"/>
                  <wp:docPr id="542" name="Picture 31" descr="button_PDFlink.png">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button_PDFlink.png"/>
                          <pic:cNvPicPr>
                            <a:picLocks noChangeAspect="1" noChangeArrowheads="1"/>
                          </pic:cNvPicPr>
                        </pic:nvPicPr>
                        <pic:blipFill>
                          <a:blip r:embed="rId15" cstate="print"/>
                          <a:srcRect/>
                          <a:stretch>
                            <a:fillRect/>
                          </a:stretch>
                        </pic:blipFill>
                        <pic:spPr bwMode="auto">
                          <a:xfrm>
                            <a:off x="0" y="0"/>
                            <a:ext cx="1391920" cy="543560"/>
                          </a:xfrm>
                          <a:prstGeom prst="rect">
                            <a:avLst/>
                          </a:prstGeom>
                          <a:noFill/>
                          <a:ln w="9525">
                            <a:noFill/>
                            <a:miter lim="800000"/>
                            <a:headEnd/>
                            <a:tailEnd/>
                          </a:ln>
                        </pic:spPr>
                      </pic:pic>
                    </a:graphicData>
                  </a:graphic>
                </wp:inline>
              </w:drawing>
            </w:r>
          </w:p>
          <w:p w:rsidR="007C5CDB" w:rsidRDefault="007C5CDB" w:rsidP="00225952">
            <w:pPr>
              <w:pStyle w:val="SidebarSentence"/>
              <w:jc w:val="center"/>
              <w:rPr>
                <w:highlight w:val="red"/>
              </w:rPr>
            </w:pPr>
            <w:r>
              <w:t>Q/LOS Handbook</w:t>
            </w:r>
          </w:p>
        </w:tc>
        <w:tc>
          <w:tcPr>
            <w:tcW w:w="7920" w:type="dxa"/>
            <w:gridSpan w:val="2"/>
          </w:tcPr>
          <w:p w:rsidR="00225952" w:rsidRDefault="00225952" w:rsidP="00225952">
            <w:r w:rsidRPr="00C8177F">
              <w:t>For a planning analysis</w:t>
            </w:r>
            <w:r>
              <w:t xml:space="preserve"> of existing conditions</w:t>
            </w:r>
            <w:r w:rsidRPr="00C8177F">
              <w:t>, FDOT recommends calculating roadway</w:t>
            </w:r>
            <w:r>
              <w:t xml:space="preserve"> traffic volumes and </w:t>
            </w:r>
            <w:r w:rsidRPr="00C8177F">
              <w:t>specific</w:t>
            </w:r>
            <w:r>
              <w:t xml:space="preserve"> traffic </w:t>
            </w:r>
            <w:r w:rsidRPr="00C8177F">
              <w:t>factors based on 3-day counts</w:t>
            </w:r>
            <w:r>
              <w:t xml:space="preserve">. This would be </w:t>
            </w:r>
            <w:r w:rsidRPr="00C8177F">
              <w:t xml:space="preserve">72-hours </w:t>
            </w:r>
            <w:r>
              <w:t xml:space="preserve">of </w:t>
            </w:r>
            <w:r w:rsidRPr="00C8177F">
              <w:t>consecutive count</w:t>
            </w:r>
            <w:r>
              <w:t>s</w:t>
            </w:r>
            <w:r w:rsidRPr="00C8177F">
              <w:t xml:space="preserve"> taken within the time frame of Monday a</w:t>
            </w:r>
            <w:r>
              <w:t>fternoon through Friday morning</w:t>
            </w:r>
            <w:r w:rsidRPr="00C8177F">
              <w:t xml:space="preserve"> in urbanized, transitioning and urban areas</w:t>
            </w:r>
            <w:r>
              <w:t xml:space="preserve">. For rural areas </w:t>
            </w:r>
            <w:r w:rsidRPr="00C8177F">
              <w:t xml:space="preserve">7-day counts </w:t>
            </w:r>
            <w:r>
              <w:t>are usually required. Weekend counts may be necessary for some developments (sport/recreational i.e. theme parks, stadiums) and discount retail commercial (i.e. Wal-Mart/Target, Home Depot/Lowes big box stores).</w:t>
            </w:r>
          </w:p>
          <w:p w:rsidR="00225952" w:rsidRDefault="00225952" w:rsidP="00225952">
            <w:r w:rsidRPr="00F03765">
              <w:t xml:space="preserve">For DRIs and other larger developments, the last five years of historical data should be collected (if available). </w:t>
            </w:r>
            <w:r>
              <w:t>FDOT</w:t>
            </w:r>
            <w:r w:rsidRPr="00F03765">
              <w:t xml:space="preserve">’s existing Annual Average Daily Traffic (AADT) counts, classification counts, and Automated Telemetry Recorder (ATR) sites </w:t>
            </w:r>
            <w:r>
              <w:t xml:space="preserve">(sometimes called Permanent Count Stations) </w:t>
            </w:r>
            <w:r w:rsidRPr="00F03765">
              <w:t xml:space="preserve">should be the prime source for historical traffic data. </w:t>
            </w:r>
          </w:p>
          <w:p w:rsidR="00225952" w:rsidRPr="005862AE" w:rsidRDefault="00225952" w:rsidP="00225952">
            <w:r w:rsidRPr="00F03765">
              <w:t xml:space="preserve">This data is stored in the traffic characteristics inventory (TCI) and roadway characteristics inventory (RCI) databases maintained by </w:t>
            </w:r>
            <w:r>
              <w:t>FDOT</w:t>
            </w:r>
            <w:r w:rsidRPr="00F03765">
              <w:t xml:space="preserve">. </w:t>
            </w:r>
            <w:r>
              <w:t xml:space="preserve">RCI provides a graphical interface, available in CD or DVD format, to access traffic data collected for over 7,500 traffic count locations. </w:t>
            </w:r>
          </w:p>
        </w:tc>
      </w:tr>
      <w:tr w:rsidR="00225952" w:rsidRPr="00380CF5">
        <w:tc>
          <w:tcPr>
            <w:tcW w:w="2455" w:type="dxa"/>
          </w:tcPr>
          <w:p w:rsidR="00225952" w:rsidRDefault="00225952" w:rsidP="007C5CDB">
            <w:pPr>
              <w:pStyle w:val="SidebarSentence"/>
              <w:spacing w:after="0"/>
              <w:rPr>
                <w:noProof/>
              </w:rPr>
            </w:pPr>
            <w:r>
              <w:rPr>
                <w:bCs w:val="0"/>
                <w:noProof/>
                <w:color w:val="auto"/>
                <w:sz w:val="23"/>
              </w:rPr>
              <w:drawing>
                <wp:inline distT="0" distB="0" distL="0" distR="0">
                  <wp:extent cx="1391920" cy="543560"/>
                  <wp:effectExtent l="19050" t="0" r="0" b="0"/>
                  <wp:docPr id="118" name="Picture 31" descr="button_PDFlink.png">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button_PDFlink.png"/>
                          <pic:cNvPicPr>
                            <a:picLocks noChangeAspect="1" noChangeArrowheads="1"/>
                          </pic:cNvPicPr>
                        </pic:nvPicPr>
                        <pic:blipFill>
                          <a:blip r:embed="rId15" cstate="print"/>
                          <a:srcRect/>
                          <a:stretch>
                            <a:fillRect/>
                          </a:stretch>
                        </pic:blipFill>
                        <pic:spPr bwMode="auto">
                          <a:xfrm>
                            <a:off x="0" y="0"/>
                            <a:ext cx="1391920" cy="543560"/>
                          </a:xfrm>
                          <a:prstGeom prst="rect">
                            <a:avLst/>
                          </a:prstGeom>
                          <a:noFill/>
                          <a:ln w="9525">
                            <a:noFill/>
                            <a:miter lim="800000"/>
                            <a:headEnd/>
                            <a:tailEnd/>
                          </a:ln>
                        </pic:spPr>
                      </pic:pic>
                    </a:graphicData>
                  </a:graphic>
                </wp:inline>
              </w:drawing>
            </w:r>
          </w:p>
          <w:p w:rsidR="00225952" w:rsidRPr="008A22C3" w:rsidRDefault="00225952" w:rsidP="00225952">
            <w:pPr>
              <w:pStyle w:val="SidebarSentence"/>
              <w:jc w:val="center"/>
              <w:rPr>
                <w:highlight w:val="red"/>
              </w:rPr>
            </w:pPr>
            <w:r w:rsidRPr="00592EC1">
              <w:t>Project Traffic</w:t>
            </w:r>
            <w:r>
              <w:t xml:space="preserve"> Forecasting Handbook</w:t>
            </w:r>
          </w:p>
        </w:tc>
        <w:tc>
          <w:tcPr>
            <w:tcW w:w="7920" w:type="dxa"/>
            <w:gridSpan w:val="2"/>
          </w:tcPr>
          <w:p w:rsidR="00225952" w:rsidRDefault="00225952" w:rsidP="00225952">
            <w:r>
              <w:t>The two major sources for guidance are:</w:t>
            </w:r>
          </w:p>
          <w:p w:rsidR="00225952" w:rsidRDefault="00225952" w:rsidP="00AD2D7A">
            <w:pPr>
              <w:pStyle w:val="ListParagraph"/>
              <w:numPr>
                <w:ilvl w:val="0"/>
                <w:numId w:val="129"/>
              </w:numPr>
            </w:pPr>
            <w:r w:rsidRPr="005C7350">
              <w:rPr>
                <w:i/>
              </w:rPr>
              <w:t xml:space="preserve">FDOT Q/LOS Handbook, </w:t>
            </w:r>
            <w:hyperlink r:id="rId54" w:history="1">
              <w:r w:rsidRPr="00803E59">
                <w:rPr>
                  <w:rStyle w:val="Hyperlink"/>
                </w:rPr>
                <w:t>http://www.dot.state.fl.us/planning/systems/sm/los</w:t>
              </w:r>
            </w:hyperlink>
          </w:p>
          <w:p w:rsidR="00225952" w:rsidDel="003D15CA" w:rsidRDefault="00225952" w:rsidP="00AD2D7A">
            <w:pPr>
              <w:pStyle w:val="ListParagraph"/>
              <w:numPr>
                <w:ilvl w:val="0"/>
                <w:numId w:val="129"/>
              </w:numPr>
            </w:pPr>
            <w:r w:rsidRPr="00F03765">
              <w:t xml:space="preserve"> </w:t>
            </w:r>
            <w:hyperlink r:id="rId55" w:history="1">
              <w:r w:rsidRPr="005C7350">
                <w:rPr>
                  <w:rStyle w:val="Hyperlink"/>
                  <w:i/>
                </w:rPr>
                <w:t>FDOT Project Traffic Forecasting Handbook</w:t>
              </w:r>
            </w:hyperlink>
          </w:p>
        </w:tc>
      </w:tr>
      <w:tr w:rsidR="00225952" w:rsidRPr="00380CF5" w:rsidTr="00225952">
        <w:tc>
          <w:tcPr>
            <w:tcW w:w="10375" w:type="dxa"/>
            <w:gridSpan w:val="3"/>
          </w:tcPr>
          <w:p w:rsidR="00225952" w:rsidRDefault="006B7F55" w:rsidP="00225952">
            <w:pPr>
              <w:pStyle w:val="Heading3"/>
            </w:pPr>
            <w:bookmarkStart w:id="53" w:name="_Toc264274075"/>
            <w:r>
              <w:lastRenderedPageBreak/>
              <w:t>2.3</w:t>
            </w:r>
            <w:r w:rsidR="00225952">
              <w:t xml:space="preserve">.5  </w:t>
            </w:r>
            <w:r w:rsidR="00225952" w:rsidRPr="006135BA">
              <w:t>Land Use and Demographic Data</w:t>
            </w:r>
            <w:bookmarkEnd w:id="53"/>
          </w:p>
        </w:tc>
      </w:tr>
      <w:tr w:rsidR="00225952" w:rsidRPr="00380CF5">
        <w:tc>
          <w:tcPr>
            <w:tcW w:w="2455" w:type="dxa"/>
          </w:tcPr>
          <w:p w:rsidR="00A44901" w:rsidRDefault="00A44901" w:rsidP="00A44901">
            <w:pPr>
              <w:pStyle w:val="HeadSide20"/>
            </w:pPr>
          </w:p>
          <w:p w:rsidR="00A44901" w:rsidRDefault="00A44901" w:rsidP="00A44901">
            <w:pPr>
              <w:pStyle w:val="HeadSide20"/>
            </w:pPr>
          </w:p>
          <w:p w:rsidR="00A44901" w:rsidRDefault="00A44901" w:rsidP="00A44901">
            <w:pPr>
              <w:pStyle w:val="HeadSide20"/>
            </w:pPr>
            <w:r w:rsidRPr="00DD15F6">
              <w:t>See Exhibit 13 for guidance on converting employment data into business square footage.</w:t>
            </w:r>
          </w:p>
          <w:p w:rsidR="00225952" w:rsidRPr="006135BA" w:rsidRDefault="00225952" w:rsidP="00225952">
            <w:pPr>
              <w:pStyle w:val="Heading4"/>
            </w:pPr>
          </w:p>
        </w:tc>
        <w:tc>
          <w:tcPr>
            <w:tcW w:w="7920" w:type="dxa"/>
            <w:gridSpan w:val="2"/>
          </w:tcPr>
          <w:p w:rsidR="00A44901" w:rsidRDefault="00225952" w:rsidP="00A44901">
            <w:pPr>
              <w:spacing w:after="120"/>
              <w:rPr>
                <w:spacing w:val="-4"/>
              </w:rPr>
            </w:pPr>
            <w:r>
              <w:t xml:space="preserve">Land Use and Demographic Data will include future land use classification, intensity, population, employment, comprehensive plan data and zoning requirements. If a Cube/FSUTMS model will be used in the analysis, the traffic analysis zones (TAZ) representing the location of the proposed development should be identified. The socioeconomic data contained in the ZDATA files of the </w:t>
            </w:r>
            <w:r w:rsidRPr="00DD15F6">
              <w:rPr>
                <w:spacing w:val="-4"/>
              </w:rPr>
              <w:t xml:space="preserve">model should be verified for accuracy and reasonableness, within the study area. </w:t>
            </w:r>
          </w:p>
          <w:p w:rsidR="00225952" w:rsidRDefault="00225952" w:rsidP="00A44901">
            <w:pPr>
              <w:spacing w:after="120"/>
            </w:pPr>
            <w:r>
              <w:t xml:space="preserve">Other committed developments should also be identified including related vested developments within the preliminary area of influence, adopted amendments to the comprehensive plan or other development agreements. The applicant is responsible for collecting this information within the study area as directed by review agencies. The extent of data required for other committed development should be agreed to during the methodology meeting. The applicant is also responsible for verifying all of </w:t>
            </w:r>
            <w:r w:rsidRPr="00F00F2F">
              <w:t>the data collected.</w:t>
            </w:r>
          </w:p>
        </w:tc>
      </w:tr>
      <w:tr w:rsidR="00225952" w:rsidRPr="00380CF5">
        <w:tc>
          <w:tcPr>
            <w:tcW w:w="2455" w:type="dxa"/>
          </w:tcPr>
          <w:p w:rsidR="00225952" w:rsidRDefault="00225952" w:rsidP="00225952">
            <w:pPr>
              <w:pStyle w:val="Heading4"/>
              <w:spacing w:after="120"/>
            </w:pPr>
            <w:r w:rsidRPr="006135BA">
              <w:t>Model Data Considerations</w:t>
            </w:r>
          </w:p>
          <w:p w:rsidR="00225952" w:rsidRDefault="00225952" w:rsidP="00225952">
            <w:pPr>
              <w:pStyle w:val="HeadSide2"/>
            </w:pPr>
            <w:r>
              <w:t xml:space="preserve">It is </w:t>
            </w:r>
            <w:r w:rsidRPr="005D505B">
              <w:t>important</w:t>
            </w:r>
            <w:r>
              <w:t xml:space="preserve"> to understand the model application and base data</w:t>
            </w:r>
          </w:p>
        </w:tc>
        <w:tc>
          <w:tcPr>
            <w:tcW w:w="7920" w:type="dxa"/>
            <w:gridSpan w:val="2"/>
          </w:tcPr>
          <w:p w:rsidR="00225952" w:rsidRDefault="00225952" w:rsidP="007C5CDB">
            <w:pPr>
              <w:spacing w:after="120"/>
            </w:pPr>
            <w:r w:rsidRPr="00F00F2F">
              <w:t xml:space="preserve">When considering </w:t>
            </w:r>
            <w:r>
              <w:t xml:space="preserve">the </w:t>
            </w:r>
            <w:r w:rsidRPr="00F00F2F">
              <w:t xml:space="preserve">use of </w:t>
            </w:r>
            <w:r>
              <w:t xml:space="preserve">large scale transportation </w:t>
            </w:r>
            <w:r w:rsidRPr="00F00F2F">
              <w:t>model data, it is important to understand the model application and base data. Data obtained from fringe areas of a travel demand model is often subject to greater errors and should be carefully evaluated to ensure its applicability. Comparisons of the model forecasts to ground counts should be used to check how the model is performing in the fringe areas as this is often where issues exist with travel demand models.</w:t>
            </w:r>
            <w:r>
              <w:t xml:space="preserve"> </w:t>
            </w:r>
          </w:p>
        </w:tc>
      </w:tr>
      <w:tr w:rsidR="00225952" w:rsidRPr="00380CF5">
        <w:tc>
          <w:tcPr>
            <w:tcW w:w="2455" w:type="dxa"/>
          </w:tcPr>
          <w:p w:rsidR="00225952" w:rsidRPr="006135BA" w:rsidRDefault="00225952" w:rsidP="00225952">
            <w:pPr>
              <w:pStyle w:val="Heading4"/>
            </w:pPr>
            <w:r w:rsidRPr="006135BA">
              <w:t>Level of Service Analysis</w:t>
            </w:r>
          </w:p>
          <w:p w:rsidR="00225952" w:rsidRPr="006135BA" w:rsidRDefault="00225952" w:rsidP="00225952">
            <w:pPr>
              <w:pStyle w:val="Heading4"/>
            </w:pPr>
          </w:p>
        </w:tc>
        <w:tc>
          <w:tcPr>
            <w:tcW w:w="7920" w:type="dxa"/>
            <w:gridSpan w:val="2"/>
          </w:tcPr>
          <w:p w:rsidR="00225952" w:rsidRDefault="00225952" w:rsidP="007C5CDB">
            <w:pPr>
              <w:spacing w:after="120"/>
            </w:pPr>
            <w:r>
              <w:t xml:space="preserve">FDOT has adopted </w:t>
            </w:r>
            <w:hyperlink r:id="rId56" w:history="1">
              <w:r w:rsidRPr="00051E49">
                <w:rPr>
                  <w:rStyle w:val="Hyperlink"/>
                </w:rPr>
                <w:t>statewide minimum LOS standards (Rule Chapter 14-94)</w:t>
              </w:r>
            </w:hyperlink>
            <w:r>
              <w:t xml:space="preserve"> that apply on the SIS, SIS connectors, FIHS, and TRIP roadways (except in established transportation concurrency exemption areas). All LOS determinations are to be based on methodologies </w:t>
            </w:r>
            <w:r w:rsidRPr="003D03E6">
              <w:t>consistent</w:t>
            </w:r>
            <w:r>
              <w:t xml:space="preserve"> </w:t>
            </w:r>
            <w:r w:rsidRPr="003D03E6">
              <w:t>w</w:t>
            </w:r>
            <w:r>
              <w:t xml:space="preserve">ith the latest </w:t>
            </w:r>
            <w:hyperlink r:id="rId57" w:history="1">
              <w:r w:rsidR="0056380B">
                <w:rPr>
                  <w:rStyle w:val="Hyperlink"/>
                  <w:i/>
                </w:rPr>
                <w:t>Highway Capacity Manual</w:t>
              </w:r>
            </w:hyperlink>
            <w:r>
              <w:t xml:space="preserve"> , the latest </w:t>
            </w:r>
            <w:hyperlink r:id="rId58" w:history="1">
              <w:r w:rsidRPr="000B1CC2">
                <w:rPr>
                  <w:rStyle w:val="Hyperlink"/>
                  <w:i/>
                </w:rPr>
                <w:t>FDOT Quality/Level of Service Handbook</w:t>
              </w:r>
            </w:hyperlink>
            <w:r>
              <w:t xml:space="preserve"> or a methodology determined by FDOT as having comparable reliability.</w:t>
            </w:r>
          </w:p>
          <w:p w:rsidR="00225952" w:rsidRDefault="00225952" w:rsidP="007C5CDB">
            <w:pPr>
              <w:spacing w:after="120"/>
            </w:pPr>
            <w:r>
              <w:t>For existing conditions, Level of Service analysis should be performed along each segment of the roadway system identified in the methodology step within the area of influence. These facilities will include the major roadways, and intersections within the study area. Critical intersections for analysis may be identified based on the functional classification of the roadways or based on the volume of development traffic utilizing the intersection.</w:t>
            </w:r>
          </w:p>
          <w:p w:rsidR="00225952" w:rsidRPr="0073570D" w:rsidRDefault="00225952" w:rsidP="007C5CDB">
            <w:pPr>
              <w:spacing w:after="120"/>
              <w:rPr>
                <w:b/>
              </w:rPr>
            </w:pPr>
            <w:r>
              <w:t xml:space="preserve">The procedures in the latest version of the </w:t>
            </w:r>
            <w:hyperlink r:id="rId59" w:history="1">
              <w:r w:rsidRPr="000B1CC2">
                <w:rPr>
                  <w:rStyle w:val="Hyperlink"/>
                  <w:i/>
                </w:rPr>
                <w:t>FDOT Quality/Level of Service Handbook</w:t>
              </w:r>
            </w:hyperlink>
            <w:r>
              <w:t xml:space="preserve"> should be of sufficient detail for most existing condition analyses. If a freeway interchange may be affected by the proposed development, additional freeway segment, ramp and weave analysis procedures from the latest version of the </w:t>
            </w:r>
            <w:hyperlink r:id="rId60" w:history="1">
              <w:r w:rsidRPr="000B1CC2">
                <w:rPr>
                  <w:rStyle w:val="Hyperlink"/>
                  <w:i/>
                </w:rPr>
                <w:t>FDOT Interchange Handbook</w:t>
              </w:r>
            </w:hyperlink>
            <w:r>
              <w:t xml:space="preserve"> and </w:t>
            </w:r>
            <w:hyperlink r:id="rId61" w:history="1">
              <w:r w:rsidR="0056380B">
                <w:rPr>
                  <w:rStyle w:val="Hyperlink"/>
                  <w:i/>
                </w:rPr>
                <w:t>Highway Capacity Manual</w:t>
              </w:r>
            </w:hyperlink>
            <w:r>
              <w:rPr>
                <w:i/>
              </w:rPr>
              <w:t xml:space="preserve"> </w:t>
            </w:r>
            <w:r>
              <w:t xml:space="preserve">is required.  </w:t>
            </w:r>
          </w:p>
        </w:tc>
      </w:tr>
    </w:tbl>
    <w:p w:rsidR="00225952" w:rsidRDefault="00225952" w:rsidP="00225952">
      <w:pPr>
        <w:pStyle w:val="Heading2"/>
        <w:rPr>
          <w:noProof/>
        </w:rPr>
        <w:sectPr w:rsidR="00225952" w:rsidSect="00832911">
          <w:headerReference w:type="default" r:id="rId62"/>
          <w:type w:val="continuous"/>
          <w:pgSz w:w="12240" w:h="15840" w:code="1"/>
          <w:pgMar w:top="1440" w:right="720" w:bottom="1440" w:left="1152" w:header="720" w:footer="720" w:gutter="0"/>
          <w:cols w:space="720"/>
          <w:docGrid w:linePitch="313"/>
        </w:sectPr>
      </w:pPr>
    </w:p>
    <w:tbl>
      <w:tblPr>
        <w:tblW w:w="10185" w:type="dxa"/>
        <w:tblInd w:w="108" w:type="dxa"/>
        <w:tblLayout w:type="fixed"/>
        <w:tblLook w:val="0000"/>
      </w:tblPr>
      <w:tblGrid>
        <w:gridCol w:w="2329"/>
        <w:gridCol w:w="7856"/>
      </w:tblGrid>
      <w:tr w:rsidR="00225952" w:rsidRPr="00380CF5" w:rsidTr="00225952">
        <w:tc>
          <w:tcPr>
            <w:tcW w:w="10185" w:type="dxa"/>
            <w:gridSpan w:val="2"/>
          </w:tcPr>
          <w:p w:rsidR="00225952" w:rsidRPr="006135BA" w:rsidRDefault="006B7F55" w:rsidP="00225952">
            <w:pPr>
              <w:pStyle w:val="Heading2"/>
              <w:rPr>
                <w:noProof/>
              </w:rPr>
            </w:pPr>
            <w:bookmarkStart w:id="54" w:name="_2.4__"/>
            <w:bookmarkStart w:id="55" w:name="_Toc232912643"/>
            <w:bookmarkStart w:id="56" w:name="_Toc264274076"/>
            <w:bookmarkEnd w:id="54"/>
            <w:r>
              <w:rPr>
                <w:noProof/>
              </w:rPr>
              <w:lastRenderedPageBreak/>
              <w:t>2.4</w:t>
            </w:r>
            <w:r w:rsidR="00225952" w:rsidRPr="006135BA">
              <w:rPr>
                <w:noProof/>
              </w:rPr>
              <w:t xml:space="preserve">   </w:t>
            </w:r>
            <w:r w:rsidR="00225952" w:rsidRPr="006135BA">
              <w:t>Projecting Future Conditions (</w:t>
            </w:r>
            <w:r w:rsidR="00225952">
              <w:t>S</w:t>
            </w:r>
            <w:r w:rsidR="00225952" w:rsidRPr="006135BA">
              <w:t>tep 3)</w:t>
            </w:r>
            <w:bookmarkEnd w:id="55"/>
            <w:bookmarkEnd w:id="56"/>
          </w:p>
        </w:tc>
      </w:tr>
      <w:tr w:rsidR="00086359" w:rsidRPr="00380CF5" w:rsidTr="005A3F7B">
        <w:tc>
          <w:tcPr>
            <w:tcW w:w="10185" w:type="dxa"/>
            <w:gridSpan w:val="2"/>
          </w:tcPr>
          <w:p w:rsidR="00086359" w:rsidDel="006B7F55" w:rsidRDefault="00086359" w:rsidP="00225952">
            <w:pPr>
              <w:pStyle w:val="Heading3"/>
            </w:pPr>
            <w:bookmarkStart w:id="57" w:name="_Toc264274077"/>
            <w:r>
              <w:t xml:space="preserve">2.4.1  </w:t>
            </w:r>
            <w:r w:rsidRPr="006135BA">
              <w:t>Projecting Background Traffic</w:t>
            </w:r>
            <w:bookmarkEnd w:id="57"/>
          </w:p>
        </w:tc>
      </w:tr>
      <w:tr w:rsidR="00225952" w:rsidRPr="00380CF5" w:rsidTr="00225952">
        <w:tc>
          <w:tcPr>
            <w:tcW w:w="2329" w:type="dxa"/>
          </w:tcPr>
          <w:p w:rsidR="00221BB9" w:rsidRDefault="00225952">
            <w:pPr>
              <w:pStyle w:val="SidebarSentence"/>
              <w:spacing w:before="240"/>
              <w:rPr>
                <w:highlight w:val="red"/>
              </w:rPr>
            </w:pPr>
            <w:r>
              <w:rPr>
                <w:noProof/>
              </w:rPr>
              <w:drawing>
                <wp:inline distT="0" distB="0" distL="0" distR="0">
                  <wp:extent cx="1103630" cy="1054735"/>
                  <wp:effectExtent l="19050" t="0" r="1270" b="0"/>
                  <wp:docPr id="32" name="Picture 32" descr="iStep3Backgrou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Step3Background.png"/>
                          <pic:cNvPicPr>
                            <a:picLocks noChangeAspect="1" noChangeArrowheads="1"/>
                          </pic:cNvPicPr>
                        </pic:nvPicPr>
                        <pic:blipFill>
                          <a:blip r:embed="rId63" cstate="print"/>
                          <a:srcRect/>
                          <a:stretch>
                            <a:fillRect/>
                          </a:stretch>
                        </pic:blipFill>
                        <pic:spPr bwMode="auto">
                          <a:xfrm>
                            <a:off x="0" y="0"/>
                            <a:ext cx="1103630" cy="1054735"/>
                          </a:xfrm>
                          <a:prstGeom prst="rect">
                            <a:avLst/>
                          </a:prstGeom>
                          <a:noFill/>
                          <a:ln w="9525">
                            <a:noFill/>
                            <a:miter lim="800000"/>
                            <a:headEnd/>
                            <a:tailEnd/>
                          </a:ln>
                        </pic:spPr>
                      </pic:pic>
                    </a:graphicData>
                  </a:graphic>
                </wp:inline>
              </w:drawing>
            </w:r>
          </w:p>
        </w:tc>
        <w:tc>
          <w:tcPr>
            <w:tcW w:w="7856" w:type="dxa"/>
          </w:tcPr>
          <w:p w:rsidR="00221BB9" w:rsidRDefault="00225952">
            <w:pPr>
              <w:spacing w:after="60"/>
            </w:pPr>
            <w:r w:rsidRPr="006135BA">
              <w:t xml:space="preserve"> </w:t>
            </w:r>
            <w:r w:rsidRPr="003811B5">
              <w:t>Background Traffic serves as the base condition in determining the impacts of development on the transportation system in future years. Background traffic is comprised of two elements:</w:t>
            </w:r>
          </w:p>
          <w:p w:rsidR="00225952" w:rsidRPr="008A22C3" w:rsidRDefault="00225952" w:rsidP="00AD2D7A">
            <w:pPr>
              <w:pStyle w:val="BulletA"/>
              <w:numPr>
                <w:ilvl w:val="0"/>
                <w:numId w:val="123"/>
              </w:numPr>
            </w:pPr>
            <w:r w:rsidRPr="008A22C3">
              <w:t>The expected increase from overall growth in through traffic (traffic movements through the study area that do not have an origin or destination in the study area)</w:t>
            </w:r>
          </w:p>
          <w:p w:rsidR="00221BB9" w:rsidRDefault="00225952">
            <w:pPr>
              <w:pStyle w:val="BulletA"/>
              <w:numPr>
                <w:ilvl w:val="0"/>
                <w:numId w:val="123"/>
              </w:numPr>
              <w:spacing w:after="120"/>
            </w:pPr>
            <w:r w:rsidRPr="008A22C3">
              <w:t>Traffic from other developments in the study area (other than the project being analyzed). For example, major committed developments defined as developments that have an approved development order (DRIs) or concurrency management certificate should be included in background traffic</w:t>
            </w:r>
          </w:p>
          <w:p w:rsidR="00221BB9" w:rsidRDefault="00225952">
            <w:pPr>
              <w:spacing w:after="60"/>
            </w:pPr>
            <w:r w:rsidRPr="003811B5">
              <w:t xml:space="preserve">Background (non-site) traffic is typically estimated using one of three methods based on local area needs and conditions: </w:t>
            </w:r>
          </w:p>
        </w:tc>
      </w:tr>
      <w:tr w:rsidR="00225952" w:rsidRPr="00380CF5" w:rsidTr="00225952">
        <w:tc>
          <w:tcPr>
            <w:tcW w:w="2329" w:type="dxa"/>
          </w:tcPr>
          <w:p w:rsidR="00225952" w:rsidRDefault="00225952" w:rsidP="00225952">
            <w:pPr>
              <w:pStyle w:val="SidebarSentence"/>
              <w:rPr>
                <w:highlight w:val="red"/>
              </w:rPr>
            </w:pPr>
          </w:p>
        </w:tc>
        <w:tc>
          <w:tcPr>
            <w:tcW w:w="7856" w:type="dxa"/>
          </w:tcPr>
          <w:p w:rsidR="00225952" w:rsidRPr="0000156A" w:rsidRDefault="00225952" w:rsidP="00BA4326">
            <w:pPr>
              <w:pStyle w:val="TIHBullet"/>
              <w:numPr>
                <w:ilvl w:val="0"/>
                <w:numId w:val="15"/>
              </w:numPr>
              <w:spacing w:after="60"/>
              <w:rPr>
                <w:rFonts w:ascii="Calibri" w:hAnsi="Calibri"/>
                <w:sz w:val="23"/>
                <w:szCs w:val="23"/>
              </w:rPr>
            </w:pPr>
            <w:r w:rsidRPr="008A22C3">
              <w:rPr>
                <w:rFonts w:ascii="Calibri" w:hAnsi="Calibri" w:cs="Book Antiqua"/>
                <w:b/>
                <w:sz w:val="23"/>
                <w:szCs w:val="23"/>
              </w:rPr>
              <w:t>Grow</w:t>
            </w:r>
            <w:r w:rsidRPr="008A22C3">
              <w:rPr>
                <w:rFonts w:ascii="Calibri" w:hAnsi="Calibri"/>
                <w:b/>
                <w:sz w:val="23"/>
                <w:szCs w:val="23"/>
              </w:rPr>
              <w:t xml:space="preserve">th </w:t>
            </w:r>
            <w:r>
              <w:rPr>
                <w:rFonts w:ascii="Calibri" w:hAnsi="Calibri"/>
                <w:b/>
                <w:sz w:val="23"/>
                <w:szCs w:val="23"/>
              </w:rPr>
              <w:t>Rate/Trend M</w:t>
            </w:r>
            <w:r w:rsidRPr="008A22C3">
              <w:rPr>
                <w:rFonts w:ascii="Calibri" w:hAnsi="Calibri"/>
                <w:b/>
                <w:sz w:val="23"/>
                <w:szCs w:val="23"/>
              </w:rPr>
              <w:t>ethods</w:t>
            </w:r>
            <w:r w:rsidRPr="0000156A">
              <w:rPr>
                <w:rFonts w:ascii="Calibri" w:hAnsi="Calibri"/>
                <w:sz w:val="23"/>
                <w:szCs w:val="23"/>
              </w:rPr>
              <w:t xml:space="preserve"> relying on historic trends. This method is typically appropriate in applications for:</w:t>
            </w:r>
          </w:p>
          <w:p w:rsidR="00221BB9" w:rsidRDefault="00225952">
            <w:pPr>
              <w:pStyle w:val="BulletA"/>
              <w:numPr>
                <w:ilvl w:val="0"/>
                <w:numId w:val="171"/>
              </w:numPr>
            </w:pPr>
            <w:r w:rsidRPr="0000156A">
              <w:t>Small projects that will be built within one or two years</w:t>
            </w:r>
          </w:p>
          <w:p w:rsidR="00221BB9" w:rsidRDefault="00225952">
            <w:pPr>
              <w:pStyle w:val="BulletA"/>
              <w:numPr>
                <w:ilvl w:val="0"/>
                <w:numId w:val="171"/>
              </w:numPr>
              <w:spacing w:after="120"/>
            </w:pPr>
            <w:r w:rsidRPr="0000156A">
              <w:t>Areas with at least five years of data showing stable growth</w:t>
            </w:r>
            <w:r>
              <w:t xml:space="preserve"> and expected to remain stable</w:t>
            </w:r>
          </w:p>
          <w:p w:rsidR="00225952" w:rsidRPr="0000156A" w:rsidRDefault="00225952" w:rsidP="00BA4326">
            <w:pPr>
              <w:pStyle w:val="TIHBullet"/>
              <w:numPr>
                <w:ilvl w:val="0"/>
                <w:numId w:val="15"/>
              </w:numPr>
              <w:spacing w:after="60"/>
              <w:rPr>
                <w:rFonts w:ascii="Calibri" w:hAnsi="Calibri"/>
                <w:sz w:val="23"/>
                <w:szCs w:val="23"/>
              </w:rPr>
            </w:pPr>
            <w:r w:rsidRPr="008A22C3">
              <w:rPr>
                <w:rFonts w:ascii="Calibri" w:hAnsi="Calibri" w:cs="Book Antiqua"/>
                <w:b/>
                <w:sz w:val="23"/>
                <w:szCs w:val="23"/>
              </w:rPr>
              <w:t>Build-up methods</w:t>
            </w:r>
            <w:r w:rsidRPr="0000156A">
              <w:rPr>
                <w:rFonts w:ascii="Calibri" w:hAnsi="Calibri" w:cs="Book Antiqua"/>
                <w:sz w:val="23"/>
                <w:szCs w:val="23"/>
              </w:rPr>
              <w:t xml:space="preserve"> that</w:t>
            </w:r>
            <w:r w:rsidRPr="0000156A">
              <w:rPr>
                <w:rFonts w:ascii="Calibri" w:hAnsi="Calibri"/>
                <w:sz w:val="23"/>
                <w:szCs w:val="23"/>
              </w:rPr>
              <w:t xml:space="preserve"> use specific development information. This method is typically appropriate in applications for:</w:t>
            </w:r>
          </w:p>
          <w:p w:rsidR="00221BB9" w:rsidRDefault="00225952">
            <w:pPr>
              <w:pStyle w:val="BulletA"/>
              <w:numPr>
                <w:ilvl w:val="0"/>
                <w:numId w:val="172"/>
              </w:numPr>
            </w:pPr>
            <w:r w:rsidRPr="0000156A">
              <w:t>Areas experiencing moderate growth</w:t>
            </w:r>
          </w:p>
          <w:p w:rsidR="00221BB9" w:rsidRDefault="00225952">
            <w:pPr>
              <w:pStyle w:val="BulletA"/>
              <w:numPr>
                <w:ilvl w:val="0"/>
                <w:numId w:val="172"/>
              </w:numPr>
            </w:pPr>
            <w:r w:rsidRPr="0000156A">
              <w:t>Areas where multiple projects will be developed during the same period</w:t>
            </w:r>
          </w:p>
          <w:p w:rsidR="00221BB9" w:rsidRDefault="00225952">
            <w:pPr>
              <w:pStyle w:val="BulletA"/>
              <w:numPr>
                <w:ilvl w:val="0"/>
                <w:numId w:val="172"/>
              </w:numPr>
            </w:pPr>
            <w:r w:rsidRPr="0000156A">
              <w:t>Project horizon years of 5 years or less</w:t>
            </w:r>
          </w:p>
          <w:p w:rsidR="00221BB9" w:rsidRDefault="00225952">
            <w:pPr>
              <w:pStyle w:val="BulletA"/>
              <w:numPr>
                <w:ilvl w:val="0"/>
                <w:numId w:val="172"/>
              </w:numPr>
              <w:spacing w:after="120"/>
            </w:pPr>
            <w:r w:rsidRPr="0000156A">
              <w:t>Locations where there is thorough documentation of development approvals</w:t>
            </w:r>
          </w:p>
          <w:p w:rsidR="00225952" w:rsidRPr="0000156A" w:rsidRDefault="00225952" w:rsidP="00BA4326">
            <w:pPr>
              <w:pStyle w:val="TIHBullet"/>
              <w:numPr>
                <w:ilvl w:val="0"/>
                <w:numId w:val="15"/>
              </w:numPr>
              <w:spacing w:after="60"/>
              <w:rPr>
                <w:rFonts w:ascii="Calibri" w:hAnsi="Calibri"/>
                <w:sz w:val="23"/>
                <w:szCs w:val="23"/>
              </w:rPr>
            </w:pPr>
            <w:r w:rsidRPr="008A22C3">
              <w:rPr>
                <w:rFonts w:ascii="Calibri" w:hAnsi="Calibri"/>
                <w:b/>
                <w:sz w:val="23"/>
                <w:szCs w:val="23"/>
              </w:rPr>
              <w:t>Model methods</w:t>
            </w:r>
            <w:r w:rsidRPr="0000156A">
              <w:rPr>
                <w:rFonts w:ascii="Calibri" w:hAnsi="Calibri"/>
                <w:sz w:val="23"/>
                <w:szCs w:val="23"/>
              </w:rPr>
              <w:t xml:space="preserve"> involve the use of a </w:t>
            </w:r>
            <w:r>
              <w:rPr>
                <w:rFonts w:ascii="Calibri" w:hAnsi="Calibri"/>
                <w:sz w:val="23"/>
                <w:szCs w:val="23"/>
              </w:rPr>
              <w:t xml:space="preserve">large scale travel demand model, such as FSUTMS.  </w:t>
            </w:r>
            <w:r w:rsidRPr="0000156A">
              <w:rPr>
                <w:rFonts w:ascii="Calibri" w:hAnsi="Calibri"/>
                <w:sz w:val="23"/>
                <w:szCs w:val="23"/>
              </w:rPr>
              <w:t>Model methods are typically appropriate in applications for:</w:t>
            </w:r>
          </w:p>
          <w:p w:rsidR="00221BB9" w:rsidRDefault="00225952">
            <w:pPr>
              <w:pStyle w:val="BulletA"/>
              <w:numPr>
                <w:ilvl w:val="0"/>
                <w:numId w:val="173"/>
              </w:numPr>
            </w:pPr>
            <w:r w:rsidRPr="0000156A">
              <w:t>High growth areas</w:t>
            </w:r>
          </w:p>
          <w:p w:rsidR="00221BB9" w:rsidRDefault="00225952">
            <w:pPr>
              <w:pStyle w:val="BulletA"/>
              <w:numPr>
                <w:ilvl w:val="0"/>
                <w:numId w:val="173"/>
              </w:numPr>
            </w:pPr>
            <w:r w:rsidRPr="0000156A">
              <w:t>Large regional projects that may have multiple build-out phases</w:t>
            </w:r>
          </w:p>
          <w:p w:rsidR="00221BB9" w:rsidRDefault="00225952">
            <w:pPr>
              <w:pStyle w:val="BulletA"/>
              <w:numPr>
                <w:ilvl w:val="0"/>
                <w:numId w:val="173"/>
              </w:numPr>
              <w:rPr>
                <w:sz w:val="20"/>
              </w:rPr>
            </w:pPr>
            <w:r w:rsidRPr="0000156A">
              <w:t>Locations where there is sufficient information available to calibrate the model to current and future conditions.</w:t>
            </w:r>
          </w:p>
        </w:tc>
      </w:tr>
    </w:tbl>
    <w:p w:rsidR="00B21194" w:rsidRDefault="00B21194">
      <w:r>
        <w:rPr>
          <w:bCs/>
          <w:i/>
        </w:rPr>
        <w:br w:type="page"/>
      </w:r>
    </w:p>
    <w:tbl>
      <w:tblPr>
        <w:tblW w:w="10185" w:type="dxa"/>
        <w:tblInd w:w="108" w:type="dxa"/>
        <w:tblLayout w:type="fixed"/>
        <w:tblLook w:val="0000"/>
      </w:tblPr>
      <w:tblGrid>
        <w:gridCol w:w="2329"/>
        <w:gridCol w:w="7856"/>
      </w:tblGrid>
      <w:tr w:rsidR="00225952" w:rsidRPr="00380CF5" w:rsidTr="00225952">
        <w:tc>
          <w:tcPr>
            <w:tcW w:w="2329" w:type="dxa"/>
          </w:tcPr>
          <w:p w:rsidR="00225952" w:rsidRDefault="00225952" w:rsidP="00225952">
            <w:pPr>
              <w:pStyle w:val="SidebarSentence"/>
              <w:rPr>
                <w:highlight w:val="red"/>
              </w:rPr>
            </w:pPr>
          </w:p>
        </w:tc>
        <w:tc>
          <w:tcPr>
            <w:tcW w:w="7856" w:type="dxa"/>
          </w:tcPr>
          <w:p w:rsidR="00225952" w:rsidRDefault="00225952" w:rsidP="00225952">
            <w:r w:rsidRPr="003811B5">
              <w:t xml:space="preserve">The </w:t>
            </w:r>
            <w:r>
              <w:t>Growth Rate (Trends) and build-u</w:t>
            </w:r>
            <w:r w:rsidRPr="003811B5">
              <w:t xml:space="preserve">p </w:t>
            </w:r>
            <w:r>
              <w:t>m</w:t>
            </w:r>
            <w:r w:rsidRPr="003811B5">
              <w:t xml:space="preserve">ethods are often referred to as </w:t>
            </w:r>
            <w:r>
              <w:t>m</w:t>
            </w:r>
            <w:r w:rsidRPr="003811B5">
              <w:t xml:space="preserve">anual </w:t>
            </w:r>
            <w:r>
              <w:t>growth trends m</w:t>
            </w:r>
            <w:r w:rsidRPr="003811B5">
              <w:t>ethod</w:t>
            </w:r>
            <w:r>
              <w:t>, even if done with a computer.</w:t>
            </w:r>
          </w:p>
          <w:p w:rsidR="00225952" w:rsidRDefault="00225952" w:rsidP="00225952">
            <w:r w:rsidRPr="003811B5">
              <w:t xml:space="preserve"> The type of </w:t>
            </w:r>
            <w:r>
              <w:t xml:space="preserve">development </w:t>
            </w:r>
            <w:r w:rsidRPr="003811B5">
              <w:t xml:space="preserve">project, </w:t>
            </w:r>
            <w:r>
              <w:t>the development within the study area,</w:t>
            </w:r>
            <w:r w:rsidRPr="003811B5">
              <w:t xml:space="preserve"> available data, horizon year, and agency requirements should all be considered when selecting the most appropriate method for a given situation. It is noted that the applicant may be requested to document growth assumptions using more than one method. For example, rates based on using </w:t>
            </w:r>
            <w:r w:rsidRPr="00146B76">
              <w:t>the Growth Rate (Trends) Method and the Model Method may be requested so that comparisons can be made and differences can be discussed.</w:t>
            </w:r>
          </w:p>
        </w:tc>
      </w:tr>
      <w:tr w:rsidR="00225952" w:rsidRPr="00380CF5" w:rsidTr="00225952">
        <w:tc>
          <w:tcPr>
            <w:tcW w:w="10185" w:type="dxa"/>
            <w:gridSpan w:val="2"/>
          </w:tcPr>
          <w:p w:rsidR="00225952" w:rsidRDefault="006B7F55" w:rsidP="00225952">
            <w:pPr>
              <w:pStyle w:val="Heading3"/>
            </w:pPr>
            <w:bookmarkStart w:id="58" w:name="_Toc264274078"/>
            <w:r>
              <w:t>2.4</w:t>
            </w:r>
            <w:r w:rsidR="00225952">
              <w:t>.2  The Growth Rate/Trend Method</w:t>
            </w:r>
            <w:r w:rsidR="00225952" w:rsidRPr="006135BA">
              <w:t xml:space="preserve"> for Projecting Background Traffic</w:t>
            </w:r>
            <w:bookmarkEnd w:id="58"/>
          </w:p>
        </w:tc>
      </w:tr>
      <w:tr w:rsidR="00225952" w:rsidRPr="00380CF5" w:rsidTr="00225952">
        <w:tc>
          <w:tcPr>
            <w:tcW w:w="2329" w:type="dxa"/>
          </w:tcPr>
          <w:p w:rsidR="00225952" w:rsidRDefault="00225952" w:rsidP="00225952">
            <w:pPr>
              <w:pStyle w:val="HeadSide2"/>
              <w:jc w:val="center"/>
              <w:rPr>
                <w:highlight w:val="red"/>
              </w:rPr>
            </w:pPr>
          </w:p>
        </w:tc>
        <w:tc>
          <w:tcPr>
            <w:tcW w:w="7856" w:type="dxa"/>
          </w:tcPr>
          <w:p w:rsidR="00225952" w:rsidRDefault="00225952" w:rsidP="0001115B">
            <w:r>
              <w:t>These are typically performed using trend or growth rate analysis of historic traffic data. The process of adding vested development traffic into background traffic is known as the “Build-up Method” and is described further below.</w:t>
            </w:r>
          </w:p>
        </w:tc>
      </w:tr>
      <w:tr w:rsidR="00225952" w:rsidRPr="00380CF5" w:rsidTr="00225952">
        <w:tc>
          <w:tcPr>
            <w:tcW w:w="2329" w:type="dxa"/>
          </w:tcPr>
          <w:p w:rsidR="00225952" w:rsidRDefault="00225952" w:rsidP="000418E2">
            <w:pPr>
              <w:pStyle w:val="Heading4"/>
              <w:spacing w:after="240"/>
            </w:pPr>
            <w:r w:rsidRPr="00382778">
              <w:t>Growth Rate</w:t>
            </w:r>
            <w:r>
              <w:t>/Trends</w:t>
            </w:r>
            <w:r w:rsidRPr="00382778">
              <w:t xml:space="preserve"> Method</w:t>
            </w:r>
          </w:p>
          <w:p w:rsidR="00225952" w:rsidRDefault="00225952" w:rsidP="00225952">
            <w:pPr>
              <w:pStyle w:val="SidebarSentence"/>
            </w:pPr>
            <w:r>
              <w:t>Growth rates based on trends are the most basic approach to developing future growth projections</w:t>
            </w:r>
          </w:p>
          <w:p w:rsidR="000418E2" w:rsidRDefault="000418E2" w:rsidP="000418E2">
            <w:pPr>
              <w:spacing w:before="240" w:after="0"/>
            </w:pPr>
          </w:p>
          <w:p w:rsidR="00225952" w:rsidRPr="00387B8F" w:rsidRDefault="00225952" w:rsidP="000418E2">
            <w:pPr>
              <w:pStyle w:val="HeadSide2"/>
              <w:jc w:val="center"/>
            </w:pPr>
          </w:p>
        </w:tc>
        <w:tc>
          <w:tcPr>
            <w:tcW w:w="7856" w:type="dxa"/>
          </w:tcPr>
          <w:p w:rsidR="00225952" w:rsidRDefault="00225952" w:rsidP="00225952">
            <w:r w:rsidRPr="007F5DFA">
              <w:t>The Growth Rate</w:t>
            </w:r>
            <w:r>
              <w:t>/Trends</w:t>
            </w:r>
            <w:r w:rsidRPr="007F5DFA">
              <w:t xml:space="preserve"> Method is the most basic approach to developing future growth projections (Reference: </w:t>
            </w:r>
            <w:r w:rsidR="00C83170">
              <w:t xml:space="preserve">ITE </w:t>
            </w:r>
            <w:hyperlink r:id="rId64" w:history="1">
              <w:r w:rsidRPr="007F5DFA">
                <w:rPr>
                  <w:rStyle w:val="Hyperlink"/>
                  <w:i/>
                </w:rPr>
                <w:t>Transportation Impact Analyses for Site Development</w:t>
              </w:r>
            </w:hyperlink>
            <w:r w:rsidRPr="007F5DFA">
              <w:rPr>
                <w:i/>
              </w:rPr>
              <w:t>)</w:t>
            </w:r>
            <w:r>
              <w:rPr>
                <w:i/>
              </w:rPr>
              <w:t xml:space="preserve">, </w:t>
            </w:r>
            <w:r w:rsidRPr="008A22C3">
              <w:t>because</w:t>
            </w:r>
            <w:r w:rsidRPr="007F5DFA">
              <w:t xml:space="preserve"> the growth rate method  reflects historical trends</w:t>
            </w:r>
            <w:r>
              <w:t>. T</w:t>
            </w:r>
            <w:r w:rsidRPr="007F5DFA">
              <w:t xml:space="preserve">he estimates using this approach will be dependent upon how the historical trend  reflects  the horizon year traffic. Traffic volumes should be used in developing growth trends and should be based on at least five years of data. However, care should be exercised in using data beyond five years as the results may over-emphasize past trends. An area that has remained rural for many years may have recently changed to a “booming” growth area.  In this case, the use of many past year counts will significantly under-predict future traffic. Note also that peak hour growth patterns do not necessarily follow </w:t>
            </w:r>
            <w:r>
              <w:t xml:space="preserve">daily </w:t>
            </w:r>
            <w:r w:rsidRPr="007F5DFA">
              <w:t>traffic growth patterns.</w:t>
            </w:r>
            <w:r>
              <w:t xml:space="preserve"> </w:t>
            </w:r>
          </w:p>
          <w:p w:rsidR="00225952" w:rsidRDefault="00225952" w:rsidP="00225952">
            <w:r>
              <w:t xml:space="preserve">The ITE’s </w:t>
            </w:r>
            <w:r w:rsidRPr="008A22C3">
              <w:rPr>
                <w:b/>
              </w:rPr>
              <w:t>Transportation Impact Analysis for Site Development</w:t>
            </w:r>
            <w:r>
              <w:t xml:space="preserve"> has this caution:</w:t>
            </w:r>
          </w:p>
          <w:p w:rsidR="00225952" w:rsidRDefault="00225952" w:rsidP="008D6C65">
            <w:pPr>
              <w:pStyle w:val="Quote"/>
              <w:spacing w:after="120"/>
              <w:ind w:left="0" w:right="0"/>
            </w:pPr>
            <w:r w:rsidRPr="00C47601">
              <w:t>The growth rate method is often insensitive to localized changes. It should not be used in cases where other extensive nearby development will occur during the study period, or where growth rates are</w:t>
            </w:r>
            <w:r>
              <w:t xml:space="preserve"> </w:t>
            </w:r>
            <w:r w:rsidRPr="00C47601">
              <w:t>unstable. Sizable errors could de</w:t>
            </w:r>
            <w:r>
              <w:t>velop</w:t>
            </w:r>
            <w:r w:rsidRPr="00C47601">
              <w:t>. Furthermore,</w:t>
            </w:r>
            <w:r>
              <w:t xml:space="preserve"> growth in average daily traffi</w:t>
            </w:r>
            <w:r w:rsidRPr="00C47601">
              <w:t>c does not always parallel growth in peak-hour traffic, and most historical data are for average daily traffic. This method should also not be used where substantial transportation system changes (infrastruc</w:t>
            </w:r>
            <w:r>
              <w:t>ture changes) will alter traffic patt</w:t>
            </w:r>
            <w:r w:rsidRPr="00C47601">
              <w:t>erns within the study area, unless an accurate redistribution step is included.</w:t>
            </w:r>
          </w:p>
        </w:tc>
      </w:tr>
    </w:tbl>
    <w:p w:rsidR="00B21194" w:rsidRDefault="00B21194">
      <w:r>
        <w:rPr>
          <w:b/>
          <w:bCs/>
        </w:rPr>
        <w:br w:type="page"/>
      </w:r>
    </w:p>
    <w:tbl>
      <w:tblPr>
        <w:tblW w:w="10185" w:type="dxa"/>
        <w:tblInd w:w="108" w:type="dxa"/>
        <w:tblLayout w:type="fixed"/>
        <w:tblLook w:val="0000"/>
      </w:tblPr>
      <w:tblGrid>
        <w:gridCol w:w="2329"/>
        <w:gridCol w:w="3928"/>
        <w:gridCol w:w="3928"/>
      </w:tblGrid>
      <w:tr w:rsidR="00225952" w:rsidRPr="00380CF5" w:rsidTr="00225952">
        <w:tc>
          <w:tcPr>
            <w:tcW w:w="2329" w:type="dxa"/>
          </w:tcPr>
          <w:p w:rsidR="00225952" w:rsidRDefault="00225952" w:rsidP="00225952">
            <w:pPr>
              <w:pStyle w:val="Heading4"/>
            </w:pPr>
            <w:r w:rsidRPr="006135BA">
              <w:lastRenderedPageBreak/>
              <w:t>Growth Rate</w:t>
            </w:r>
            <w:r>
              <w:t>/Trend</w:t>
            </w:r>
            <w:r w:rsidRPr="006135BA">
              <w:t xml:space="preserve"> Analysis Techniques</w:t>
            </w:r>
          </w:p>
          <w:p w:rsidR="000418E2" w:rsidRDefault="000418E2" w:rsidP="000418E2"/>
          <w:p w:rsidR="000418E2" w:rsidRPr="000418E2" w:rsidRDefault="000418E2" w:rsidP="000418E2"/>
          <w:p w:rsidR="00225952" w:rsidRDefault="000418E2" w:rsidP="000418E2">
            <w:pPr>
              <w:pStyle w:val="SidebarSentence"/>
              <w:spacing w:after="0"/>
              <w:ind w:right="0"/>
              <w:rPr>
                <w:highlight w:val="red"/>
              </w:rPr>
            </w:pPr>
            <w:r w:rsidRPr="000418E2">
              <w:rPr>
                <w:noProof/>
              </w:rPr>
              <w:drawing>
                <wp:inline distT="0" distB="0" distL="0" distR="0">
                  <wp:extent cx="1371600" cy="542643"/>
                  <wp:effectExtent l="19050" t="0" r="0" b="0"/>
                  <wp:docPr id="536" name="Picture 102" descr="button_presentation.png">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tton_presentation.png"/>
                          <pic:cNvPicPr/>
                        </pic:nvPicPr>
                        <pic:blipFill>
                          <a:blip r:embed="rId35" cstate="print"/>
                          <a:stretch>
                            <a:fillRect/>
                          </a:stretch>
                        </pic:blipFill>
                        <pic:spPr>
                          <a:xfrm>
                            <a:off x="0" y="0"/>
                            <a:ext cx="1371600" cy="542643"/>
                          </a:xfrm>
                          <a:prstGeom prst="rect">
                            <a:avLst/>
                          </a:prstGeom>
                        </pic:spPr>
                      </pic:pic>
                    </a:graphicData>
                  </a:graphic>
                </wp:inline>
              </w:drawing>
            </w:r>
          </w:p>
          <w:p w:rsidR="000418E2" w:rsidRDefault="000418E2" w:rsidP="000418E2">
            <w:pPr>
              <w:pStyle w:val="SidebarSentence"/>
              <w:jc w:val="center"/>
              <w:rPr>
                <w:highlight w:val="red"/>
              </w:rPr>
            </w:pPr>
            <w:r w:rsidRPr="009C3B7B">
              <w:t xml:space="preserve">Background </w:t>
            </w:r>
            <w:r>
              <w:t>T</w:t>
            </w:r>
            <w:r w:rsidRPr="009C3B7B">
              <w:t>raffic and Trends</w:t>
            </w:r>
          </w:p>
        </w:tc>
        <w:tc>
          <w:tcPr>
            <w:tcW w:w="7856" w:type="dxa"/>
            <w:gridSpan w:val="2"/>
          </w:tcPr>
          <w:p w:rsidR="00225952" w:rsidRDefault="00225952" w:rsidP="00A44901">
            <w:pPr>
              <w:spacing w:after="0"/>
            </w:pPr>
            <w:r w:rsidRPr="005E75C7">
              <w:t>When using either AADT or a related demographic characteristic for forecasting background traffic, the following steps are required:</w:t>
            </w:r>
          </w:p>
          <w:p w:rsidR="00225952" w:rsidRPr="008A22C3" w:rsidRDefault="00225952" w:rsidP="00AD2D7A">
            <w:pPr>
              <w:pStyle w:val="BulletA"/>
              <w:numPr>
                <w:ilvl w:val="0"/>
                <w:numId w:val="122"/>
              </w:numPr>
            </w:pPr>
            <w:r w:rsidRPr="008A22C3">
              <w:t>Identify the data that is required based on the study area and the sources of relevant data</w:t>
            </w:r>
          </w:p>
          <w:p w:rsidR="00225952" w:rsidRPr="008A22C3" w:rsidRDefault="00225952" w:rsidP="00AD2D7A">
            <w:pPr>
              <w:pStyle w:val="BulletA"/>
              <w:numPr>
                <w:ilvl w:val="0"/>
                <w:numId w:val="122"/>
              </w:numPr>
            </w:pPr>
            <w:r w:rsidRPr="008A22C3">
              <w:t>Obtain the historic traffic-count data for the existing locations(s) or demographic data</w:t>
            </w:r>
          </w:p>
          <w:p w:rsidR="00225952" w:rsidRPr="008A22C3" w:rsidRDefault="00225952" w:rsidP="00AD2D7A">
            <w:pPr>
              <w:pStyle w:val="BulletA"/>
              <w:numPr>
                <w:ilvl w:val="0"/>
                <w:numId w:val="122"/>
              </w:numPr>
            </w:pPr>
            <w:r w:rsidRPr="008A22C3">
              <w:t xml:space="preserve">Perform a growth trend analysis using one of three growth forms identified below and plot the patterns of traffic growth rates for the existing location(s)  </w:t>
            </w:r>
          </w:p>
          <w:p w:rsidR="00225952" w:rsidRPr="00D00B3F" w:rsidRDefault="00225952" w:rsidP="00A44901">
            <w:pPr>
              <w:spacing w:after="0"/>
              <w:rPr>
                <w:szCs w:val="23"/>
              </w:rPr>
            </w:pPr>
            <w:r w:rsidRPr="008A22C3">
              <w:rPr>
                <w:szCs w:val="23"/>
              </w:rPr>
              <w:t xml:space="preserve">Growth rate trend analysis is the method of fitting a mathematical curve that will adequately describe a trend in data for projection purposes. Three growth forms are used for site impact analysis: </w:t>
            </w:r>
          </w:p>
          <w:p w:rsidR="00225952" w:rsidRPr="00D00B3F" w:rsidRDefault="00225952" w:rsidP="008D2D1A">
            <w:pPr>
              <w:pStyle w:val="ListParagraph"/>
              <w:numPr>
                <w:ilvl w:val="0"/>
                <w:numId w:val="16"/>
              </w:numPr>
              <w:spacing w:line="240" w:lineRule="auto"/>
              <w:rPr>
                <w:szCs w:val="23"/>
              </w:rPr>
            </w:pPr>
            <w:r w:rsidRPr="008A22C3">
              <w:rPr>
                <w:szCs w:val="23"/>
              </w:rPr>
              <w:t>linear</w:t>
            </w:r>
          </w:p>
          <w:p w:rsidR="00225952" w:rsidRPr="008A22C3" w:rsidRDefault="00225952" w:rsidP="008D2D1A">
            <w:pPr>
              <w:pStyle w:val="ListParagraph"/>
              <w:numPr>
                <w:ilvl w:val="0"/>
                <w:numId w:val="16"/>
              </w:numPr>
              <w:spacing w:line="240" w:lineRule="auto"/>
              <w:rPr>
                <w:szCs w:val="23"/>
              </w:rPr>
            </w:pPr>
            <w:r w:rsidRPr="008A22C3">
              <w:rPr>
                <w:szCs w:val="23"/>
              </w:rPr>
              <w:t xml:space="preserve">exponential </w:t>
            </w:r>
          </w:p>
          <w:p w:rsidR="00225952" w:rsidRPr="008A22C3" w:rsidRDefault="00225952" w:rsidP="008D2D1A">
            <w:pPr>
              <w:pStyle w:val="ListParagraph"/>
              <w:numPr>
                <w:ilvl w:val="0"/>
                <w:numId w:val="16"/>
              </w:numPr>
              <w:spacing w:line="240" w:lineRule="auto"/>
              <w:rPr>
                <w:szCs w:val="23"/>
              </w:rPr>
            </w:pPr>
            <w:r w:rsidRPr="008A22C3">
              <w:rPr>
                <w:szCs w:val="23"/>
              </w:rPr>
              <w:t xml:space="preserve">decaying exponential </w:t>
            </w:r>
          </w:p>
          <w:p w:rsidR="00225952" w:rsidRDefault="00225952" w:rsidP="00225952">
            <w:r w:rsidRPr="008A22C3">
              <w:rPr>
                <w:szCs w:val="23"/>
              </w:rPr>
              <w:t>Further details and an example application of each of these methods are presented in the next sections.</w:t>
            </w:r>
          </w:p>
        </w:tc>
      </w:tr>
      <w:tr w:rsidR="00225952" w:rsidRPr="00380CF5" w:rsidTr="00225952">
        <w:tc>
          <w:tcPr>
            <w:tcW w:w="2329" w:type="dxa"/>
          </w:tcPr>
          <w:p w:rsidR="000418E2" w:rsidRPr="000418E2" w:rsidRDefault="008D6C65" w:rsidP="000418E2">
            <w:pPr>
              <w:pStyle w:val="HeadSide20"/>
              <w:spacing w:after="60"/>
              <w:ind w:right="0"/>
              <w:jc w:val="center"/>
            </w:pPr>
            <w:r>
              <w:rPr>
                <w:noProof/>
              </w:rPr>
              <w:drawing>
                <wp:inline distT="0" distB="0" distL="0" distR="0">
                  <wp:extent cx="1371600" cy="530847"/>
                  <wp:effectExtent l="19050" t="0" r="0" b="0"/>
                  <wp:docPr id="5" name="Picture 34" descr="button_exel.png">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button_exel.png"/>
                          <pic:cNvPicPr>
                            <a:picLocks noChangeAspect="1" noChangeArrowheads="1"/>
                          </pic:cNvPicPr>
                        </pic:nvPicPr>
                        <pic:blipFill>
                          <a:blip r:embed="rId67" cstate="print"/>
                          <a:srcRect/>
                          <a:stretch>
                            <a:fillRect/>
                          </a:stretch>
                        </pic:blipFill>
                        <pic:spPr bwMode="auto">
                          <a:xfrm>
                            <a:off x="0" y="0"/>
                            <a:ext cx="1371600" cy="530847"/>
                          </a:xfrm>
                          <a:prstGeom prst="rect">
                            <a:avLst/>
                          </a:prstGeom>
                          <a:noFill/>
                          <a:ln w="9525">
                            <a:noFill/>
                            <a:miter lim="800000"/>
                            <a:headEnd/>
                            <a:tailEnd/>
                          </a:ln>
                        </pic:spPr>
                      </pic:pic>
                    </a:graphicData>
                  </a:graphic>
                </wp:inline>
              </w:drawing>
            </w:r>
            <w:r w:rsidRPr="000418E2">
              <w:rPr>
                <w:b/>
              </w:rPr>
              <w:t>Traffic Trends Analysis Tool</w:t>
            </w:r>
          </w:p>
          <w:p w:rsidR="00225952" w:rsidRDefault="00225952" w:rsidP="000418E2">
            <w:pPr>
              <w:pStyle w:val="SidebarSentence"/>
              <w:ind w:left="144"/>
            </w:pPr>
            <w:r>
              <w:t>allows an analyst to estimate future traffic based on the historical data collected by FDOT.</w:t>
            </w:r>
          </w:p>
          <w:p w:rsidR="00225952" w:rsidRDefault="00225952" w:rsidP="00225952">
            <w:pPr>
              <w:pStyle w:val="SidebarSentence"/>
              <w:jc w:val="center"/>
            </w:pPr>
          </w:p>
        </w:tc>
        <w:tc>
          <w:tcPr>
            <w:tcW w:w="7856" w:type="dxa"/>
            <w:gridSpan w:val="2"/>
          </w:tcPr>
          <w:p w:rsidR="00225952" w:rsidRPr="006135BA" w:rsidRDefault="00225952" w:rsidP="00225952">
            <w:pPr>
              <w:pStyle w:val="Heading4"/>
            </w:pPr>
            <w:r w:rsidRPr="006135BA">
              <w:t>FDOT Trends Spreadsheet Program</w:t>
            </w:r>
          </w:p>
          <w:p w:rsidR="00225952" w:rsidRDefault="00225952" w:rsidP="00225952">
            <w:r>
              <w:t xml:space="preserve">FDOT developed and maintains a software analysis tool that can be used to prepare trend analysis. </w:t>
            </w:r>
            <w:r w:rsidRPr="002E7418">
              <w:rPr>
                <w:b/>
                <w:i/>
              </w:rPr>
              <w:t>Traffic Trends Analysis Tool</w:t>
            </w:r>
            <w:r>
              <w:t xml:space="preserve"> is an Excel-based tool that allows an analyst to use the Florida Traffic Information count database, select a traffic count station data set (from a database of count locations organized by County), and then prepare future trend analysis. The software allows for comparison of results using all three growth techniques and provides a statistical evaluation (R</w:t>
            </w:r>
            <w:r w:rsidRPr="004D08C5">
              <w:rPr>
                <w:szCs w:val="19"/>
                <w:vertAlign w:val="superscript"/>
              </w:rPr>
              <w:t>2</w:t>
            </w:r>
            <w:r>
              <w:t xml:space="preserve"> value) for each. The automated analysis process provides the analyst with opportunities to select the range of historic data to be included, consider multiple future projection years.</w:t>
            </w:r>
          </w:p>
        </w:tc>
      </w:tr>
      <w:tr w:rsidR="00225952" w:rsidRPr="00380CF5" w:rsidTr="00D53BEE">
        <w:tc>
          <w:tcPr>
            <w:tcW w:w="2329" w:type="dxa"/>
          </w:tcPr>
          <w:p w:rsidR="00225952" w:rsidRPr="006135BA" w:rsidRDefault="00225952" w:rsidP="00225952">
            <w:pPr>
              <w:pStyle w:val="Heading4"/>
            </w:pPr>
            <w:r w:rsidRPr="006135BA">
              <w:t>Example Application of Trend Analysis and the Trends Spreadsheet</w:t>
            </w:r>
          </w:p>
          <w:p w:rsidR="00225952" w:rsidRPr="006135BA" w:rsidRDefault="00225952" w:rsidP="00225952">
            <w:pPr>
              <w:pStyle w:val="Heading4"/>
            </w:pPr>
          </w:p>
        </w:tc>
        <w:tc>
          <w:tcPr>
            <w:tcW w:w="3928" w:type="dxa"/>
          </w:tcPr>
          <w:p w:rsidR="00225952" w:rsidRDefault="00225952" w:rsidP="00225952">
            <w:pPr>
              <w:spacing w:after="240"/>
            </w:pPr>
            <w:r>
              <w:t xml:space="preserve">The following example is provided to illustrate the use of the three regression models for forecasting traffic volumes on a roadway (US 17/92) in Seminole County. Information regarding the applicability of the three growth trend techniques is also presented. Exhibit </w:t>
            </w:r>
            <w:r w:rsidR="00D53BEE">
              <w:t>9</w:t>
            </w:r>
            <w:r>
              <w:t xml:space="preserve"> summarizes the historical AADT on the roadway facility. </w:t>
            </w:r>
          </w:p>
          <w:p w:rsidR="00225952" w:rsidRDefault="00225952" w:rsidP="00225952">
            <w:pPr>
              <w:spacing w:after="240"/>
            </w:pPr>
          </w:p>
        </w:tc>
        <w:tc>
          <w:tcPr>
            <w:tcW w:w="3928" w:type="dxa"/>
          </w:tcPr>
          <w:p w:rsidR="00225952" w:rsidRPr="005862AE" w:rsidRDefault="00225952" w:rsidP="00225952">
            <w:pPr>
              <w:pStyle w:val="ExhibitNumber"/>
            </w:pPr>
            <w:r w:rsidRPr="005862AE">
              <w:lastRenderedPageBreak/>
              <w:t xml:space="preserve">Exhibit </w:t>
            </w:r>
            <w:r w:rsidR="00D53BEE">
              <w:t>9</w:t>
            </w:r>
            <w:r w:rsidRPr="005862AE">
              <w:t xml:space="preserve">    Historical Volumes </w:t>
            </w:r>
            <w:r w:rsidRPr="005862AE">
              <w:br/>
            </w:r>
            <w:r w:rsidRPr="005862AE">
              <w:rPr>
                <w:sz w:val="18"/>
              </w:rPr>
              <w:t>(Seminole County site 0040)</w:t>
            </w:r>
          </w:p>
          <w:tbl>
            <w:tblPr>
              <w:tblW w:w="0" w:type="auto"/>
              <w:jc w:val="center"/>
              <w:tblBorders>
                <w:top w:val="single" w:sz="12" w:space="0" w:color="000000"/>
                <w:bottom w:val="single" w:sz="12" w:space="0" w:color="000000"/>
              </w:tblBorders>
              <w:tblLayout w:type="fixed"/>
              <w:tblLook w:val="01E0"/>
            </w:tblPr>
            <w:tblGrid>
              <w:gridCol w:w="1008"/>
              <w:gridCol w:w="1514"/>
            </w:tblGrid>
            <w:tr w:rsidR="00225952" w:rsidRPr="008637FC">
              <w:trPr>
                <w:jc w:val="center"/>
              </w:trPr>
              <w:tc>
                <w:tcPr>
                  <w:tcW w:w="1008" w:type="dxa"/>
                  <w:tcBorders>
                    <w:top w:val="single" w:sz="12" w:space="0" w:color="000000"/>
                    <w:left w:val="nil"/>
                    <w:bottom w:val="single" w:sz="6" w:space="0" w:color="000000"/>
                    <w:right w:val="single" w:sz="6" w:space="0" w:color="000000"/>
                  </w:tcBorders>
                </w:tcPr>
                <w:p w:rsidR="00225952" w:rsidRPr="005862AE" w:rsidRDefault="00225952" w:rsidP="00225952">
                  <w:pPr>
                    <w:spacing w:after="0"/>
                    <w:jc w:val="center"/>
                    <w:rPr>
                      <w:b/>
                      <w:i/>
                      <w:iCs/>
                      <w:sz w:val="20"/>
                    </w:rPr>
                  </w:pPr>
                  <w:r w:rsidRPr="005862AE">
                    <w:rPr>
                      <w:b/>
                      <w:i/>
                      <w:iCs/>
                      <w:sz w:val="20"/>
                    </w:rPr>
                    <w:t>Year</w:t>
                  </w:r>
                </w:p>
              </w:tc>
              <w:tc>
                <w:tcPr>
                  <w:tcW w:w="1514" w:type="dxa"/>
                  <w:tcBorders>
                    <w:top w:val="single" w:sz="12" w:space="0" w:color="000000"/>
                    <w:left w:val="nil"/>
                    <w:bottom w:val="single" w:sz="6" w:space="0" w:color="000000"/>
                    <w:right w:val="nil"/>
                  </w:tcBorders>
                </w:tcPr>
                <w:p w:rsidR="00225952" w:rsidRPr="005862AE" w:rsidRDefault="00225952" w:rsidP="00225952">
                  <w:pPr>
                    <w:spacing w:after="0"/>
                    <w:jc w:val="center"/>
                    <w:rPr>
                      <w:b/>
                      <w:bCs/>
                      <w:sz w:val="20"/>
                    </w:rPr>
                  </w:pPr>
                  <w:r w:rsidRPr="005862AE">
                    <w:rPr>
                      <w:b/>
                      <w:bCs/>
                      <w:sz w:val="20"/>
                    </w:rPr>
                    <w:t>Volume (AADT)</w:t>
                  </w:r>
                </w:p>
              </w:tc>
            </w:tr>
            <w:tr w:rsidR="00225952" w:rsidRPr="008637FC">
              <w:trPr>
                <w:jc w:val="center"/>
              </w:trPr>
              <w:tc>
                <w:tcPr>
                  <w:tcW w:w="1008" w:type="dxa"/>
                  <w:tcBorders>
                    <w:top w:val="nil"/>
                    <w:left w:val="nil"/>
                    <w:bottom w:val="nil"/>
                    <w:right w:val="single" w:sz="6" w:space="0" w:color="000000"/>
                  </w:tcBorders>
                </w:tcPr>
                <w:p w:rsidR="00225952" w:rsidRPr="005862AE" w:rsidRDefault="00225952" w:rsidP="00225952">
                  <w:pPr>
                    <w:spacing w:after="0"/>
                    <w:jc w:val="center"/>
                    <w:rPr>
                      <w:sz w:val="20"/>
                    </w:rPr>
                  </w:pPr>
                  <w:r w:rsidRPr="005862AE">
                    <w:rPr>
                      <w:sz w:val="20"/>
                    </w:rPr>
                    <w:t>1998</w:t>
                  </w:r>
                </w:p>
              </w:tc>
              <w:tc>
                <w:tcPr>
                  <w:tcW w:w="1514" w:type="dxa"/>
                  <w:tcBorders>
                    <w:top w:val="nil"/>
                    <w:left w:val="nil"/>
                    <w:bottom w:val="nil"/>
                    <w:right w:val="nil"/>
                  </w:tcBorders>
                </w:tcPr>
                <w:p w:rsidR="00225952" w:rsidRPr="005862AE" w:rsidRDefault="00225952" w:rsidP="00225952">
                  <w:pPr>
                    <w:spacing w:after="0"/>
                    <w:jc w:val="center"/>
                    <w:rPr>
                      <w:sz w:val="20"/>
                    </w:rPr>
                  </w:pPr>
                  <w:r w:rsidRPr="005862AE">
                    <w:rPr>
                      <w:sz w:val="20"/>
                    </w:rPr>
                    <w:t>21,000</w:t>
                  </w:r>
                </w:p>
              </w:tc>
            </w:tr>
            <w:tr w:rsidR="00225952" w:rsidRPr="008637FC">
              <w:trPr>
                <w:jc w:val="center"/>
              </w:trPr>
              <w:tc>
                <w:tcPr>
                  <w:tcW w:w="1008" w:type="dxa"/>
                  <w:tcBorders>
                    <w:top w:val="nil"/>
                    <w:left w:val="nil"/>
                    <w:bottom w:val="nil"/>
                    <w:right w:val="single" w:sz="6" w:space="0" w:color="000000"/>
                  </w:tcBorders>
                </w:tcPr>
                <w:p w:rsidR="00225952" w:rsidRPr="005862AE" w:rsidRDefault="00225952" w:rsidP="00225952">
                  <w:pPr>
                    <w:spacing w:after="0"/>
                    <w:jc w:val="center"/>
                    <w:rPr>
                      <w:sz w:val="20"/>
                    </w:rPr>
                  </w:pPr>
                  <w:r w:rsidRPr="005862AE">
                    <w:rPr>
                      <w:sz w:val="20"/>
                    </w:rPr>
                    <w:t>1999</w:t>
                  </w:r>
                </w:p>
              </w:tc>
              <w:tc>
                <w:tcPr>
                  <w:tcW w:w="1514" w:type="dxa"/>
                  <w:tcBorders>
                    <w:top w:val="nil"/>
                    <w:left w:val="nil"/>
                    <w:bottom w:val="nil"/>
                    <w:right w:val="nil"/>
                  </w:tcBorders>
                </w:tcPr>
                <w:p w:rsidR="00225952" w:rsidRPr="005862AE" w:rsidRDefault="00225952" w:rsidP="00225952">
                  <w:pPr>
                    <w:spacing w:after="0"/>
                    <w:jc w:val="center"/>
                    <w:rPr>
                      <w:sz w:val="20"/>
                    </w:rPr>
                  </w:pPr>
                  <w:r w:rsidRPr="005862AE">
                    <w:rPr>
                      <w:sz w:val="20"/>
                    </w:rPr>
                    <w:t>21,500</w:t>
                  </w:r>
                </w:p>
              </w:tc>
            </w:tr>
            <w:tr w:rsidR="00225952" w:rsidRPr="008637FC">
              <w:trPr>
                <w:jc w:val="center"/>
              </w:trPr>
              <w:tc>
                <w:tcPr>
                  <w:tcW w:w="1008" w:type="dxa"/>
                  <w:tcBorders>
                    <w:top w:val="nil"/>
                    <w:left w:val="nil"/>
                    <w:bottom w:val="nil"/>
                    <w:right w:val="single" w:sz="6" w:space="0" w:color="000000"/>
                  </w:tcBorders>
                </w:tcPr>
                <w:p w:rsidR="00225952" w:rsidRPr="005862AE" w:rsidRDefault="00225952" w:rsidP="00225952">
                  <w:pPr>
                    <w:spacing w:after="0"/>
                    <w:jc w:val="center"/>
                    <w:rPr>
                      <w:sz w:val="20"/>
                    </w:rPr>
                  </w:pPr>
                  <w:r w:rsidRPr="005862AE">
                    <w:rPr>
                      <w:sz w:val="20"/>
                    </w:rPr>
                    <w:t>2000</w:t>
                  </w:r>
                </w:p>
              </w:tc>
              <w:tc>
                <w:tcPr>
                  <w:tcW w:w="1514" w:type="dxa"/>
                  <w:tcBorders>
                    <w:top w:val="nil"/>
                    <w:left w:val="nil"/>
                    <w:bottom w:val="nil"/>
                    <w:right w:val="nil"/>
                  </w:tcBorders>
                </w:tcPr>
                <w:p w:rsidR="00225952" w:rsidRPr="005862AE" w:rsidRDefault="00225952" w:rsidP="00225952">
                  <w:pPr>
                    <w:spacing w:after="0"/>
                    <w:jc w:val="center"/>
                    <w:rPr>
                      <w:sz w:val="20"/>
                    </w:rPr>
                  </w:pPr>
                  <w:r w:rsidRPr="005862AE">
                    <w:rPr>
                      <w:sz w:val="20"/>
                    </w:rPr>
                    <w:t>19,000</w:t>
                  </w:r>
                </w:p>
              </w:tc>
            </w:tr>
            <w:tr w:rsidR="00225952" w:rsidRPr="008637FC">
              <w:trPr>
                <w:jc w:val="center"/>
              </w:trPr>
              <w:tc>
                <w:tcPr>
                  <w:tcW w:w="1008" w:type="dxa"/>
                  <w:tcBorders>
                    <w:top w:val="nil"/>
                    <w:left w:val="nil"/>
                    <w:bottom w:val="nil"/>
                    <w:right w:val="single" w:sz="6" w:space="0" w:color="000000"/>
                  </w:tcBorders>
                </w:tcPr>
                <w:p w:rsidR="00225952" w:rsidRPr="005862AE" w:rsidRDefault="00225952" w:rsidP="00225952">
                  <w:pPr>
                    <w:spacing w:after="0"/>
                    <w:jc w:val="center"/>
                    <w:rPr>
                      <w:sz w:val="20"/>
                    </w:rPr>
                  </w:pPr>
                  <w:r w:rsidRPr="005862AE">
                    <w:rPr>
                      <w:sz w:val="20"/>
                    </w:rPr>
                    <w:t>2001</w:t>
                  </w:r>
                </w:p>
              </w:tc>
              <w:tc>
                <w:tcPr>
                  <w:tcW w:w="1514" w:type="dxa"/>
                  <w:tcBorders>
                    <w:top w:val="nil"/>
                    <w:left w:val="nil"/>
                    <w:bottom w:val="nil"/>
                    <w:right w:val="nil"/>
                  </w:tcBorders>
                </w:tcPr>
                <w:p w:rsidR="00225952" w:rsidRPr="005862AE" w:rsidRDefault="00225952" w:rsidP="00225952">
                  <w:pPr>
                    <w:spacing w:after="0"/>
                    <w:jc w:val="center"/>
                    <w:rPr>
                      <w:sz w:val="20"/>
                    </w:rPr>
                  </w:pPr>
                  <w:r w:rsidRPr="005862AE">
                    <w:rPr>
                      <w:sz w:val="20"/>
                    </w:rPr>
                    <w:t>21,500</w:t>
                  </w:r>
                </w:p>
              </w:tc>
            </w:tr>
            <w:tr w:rsidR="00225952" w:rsidRPr="008637FC">
              <w:trPr>
                <w:jc w:val="center"/>
              </w:trPr>
              <w:tc>
                <w:tcPr>
                  <w:tcW w:w="1008" w:type="dxa"/>
                  <w:tcBorders>
                    <w:top w:val="nil"/>
                    <w:left w:val="nil"/>
                    <w:bottom w:val="nil"/>
                    <w:right w:val="single" w:sz="6" w:space="0" w:color="000000"/>
                  </w:tcBorders>
                </w:tcPr>
                <w:p w:rsidR="00225952" w:rsidRPr="005862AE" w:rsidRDefault="00225952" w:rsidP="00225952">
                  <w:pPr>
                    <w:spacing w:after="0"/>
                    <w:jc w:val="center"/>
                    <w:rPr>
                      <w:sz w:val="20"/>
                    </w:rPr>
                  </w:pPr>
                  <w:r w:rsidRPr="005862AE">
                    <w:rPr>
                      <w:sz w:val="20"/>
                    </w:rPr>
                    <w:t>2002</w:t>
                  </w:r>
                </w:p>
              </w:tc>
              <w:tc>
                <w:tcPr>
                  <w:tcW w:w="1514" w:type="dxa"/>
                  <w:tcBorders>
                    <w:top w:val="nil"/>
                    <w:left w:val="nil"/>
                    <w:bottom w:val="nil"/>
                    <w:right w:val="nil"/>
                  </w:tcBorders>
                </w:tcPr>
                <w:p w:rsidR="00225952" w:rsidRPr="005862AE" w:rsidRDefault="00225952" w:rsidP="00225952">
                  <w:pPr>
                    <w:spacing w:after="0"/>
                    <w:jc w:val="center"/>
                    <w:rPr>
                      <w:sz w:val="20"/>
                    </w:rPr>
                  </w:pPr>
                  <w:r w:rsidRPr="005862AE">
                    <w:rPr>
                      <w:sz w:val="20"/>
                    </w:rPr>
                    <w:t>25,500</w:t>
                  </w:r>
                </w:p>
              </w:tc>
            </w:tr>
            <w:tr w:rsidR="00225952" w:rsidRPr="008637FC">
              <w:trPr>
                <w:jc w:val="center"/>
              </w:trPr>
              <w:tc>
                <w:tcPr>
                  <w:tcW w:w="1008" w:type="dxa"/>
                  <w:tcBorders>
                    <w:top w:val="nil"/>
                    <w:left w:val="nil"/>
                    <w:bottom w:val="nil"/>
                    <w:right w:val="single" w:sz="6" w:space="0" w:color="000000"/>
                  </w:tcBorders>
                </w:tcPr>
                <w:p w:rsidR="00225952" w:rsidRPr="005862AE" w:rsidRDefault="00225952" w:rsidP="00225952">
                  <w:pPr>
                    <w:spacing w:after="0"/>
                    <w:jc w:val="center"/>
                    <w:rPr>
                      <w:sz w:val="20"/>
                    </w:rPr>
                  </w:pPr>
                  <w:r w:rsidRPr="005862AE">
                    <w:rPr>
                      <w:sz w:val="20"/>
                    </w:rPr>
                    <w:t>2003</w:t>
                  </w:r>
                </w:p>
              </w:tc>
              <w:tc>
                <w:tcPr>
                  <w:tcW w:w="1514" w:type="dxa"/>
                  <w:tcBorders>
                    <w:top w:val="nil"/>
                    <w:left w:val="nil"/>
                    <w:bottom w:val="nil"/>
                    <w:right w:val="nil"/>
                  </w:tcBorders>
                </w:tcPr>
                <w:p w:rsidR="00225952" w:rsidRPr="005862AE" w:rsidRDefault="00225952" w:rsidP="00225952">
                  <w:pPr>
                    <w:spacing w:after="0"/>
                    <w:jc w:val="center"/>
                    <w:rPr>
                      <w:sz w:val="20"/>
                    </w:rPr>
                  </w:pPr>
                  <w:r w:rsidRPr="005862AE">
                    <w:rPr>
                      <w:sz w:val="20"/>
                    </w:rPr>
                    <w:t>25,000</w:t>
                  </w:r>
                </w:p>
              </w:tc>
            </w:tr>
            <w:tr w:rsidR="00225952" w:rsidRPr="008637FC">
              <w:trPr>
                <w:jc w:val="center"/>
              </w:trPr>
              <w:tc>
                <w:tcPr>
                  <w:tcW w:w="1008" w:type="dxa"/>
                  <w:tcBorders>
                    <w:top w:val="nil"/>
                    <w:left w:val="nil"/>
                    <w:bottom w:val="nil"/>
                    <w:right w:val="single" w:sz="6" w:space="0" w:color="000000"/>
                  </w:tcBorders>
                </w:tcPr>
                <w:p w:rsidR="00225952" w:rsidRPr="005862AE" w:rsidRDefault="00225952" w:rsidP="00225952">
                  <w:pPr>
                    <w:spacing w:after="0"/>
                    <w:jc w:val="center"/>
                    <w:rPr>
                      <w:sz w:val="20"/>
                    </w:rPr>
                  </w:pPr>
                  <w:r w:rsidRPr="005862AE">
                    <w:rPr>
                      <w:sz w:val="20"/>
                    </w:rPr>
                    <w:t>2004</w:t>
                  </w:r>
                </w:p>
              </w:tc>
              <w:tc>
                <w:tcPr>
                  <w:tcW w:w="1514" w:type="dxa"/>
                  <w:tcBorders>
                    <w:top w:val="nil"/>
                    <w:left w:val="nil"/>
                    <w:bottom w:val="nil"/>
                    <w:right w:val="nil"/>
                  </w:tcBorders>
                </w:tcPr>
                <w:p w:rsidR="00225952" w:rsidRPr="005862AE" w:rsidRDefault="00225952" w:rsidP="00225952">
                  <w:pPr>
                    <w:spacing w:after="0"/>
                    <w:jc w:val="center"/>
                    <w:rPr>
                      <w:sz w:val="20"/>
                    </w:rPr>
                  </w:pPr>
                  <w:r w:rsidRPr="005862AE">
                    <w:rPr>
                      <w:sz w:val="20"/>
                    </w:rPr>
                    <w:t>25,000</w:t>
                  </w:r>
                </w:p>
              </w:tc>
            </w:tr>
            <w:tr w:rsidR="00225952" w:rsidRPr="008637FC">
              <w:trPr>
                <w:jc w:val="center"/>
              </w:trPr>
              <w:tc>
                <w:tcPr>
                  <w:tcW w:w="1008" w:type="dxa"/>
                  <w:tcBorders>
                    <w:top w:val="nil"/>
                    <w:left w:val="nil"/>
                    <w:bottom w:val="nil"/>
                    <w:right w:val="single" w:sz="6" w:space="0" w:color="000000"/>
                  </w:tcBorders>
                </w:tcPr>
                <w:p w:rsidR="00225952" w:rsidRPr="005862AE" w:rsidRDefault="00225952" w:rsidP="00225952">
                  <w:pPr>
                    <w:spacing w:after="0"/>
                    <w:jc w:val="center"/>
                    <w:rPr>
                      <w:sz w:val="20"/>
                    </w:rPr>
                  </w:pPr>
                  <w:r w:rsidRPr="005862AE">
                    <w:rPr>
                      <w:sz w:val="20"/>
                    </w:rPr>
                    <w:t>2005</w:t>
                  </w:r>
                </w:p>
              </w:tc>
              <w:tc>
                <w:tcPr>
                  <w:tcW w:w="1514" w:type="dxa"/>
                  <w:tcBorders>
                    <w:top w:val="nil"/>
                    <w:left w:val="nil"/>
                    <w:bottom w:val="nil"/>
                    <w:right w:val="nil"/>
                  </w:tcBorders>
                </w:tcPr>
                <w:p w:rsidR="00225952" w:rsidRPr="005862AE" w:rsidRDefault="00225952" w:rsidP="00225952">
                  <w:pPr>
                    <w:spacing w:after="0"/>
                    <w:jc w:val="center"/>
                    <w:rPr>
                      <w:sz w:val="20"/>
                    </w:rPr>
                  </w:pPr>
                  <w:r w:rsidRPr="005862AE">
                    <w:rPr>
                      <w:sz w:val="20"/>
                    </w:rPr>
                    <w:t>21,500</w:t>
                  </w:r>
                </w:p>
              </w:tc>
            </w:tr>
            <w:tr w:rsidR="00225952" w:rsidRPr="008637FC">
              <w:trPr>
                <w:jc w:val="center"/>
              </w:trPr>
              <w:tc>
                <w:tcPr>
                  <w:tcW w:w="1008" w:type="dxa"/>
                  <w:tcBorders>
                    <w:top w:val="nil"/>
                    <w:left w:val="nil"/>
                    <w:bottom w:val="nil"/>
                    <w:right w:val="single" w:sz="6" w:space="0" w:color="000000"/>
                  </w:tcBorders>
                </w:tcPr>
                <w:p w:rsidR="00225952" w:rsidRPr="005862AE" w:rsidRDefault="00225952" w:rsidP="00225952">
                  <w:pPr>
                    <w:spacing w:after="0"/>
                    <w:jc w:val="center"/>
                    <w:rPr>
                      <w:sz w:val="20"/>
                    </w:rPr>
                  </w:pPr>
                  <w:r w:rsidRPr="005862AE">
                    <w:rPr>
                      <w:sz w:val="20"/>
                    </w:rPr>
                    <w:t>2006</w:t>
                  </w:r>
                </w:p>
              </w:tc>
              <w:tc>
                <w:tcPr>
                  <w:tcW w:w="1514" w:type="dxa"/>
                  <w:tcBorders>
                    <w:top w:val="nil"/>
                    <w:left w:val="nil"/>
                    <w:bottom w:val="nil"/>
                    <w:right w:val="nil"/>
                  </w:tcBorders>
                </w:tcPr>
                <w:p w:rsidR="00225952" w:rsidRPr="005862AE" w:rsidRDefault="00225952" w:rsidP="00225952">
                  <w:pPr>
                    <w:spacing w:after="0"/>
                    <w:jc w:val="center"/>
                    <w:rPr>
                      <w:sz w:val="20"/>
                    </w:rPr>
                  </w:pPr>
                  <w:r w:rsidRPr="005862AE">
                    <w:rPr>
                      <w:sz w:val="20"/>
                    </w:rPr>
                    <w:t>23,000</w:t>
                  </w:r>
                </w:p>
              </w:tc>
            </w:tr>
            <w:tr w:rsidR="00225952" w:rsidRPr="008637FC">
              <w:trPr>
                <w:jc w:val="center"/>
              </w:trPr>
              <w:tc>
                <w:tcPr>
                  <w:tcW w:w="1008" w:type="dxa"/>
                  <w:tcBorders>
                    <w:top w:val="single" w:sz="6" w:space="0" w:color="000000"/>
                    <w:left w:val="nil"/>
                    <w:bottom w:val="single" w:sz="12" w:space="0" w:color="000000"/>
                    <w:right w:val="single" w:sz="6" w:space="0" w:color="000000"/>
                  </w:tcBorders>
                </w:tcPr>
                <w:p w:rsidR="00225952" w:rsidRPr="005862AE" w:rsidRDefault="00225952" w:rsidP="00225952">
                  <w:pPr>
                    <w:spacing w:after="0"/>
                    <w:jc w:val="center"/>
                    <w:rPr>
                      <w:b/>
                      <w:bCs/>
                      <w:sz w:val="20"/>
                    </w:rPr>
                  </w:pPr>
                  <w:r w:rsidRPr="005862AE">
                    <w:rPr>
                      <w:b/>
                      <w:bCs/>
                      <w:sz w:val="20"/>
                    </w:rPr>
                    <w:t>2007</w:t>
                  </w:r>
                </w:p>
              </w:tc>
              <w:tc>
                <w:tcPr>
                  <w:tcW w:w="1514" w:type="dxa"/>
                  <w:tcBorders>
                    <w:top w:val="single" w:sz="6" w:space="0" w:color="000000"/>
                    <w:left w:val="nil"/>
                    <w:bottom w:val="single" w:sz="12" w:space="0" w:color="000000"/>
                    <w:right w:val="nil"/>
                  </w:tcBorders>
                </w:tcPr>
                <w:p w:rsidR="00225952" w:rsidRPr="005862AE" w:rsidRDefault="00225952" w:rsidP="00225952">
                  <w:pPr>
                    <w:spacing w:after="0"/>
                    <w:jc w:val="center"/>
                    <w:rPr>
                      <w:sz w:val="20"/>
                    </w:rPr>
                  </w:pPr>
                  <w:r w:rsidRPr="005862AE">
                    <w:rPr>
                      <w:sz w:val="20"/>
                    </w:rPr>
                    <w:t>25,000</w:t>
                  </w:r>
                </w:p>
              </w:tc>
            </w:tr>
          </w:tbl>
          <w:p w:rsidR="00225952" w:rsidRDefault="00225952" w:rsidP="00225952">
            <w:pPr>
              <w:spacing w:after="240"/>
            </w:pPr>
          </w:p>
        </w:tc>
      </w:tr>
      <w:tr w:rsidR="00225952" w:rsidRPr="00380CF5" w:rsidTr="008D6C65">
        <w:tc>
          <w:tcPr>
            <w:tcW w:w="2329" w:type="dxa"/>
          </w:tcPr>
          <w:p w:rsidR="00225952" w:rsidRPr="006135BA" w:rsidRDefault="00225952" w:rsidP="00225952">
            <w:pPr>
              <w:pStyle w:val="Heading4"/>
            </w:pPr>
            <w:r w:rsidRPr="006135BA">
              <w:lastRenderedPageBreak/>
              <w:t>Linear Growth</w:t>
            </w:r>
          </w:p>
          <w:p w:rsidR="00225952" w:rsidRDefault="00225952" w:rsidP="00225952"/>
          <w:p w:rsidR="00225952" w:rsidRDefault="00225952" w:rsidP="00225952">
            <w:pPr>
              <w:pStyle w:val="SidebarSentence"/>
            </w:pPr>
            <w:r>
              <w:t>Linear growth assumes a constant amount of growth in each year and does not consider a capacity restraint</w:t>
            </w:r>
          </w:p>
          <w:p w:rsidR="00225952" w:rsidRPr="006135BA" w:rsidRDefault="00225952" w:rsidP="00225952">
            <w:pPr>
              <w:pStyle w:val="Heading4"/>
            </w:pPr>
          </w:p>
        </w:tc>
        <w:tc>
          <w:tcPr>
            <w:tcW w:w="7856" w:type="dxa"/>
            <w:gridSpan w:val="2"/>
          </w:tcPr>
          <w:p w:rsidR="00225952" w:rsidRDefault="00225952" w:rsidP="00225952">
            <w:r>
              <w:t>Linear growth predicts the future traffic based on a straight line developed from historic traffic growth. This model assumes a constant amount of growth in each year and does not consider a capacity restraint. The mathematical model for linear growth is as follows:</w:t>
            </w:r>
          </w:p>
          <w:p w:rsidR="00225952" w:rsidRPr="00A05C40" w:rsidRDefault="00225952" w:rsidP="00225952">
            <w:pPr>
              <w:rPr>
                <w:rFonts w:ascii="Georgia" w:hAnsi="Georgia"/>
              </w:rPr>
            </w:pPr>
            <w:r w:rsidRPr="00A05C40">
              <w:rPr>
                <w:rFonts w:ascii="Georgia" w:hAnsi="Georgia"/>
              </w:rPr>
              <w:t>Future Volume = (Linear Growth Rate * Number of Years) + Base Year Volume</w:t>
            </w:r>
          </w:p>
          <w:p w:rsidR="00225952" w:rsidRPr="00A05C40" w:rsidRDefault="00225952" w:rsidP="00225952">
            <w:pPr>
              <w:rPr>
                <w:rFonts w:ascii="Georgia" w:hAnsi="Georgia"/>
              </w:rPr>
            </w:pPr>
            <w:r w:rsidRPr="00A05C40">
              <w:rPr>
                <w:rFonts w:ascii="Georgia" w:hAnsi="Georgia"/>
              </w:rPr>
              <w:t>Volume</w:t>
            </w:r>
            <w:r w:rsidRPr="00A05C40">
              <w:rPr>
                <w:rFonts w:ascii="Georgia" w:hAnsi="Georgia"/>
                <w:szCs w:val="19"/>
                <w:vertAlign w:val="subscript"/>
              </w:rPr>
              <w:t>FY</w:t>
            </w:r>
            <w:r w:rsidRPr="00A05C40">
              <w:rPr>
                <w:rFonts w:ascii="Georgia" w:hAnsi="Georgia"/>
              </w:rPr>
              <w:t xml:space="preserve"> = G</w:t>
            </w:r>
            <w:r w:rsidRPr="00A05C40">
              <w:rPr>
                <w:rFonts w:ascii="Georgia" w:hAnsi="Georgia"/>
                <w:szCs w:val="19"/>
                <w:vertAlign w:val="subscript"/>
              </w:rPr>
              <w:t>Linear</w:t>
            </w:r>
            <w:r w:rsidRPr="00A05C40">
              <w:rPr>
                <w:rFonts w:ascii="Georgia" w:hAnsi="Georgia"/>
              </w:rPr>
              <w:t xml:space="preserve"> * N + Volume</w:t>
            </w:r>
            <w:r w:rsidRPr="00A05C40">
              <w:rPr>
                <w:rFonts w:ascii="Georgia" w:hAnsi="Georgia"/>
                <w:szCs w:val="19"/>
                <w:vertAlign w:val="subscript"/>
              </w:rPr>
              <w:t>BY</w:t>
            </w:r>
          </w:p>
          <w:p w:rsidR="00225952" w:rsidRPr="00C83292" w:rsidRDefault="00225952" w:rsidP="00225952">
            <w:pPr>
              <w:spacing w:after="0"/>
              <w:ind w:firstLine="425"/>
              <w:rPr>
                <w:rFonts w:ascii="Book Antiqua" w:hAnsi="Book Antiqua"/>
              </w:rPr>
            </w:pPr>
            <w:r w:rsidRPr="00C83292">
              <w:rPr>
                <w:rFonts w:ascii="Book Antiqua" w:hAnsi="Book Antiqua"/>
              </w:rPr>
              <w:t>Where:</w:t>
            </w:r>
            <w:r>
              <w:rPr>
                <w:rFonts w:ascii="Book Antiqua" w:hAnsi="Book Antiqua"/>
              </w:rPr>
              <w:tab/>
            </w:r>
            <w:r w:rsidRPr="00C83292">
              <w:rPr>
                <w:rFonts w:ascii="Book Antiqua" w:hAnsi="Book Antiqua"/>
              </w:rPr>
              <w:t>G = Linear growth rate</w:t>
            </w:r>
          </w:p>
          <w:p w:rsidR="00225952" w:rsidRPr="00C83292" w:rsidRDefault="00225952" w:rsidP="00225952">
            <w:pPr>
              <w:spacing w:after="0"/>
              <w:ind w:left="720" w:firstLine="720"/>
              <w:rPr>
                <w:rFonts w:ascii="Book Antiqua" w:hAnsi="Book Antiqua"/>
              </w:rPr>
            </w:pPr>
            <w:r w:rsidRPr="00C83292">
              <w:rPr>
                <w:rFonts w:ascii="Book Antiqua" w:hAnsi="Book Antiqua"/>
              </w:rPr>
              <w:t>N = Years beyond the base year</w:t>
            </w:r>
          </w:p>
          <w:p w:rsidR="00225952" w:rsidRPr="00C83292" w:rsidRDefault="00225952" w:rsidP="00225952">
            <w:pPr>
              <w:spacing w:after="0"/>
              <w:ind w:left="720" w:firstLine="720"/>
              <w:rPr>
                <w:rFonts w:ascii="Book Antiqua" w:hAnsi="Book Antiqua"/>
              </w:rPr>
            </w:pPr>
            <w:r w:rsidRPr="00C83292">
              <w:rPr>
                <w:rFonts w:ascii="Book Antiqua" w:hAnsi="Book Antiqua"/>
              </w:rPr>
              <w:t>FY = Future year</w:t>
            </w:r>
          </w:p>
          <w:p w:rsidR="00225952" w:rsidRDefault="00225952" w:rsidP="00225952">
            <w:pPr>
              <w:spacing w:after="120"/>
            </w:pPr>
            <w:r>
              <w:rPr>
                <w:rFonts w:ascii="Book Antiqua" w:hAnsi="Book Antiqua"/>
              </w:rPr>
              <w:tab/>
            </w:r>
            <w:r>
              <w:rPr>
                <w:rFonts w:ascii="Book Antiqua" w:hAnsi="Book Antiqua"/>
              </w:rPr>
              <w:tab/>
            </w:r>
            <w:r w:rsidRPr="00C83292">
              <w:rPr>
                <w:rFonts w:ascii="Book Antiqua" w:hAnsi="Book Antiqua"/>
              </w:rPr>
              <w:t>BY = Base year</w:t>
            </w:r>
          </w:p>
        </w:tc>
      </w:tr>
      <w:tr w:rsidR="00225952" w:rsidRPr="00380CF5" w:rsidTr="007F6A0C">
        <w:tc>
          <w:tcPr>
            <w:tcW w:w="2329" w:type="dxa"/>
          </w:tcPr>
          <w:p w:rsidR="00A72D9B" w:rsidRDefault="00A72D9B" w:rsidP="00225952">
            <w:pPr>
              <w:pStyle w:val="ExhibitNumber"/>
            </w:pPr>
          </w:p>
          <w:p w:rsidR="00A72D9B" w:rsidRDefault="00A72D9B" w:rsidP="00225952">
            <w:pPr>
              <w:pStyle w:val="ExhibitNumber"/>
            </w:pPr>
          </w:p>
          <w:p w:rsidR="00225952" w:rsidRPr="005862AE" w:rsidRDefault="00225952" w:rsidP="00225952">
            <w:pPr>
              <w:pStyle w:val="ExhibitNumber"/>
            </w:pPr>
            <w:r w:rsidRPr="005862AE">
              <w:t xml:space="preserve">Exhibit </w:t>
            </w:r>
            <w:r w:rsidR="00784F8A">
              <w:t>10</w:t>
            </w:r>
            <w:r w:rsidRPr="005862AE">
              <w:t xml:space="preserve"> </w:t>
            </w:r>
          </w:p>
          <w:p w:rsidR="00225952" w:rsidRDefault="00225952" w:rsidP="00225952">
            <w:pPr>
              <w:pStyle w:val="FigureTitle"/>
              <w:rPr>
                <w:highlight w:val="red"/>
              </w:rPr>
            </w:pPr>
            <w:r w:rsidRPr="00033B90">
              <w:t xml:space="preserve"> Linear Growth Projects Using Traffic Trends</w:t>
            </w:r>
          </w:p>
        </w:tc>
        <w:tc>
          <w:tcPr>
            <w:tcW w:w="7856" w:type="dxa"/>
            <w:gridSpan w:val="2"/>
            <w:vAlign w:val="center"/>
          </w:tcPr>
          <w:p w:rsidR="00225952" w:rsidRDefault="00225952" w:rsidP="00225952">
            <w:r>
              <w:rPr>
                <w:noProof/>
              </w:rPr>
              <w:drawing>
                <wp:inline distT="0" distB="0" distL="0" distR="0">
                  <wp:extent cx="4972050" cy="3537661"/>
                  <wp:effectExtent l="19050" t="0" r="0" b="0"/>
                  <wp:docPr id="1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8" cstate="print"/>
                          <a:srcRect/>
                          <a:stretch>
                            <a:fillRect/>
                          </a:stretch>
                        </pic:blipFill>
                        <pic:spPr bwMode="auto">
                          <a:xfrm>
                            <a:off x="0" y="0"/>
                            <a:ext cx="4970458" cy="3536528"/>
                          </a:xfrm>
                          <a:prstGeom prst="rect">
                            <a:avLst/>
                          </a:prstGeom>
                          <a:noFill/>
                          <a:ln w="9525">
                            <a:noFill/>
                            <a:miter lim="800000"/>
                            <a:headEnd/>
                            <a:tailEnd/>
                          </a:ln>
                        </pic:spPr>
                      </pic:pic>
                    </a:graphicData>
                  </a:graphic>
                </wp:inline>
              </w:drawing>
            </w:r>
          </w:p>
        </w:tc>
      </w:tr>
      <w:tr w:rsidR="00225952" w:rsidRPr="00380CF5" w:rsidTr="007F6A0C">
        <w:tc>
          <w:tcPr>
            <w:tcW w:w="2329" w:type="dxa"/>
          </w:tcPr>
          <w:p w:rsidR="00225952" w:rsidRDefault="00225952" w:rsidP="00225952">
            <w:pPr>
              <w:rPr>
                <w:bCs/>
              </w:rPr>
            </w:pPr>
          </w:p>
        </w:tc>
        <w:tc>
          <w:tcPr>
            <w:tcW w:w="7856" w:type="dxa"/>
            <w:gridSpan w:val="2"/>
          </w:tcPr>
          <w:p w:rsidR="00225952" w:rsidRDefault="00225952" w:rsidP="00225952">
            <w:r w:rsidRPr="007074B6">
              <w:t xml:space="preserve">Using the Seminole County example data, the results of the linear growth rate estimated an average growth of 418 vehicles per year as shown in Exhibit </w:t>
            </w:r>
            <w:r w:rsidR="00865811">
              <w:t>10</w:t>
            </w:r>
            <w:r w:rsidRPr="007074B6">
              <w:t>. The software allows users to select three analysis horizon years per evaluation run. In this example, an opening year of 2009 was evaluated along with a mid-year of 2016, and a long-term horizon of 2026.</w:t>
            </w:r>
          </w:p>
          <w:p w:rsidR="00225952" w:rsidRDefault="00225952" w:rsidP="007F6A0C"/>
        </w:tc>
      </w:tr>
    </w:tbl>
    <w:p w:rsidR="007F6A0C" w:rsidRDefault="007F6A0C" w:rsidP="007F6A0C">
      <w:r>
        <w:lastRenderedPageBreak/>
        <w:br w:type="page"/>
      </w:r>
    </w:p>
    <w:tbl>
      <w:tblPr>
        <w:tblW w:w="10185" w:type="dxa"/>
        <w:tblInd w:w="108" w:type="dxa"/>
        <w:tblLayout w:type="fixed"/>
        <w:tblLook w:val="0000"/>
      </w:tblPr>
      <w:tblGrid>
        <w:gridCol w:w="2329"/>
        <w:gridCol w:w="7856"/>
      </w:tblGrid>
      <w:tr w:rsidR="00225952" w:rsidRPr="00380CF5" w:rsidTr="008D6C65">
        <w:tc>
          <w:tcPr>
            <w:tcW w:w="2329" w:type="dxa"/>
          </w:tcPr>
          <w:p w:rsidR="00225952" w:rsidRPr="006135BA" w:rsidRDefault="00225952" w:rsidP="00225952">
            <w:pPr>
              <w:pStyle w:val="Heading4"/>
            </w:pPr>
            <w:r>
              <w:rPr>
                <w:bCs w:val="0"/>
              </w:rPr>
              <w:lastRenderedPageBreak/>
              <w:br w:type="page"/>
            </w:r>
            <w:r w:rsidRPr="006135BA">
              <w:t>Exponential Growth</w:t>
            </w:r>
          </w:p>
          <w:p w:rsidR="00225952" w:rsidRDefault="00225952" w:rsidP="00225952"/>
          <w:p w:rsidR="00225952" w:rsidRDefault="00225952" w:rsidP="00225952"/>
          <w:p w:rsidR="00225952" w:rsidRDefault="00225952" w:rsidP="00225952">
            <w:pPr>
              <w:pStyle w:val="SidebarSentence"/>
            </w:pPr>
            <w:r>
              <w:t>Exponential growth is most applicable where there is rapid growth and capacity available</w:t>
            </w:r>
          </w:p>
          <w:p w:rsidR="00225952" w:rsidRPr="00387B8F" w:rsidRDefault="00225952" w:rsidP="00225952"/>
        </w:tc>
        <w:tc>
          <w:tcPr>
            <w:tcW w:w="7856" w:type="dxa"/>
          </w:tcPr>
          <w:p w:rsidR="00225952" w:rsidRDefault="00225952" w:rsidP="00225952">
            <w:r w:rsidRPr="009344C0">
              <w:t>Exponential growth predicts the future traffic based on a percentage of growth from the previous year. This model is most applicable where there is rapid growth and capacity available. The mathematical form of exponential growth is as follows:</w:t>
            </w:r>
          </w:p>
          <w:p w:rsidR="00225952" w:rsidRPr="00C83292" w:rsidRDefault="00225952" w:rsidP="00225952">
            <w:pPr>
              <w:spacing w:after="120"/>
              <w:rPr>
                <w:rFonts w:ascii="Book Antiqua" w:hAnsi="Book Antiqua"/>
              </w:rPr>
            </w:pPr>
            <w:r w:rsidRPr="00C83292">
              <w:rPr>
                <w:rFonts w:ascii="Book Antiqua" w:hAnsi="Book Antiqua"/>
              </w:rPr>
              <w:t>Future Volume = Base Year Volume (1 + Growth Rate)</w:t>
            </w:r>
            <w:r w:rsidRPr="00C83292">
              <w:rPr>
                <w:rFonts w:ascii="Book Antiqua" w:hAnsi="Book Antiqua"/>
                <w:szCs w:val="19"/>
                <w:vertAlign w:val="superscript"/>
              </w:rPr>
              <w:t>Number of Years</w:t>
            </w:r>
          </w:p>
          <w:p w:rsidR="00225952" w:rsidRPr="00C83292" w:rsidRDefault="00225952" w:rsidP="00225952">
            <w:pPr>
              <w:spacing w:after="120"/>
              <w:rPr>
                <w:rFonts w:ascii="Book Antiqua" w:hAnsi="Book Antiqua"/>
              </w:rPr>
            </w:pPr>
            <w:r w:rsidRPr="00C83292">
              <w:rPr>
                <w:rFonts w:ascii="Book Antiqua" w:hAnsi="Book Antiqua"/>
              </w:rPr>
              <w:t>Volume</w:t>
            </w:r>
            <w:r w:rsidRPr="00C83292">
              <w:rPr>
                <w:rFonts w:ascii="Book Antiqua" w:hAnsi="Book Antiqua"/>
                <w:szCs w:val="19"/>
                <w:vertAlign w:val="subscript"/>
              </w:rPr>
              <w:t>FY</w:t>
            </w:r>
            <w:r w:rsidRPr="00C83292">
              <w:rPr>
                <w:rFonts w:ascii="Book Antiqua" w:hAnsi="Book Antiqua"/>
              </w:rPr>
              <w:t xml:space="preserve"> = Volume</w:t>
            </w:r>
            <w:r w:rsidRPr="00C83292">
              <w:rPr>
                <w:rFonts w:ascii="Book Antiqua" w:hAnsi="Book Antiqua"/>
                <w:szCs w:val="19"/>
                <w:vertAlign w:val="subscript"/>
              </w:rPr>
              <w:t>BY</w:t>
            </w:r>
            <w:r w:rsidRPr="00C83292">
              <w:rPr>
                <w:rFonts w:ascii="Book Antiqua" w:hAnsi="Book Antiqua"/>
              </w:rPr>
              <w:t xml:space="preserve"> * (1 + Gr)</w:t>
            </w:r>
            <w:r w:rsidRPr="00C83292">
              <w:rPr>
                <w:rFonts w:ascii="Book Antiqua" w:hAnsi="Book Antiqua"/>
                <w:szCs w:val="19"/>
                <w:vertAlign w:val="superscript"/>
              </w:rPr>
              <w:t>(FY-BY)</w:t>
            </w:r>
          </w:p>
          <w:p w:rsidR="00225952" w:rsidRPr="00C83292" w:rsidRDefault="00225952" w:rsidP="00225952">
            <w:pPr>
              <w:spacing w:after="0"/>
              <w:ind w:firstLine="425"/>
              <w:rPr>
                <w:rFonts w:ascii="Book Antiqua" w:hAnsi="Book Antiqua"/>
              </w:rPr>
            </w:pPr>
            <w:r w:rsidRPr="00C83292">
              <w:rPr>
                <w:rFonts w:ascii="Book Antiqua" w:hAnsi="Book Antiqua"/>
              </w:rPr>
              <w:t>Where:</w:t>
            </w:r>
            <w:r>
              <w:rPr>
                <w:rFonts w:ascii="Book Antiqua" w:hAnsi="Book Antiqua"/>
              </w:rPr>
              <w:tab/>
            </w:r>
            <w:r w:rsidRPr="00C83292">
              <w:rPr>
                <w:rFonts w:ascii="Book Antiqua" w:hAnsi="Book Antiqua"/>
              </w:rPr>
              <w:t>G</w:t>
            </w:r>
            <w:r w:rsidRPr="00C83292">
              <w:rPr>
                <w:rFonts w:ascii="Book Antiqua" w:hAnsi="Book Antiqua"/>
                <w:szCs w:val="19"/>
                <w:vertAlign w:val="subscript"/>
              </w:rPr>
              <w:t>r</w:t>
            </w:r>
            <w:r w:rsidRPr="00C83292">
              <w:rPr>
                <w:rFonts w:ascii="Book Antiqua" w:hAnsi="Book Antiqua"/>
              </w:rPr>
              <w:t xml:space="preserve"> = Geometric growth rate</w:t>
            </w:r>
          </w:p>
          <w:p w:rsidR="00225952" w:rsidRPr="00C83292" w:rsidRDefault="00225952" w:rsidP="00225952">
            <w:pPr>
              <w:spacing w:after="0"/>
              <w:ind w:left="720" w:firstLine="720"/>
              <w:rPr>
                <w:rFonts w:ascii="Book Antiqua" w:hAnsi="Book Antiqua"/>
              </w:rPr>
            </w:pPr>
            <w:r w:rsidRPr="00C83292">
              <w:rPr>
                <w:rFonts w:ascii="Book Antiqua" w:hAnsi="Book Antiqua"/>
              </w:rPr>
              <w:t>FY = Future year</w:t>
            </w:r>
          </w:p>
          <w:p w:rsidR="00225952" w:rsidRPr="00387B8F" w:rsidRDefault="00225952" w:rsidP="00225952">
            <w:pPr>
              <w:spacing w:after="0"/>
              <w:ind w:left="1440"/>
              <w:rPr>
                <w:rFonts w:ascii="Times New Roman" w:hAnsi="Times New Roman"/>
              </w:rPr>
            </w:pPr>
            <w:r w:rsidRPr="00C83292">
              <w:rPr>
                <w:rFonts w:ascii="Book Antiqua" w:hAnsi="Book Antiqua"/>
              </w:rPr>
              <w:t>BY = Base year</w:t>
            </w:r>
          </w:p>
        </w:tc>
      </w:tr>
      <w:tr w:rsidR="00225952" w:rsidRPr="00380CF5" w:rsidTr="00225952">
        <w:trPr>
          <w:trHeight w:val="5490"/>
        </w:trPr>
        <w:tc>
          <w:tcPr>
            <w:tcW w:w="2329" w:type="dxa"/>
          </w:tcPr>
          <w:p w:rsidR="00A72D9B" w:rsidRDefault="00A72D9B" w:rsidP="00225952">
            <w:pPr>
              <w:pStyle w:val="ExhibitNumber"/>
            </w:pPr>
          </w:p>
          <w:p w:rsidR="00A72D9B" w:rsidRDefault="00A72D9B" w:rsidP="00225952">
            <w:pPr>
              <w:pStyle w:val="ExhibitNumber"/>
            </w:pPr>
          </w:p>
          <w:p w:rsidR="00225952" w:rsidRPr="005862AE" w:rsidRDefault="00225952" w:rsidP="00225952">
            <w:pPr>
              <w:pStyle w:val="ExhibitNumber"/>
            </w:pPr>
            <w:r w:rsidRPr="005862AE">
              <w:t xml:space="preserve">Exhibit </w:t>
            </w:r>
            <w:r w:rsidR="00784F8A">
              <w:t>11</w:t>
            </w:r>
            <w:r w:rsidRPr="005862AE">
              <w:t xml:space="preserve"> </w:t>
            </w:r>
          </w:p>
          <w:p w:rsidR="00225952" w:rsidRDefault="00225952" w:rsidP="00225952">
            <w:pPr>
              <w:pStyle w:val="FigureTitle"/>
            </w:pPr>
            <w:r w:rsidRPr="00033B90">
              <w:t>Exponential Growth Projects Using Traffic Trends</w:t>
            </w:r>
          </w:p>
          <w:p w:rsidR="00225952" w:rsidRDefault="00225952" w:rsidP="00225952">
            <w:pPr>
              <w:pStyle w:val="FigureTitle"/>
            </w:pPr>
          </w:p>
          <w:p w:rsidR="00225952" w:rsidRDefault="00225952" w:rsidP="00225952">
            <w:pPr>
              <w:pStyle w:val="FigureTitle"/>
            </w:pPr>
          </w:p>
          <w:p w:rsidR="00225952" w:rsidRDefault="00225952" w:rsidP="00225952">
            <w:pPr>
              <w:pStyle w:val="FigureTitle"/>
            </w:pPr>
          </w:p>
          <w:p w:rsidR="00225952" w:rsidRDefault="00225952" w:rsidP="00225952">
            <w:pPr>
              <w:pStyle w:val="FigureTitle"/>
            </w:pPr>
          </w:p>
        </w:tc>
        <w:tc>
          <w:tcPr>
            <w:tcW w:w="7856" w:type="dxa"/>
            <w:vAlign w:val="center"/>
          </w:tcPr>
          <w:p w:rsidR="00225952" w:rsidRDefault="00225952" w:rsidP="00225952">
            <w:r>
              <w:rPr>
                <w:noProof/>
              </w:rPr>
              <w:drawing>
                <wp:inline distT="0" distB="0" distL="0" distR="0">
                  <wp:extent cx="4429125" cy="3312434"/>
                  <wp:effectExtent l="19050" t="0" r="9525" b="0"/>
                  <wp:docPr id="9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9" cstate="print"/>
                          <a:srcRect/>
                          <a:stretch>
                            <a:fillRect/>
                          </a:stretch>
                        </pic:blipFill>
                        <pic:spPr bwMode="auto">
                          <a:xfrm>
                            <a:off x="0" y="0"/>
                            <a:ext cx="4427051" cy="3310883"/>
                          </a:xfrm>
                          <a:prstGeom prst="rect">
                            <a:avLst/>
                          </a:prstGeom>
                          <a:noFill/>
                          <a:ln w="9525">
                            <a:noFill/>
                            <a:miter lim="800000"/>
                            <a:headEnd/>
                            <a:tailEnd/>
                          </a:ln>
                        </pic:spPr>
                      </pic:pic>
                    </a:graphicData>
                  </a:graphic>
                </wp:inline>
              </w:drawing>
            </w:r>
          </w:p>
        </w:tc>
      </w:tr>
    </w:tbl>
    <w:p w:rsidR="00225952" w:rsidRDefault="00225952">
      <w:r>
        <w:rPr>
          <w:b/>
          <w:bCs/>
        </w:rPr>
        <w:br w:type="page"/>
      </w:r>
    </w:p>
    <w:tbl>
      <w:tblPr>
        <w:tblW w:w="10267" w:type="dxa"/>
        <w:tblInd w:w="108" w:type="dxa"/>
        <w:tblLayout w:type="fixed"/>
        <w:tblLook w:val="0000"/>
      </w:tblPr>
      <w:tblGrid>
        <w:gridCol w:w="2329"/>
        <w:gridCol w:w="7856"/>
        <w:gridCol w:w="82"/>
      </w:tblGrid>
      <w:tr w:rsidR="00225952" w:rsidRPr="00380CF5" w:rsidTr="008D6C65">
        <w:trPr>
          <w:gridAfter w:val="1"/>
          <w:wAfter w:w="82" w:type="dxa"/>
        </w:trPr>
        <w:tc>
          <w:tcPr>
            <w:tcW w:w="2329" w:type="dxa"/>
          </w:tcPr>
          <w:p w:rsidR="00225952" w:rsidRPr="006135BA" w:rsidRDefault="00225952" w:rsidP="00225952">
            <w:pPr>
              <w:pStyle w:val="Heading4"/>
              <w:rPr>
                <w:spacing w:val="-2"/>
              </w:rPr>
            </w:pPr>
            <w:r w:rsidRPr="006135BA">
              <w:lastRenderedPageBreak/>
              <w:t>Decaying Exponential Growth</w:t>
            </w:r>
          </w:p>
          <w:p w:rsidR="00225952" w:rsidRDefault="00225952" w:rsidP="00225952">
            <w:pPr>
              <w:spacing w:after="0" w:line="240" w:lineRule="auto"/>
            </w:pPr>
          </w:p>
        </w:tc>
        <w:tc>
          <w:tcPr>
            <w:tcW w:w="7856" w:type="dxa"/>
          </w:tcPr>
          <w:p w:rsidR="00225952" w:rsidRDefault="00225952" w:rsidP="00225952">
            <w:r w:rsidRPr="009344C0">
              <w:t>Decaying Exponential Growth is used to project future traffic in areas with a declining rate of growth over the analysis period. This model form is recommended for site impact analysis in mature areas when build-out is approaching.</w:t>
            </w:r>
          </w:p>
        </w:tc>
      </w:tr>
      <w:tr w:rsidR="00225952" w:rsidRPr="00380CF5" w:rsidTr="00225952">
        <w:trPr>
          <w:gridAfter w:val="1"/>
          <w:wAfter w:w="82" w:type="dxa"/>
        </w:trPr>
        <w:tc>
          <w:tcPr>
            <w:tcW w:w="2329" w:type="dxa"/>
          </w:tcPr>
          <w:p w:rsidR="00225952" w:rsidRPr="00CC7A4C" w:rsidRDefault="00225952" w:rsidP="00225952">
            <w:pPr>
              <w:pStyle w:val="SidebarSentence"/>
            </w:pPr>
            <w:r>
              <w:t>Decaying Exponential Growth is used to project future traffic in areas with a declining rate of growth over the analysis period</w:t>
            </w:r>
          </w:p>
        </w:tc>
        <w:tc>
          <w:tcPr>
            <w:tcW w:w="7856" w:type="dxa"/>
          </w:tcPr>
          <w:p w:rsidR="00225952" w:rsidRPr="00C83292" w:rsidRDefault="00225952" w:rsidP="00225952">
            <w:pPr>
              <w:spacing w:after="120"/>
              <w:rPr>
                <w:rFonts w:ascii="Book Antiqua" w:hAnsi="Book Antiqua"/>
              </w:rPr>
            </w:pPr>
            <w:r w:rsidRPr="00C83292">
              <w:rPr>
                <w:rFonts w:ascii="Book Antiqua" w:hAnsi="Book Antiqua"/>
              </w:rPr>
              <w:t>Volume</w:t>
            </w:r>
            <w:r w:rsidRPr="00C83292">
              <w:rPr>
                <w:rFonts w:ascii="Book Antiqua" w:hAnsi="Book Antiqua"/>
                <w:szCs w:val="19"/>
                <w:vertAlign w:val="subscript"/>
              </w:rPr>
              <w:t>FY</w:t>
            </w:r>
            <w:r w:rsidRPr="00C83292">
              <w:rPr>
                <w:rFonts w:ascii="Book Antiqua" w:hAnsi="Book Antiqua"/>
              </w:rPr>
              <w:t xml:space="preserve">  =  Volume</w:t>
            </w:r>
            <w:r w:rsidRPr="00C83292">
              <w:rPr>
                <w:rFonts w:ascii="Book Antiqua" w:hAnsi="Book Antiqua"/>
                <w:szCs w:val="19"/>
                <w:vertAlign w:val="subscript"/>
              </w:rPr>
              <w:t>BY</w:t>
            </w:r>
            <w:r>
              <w:rPr>
                <w:rFonts w:ascii="Book Antiqua" w:hAnsi="Book Antiqua"/>
              </w:rPr>
              <w:t xml:space="preserve">  *</w:t>
            </w:r>
            <w:r w:rsidRPr="00C83292">
              <w:rPr>
                <w:rFonts w:ascii="Book Antiqua" w:hAnsi="Book Antiqua"/>
              </w:rPr>
              <w:t xml:space="preserve">  </w:t>
            </w:r>
            <w:r>
              <w:rPr>
                <w:rFonts w:ascii="Book Antiqua" w:hAnsi="Book Antiqua"/>
                <w:noProof/>
                <w:position w:val="-28"/>
                <w:vertAlign w:val="subscript"/>
              </w:rPr>
              <w:drawing>
                <wp:inline distT="0" distB="0" distL="0" distR="0">
                  <wp:extent cx="247015" cy="33782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0" cstate="print"/>
                          <a:srcRect/>
                          <a:stretch>
                            <a:fillRect/>
                          </a:stretch>
                        </pic:blipFill>
                        <pic:spPr bwMode="auto">
                          <a:xfrm>
                            <a:off x="0" y="0"/>
                            <a:ext cx="247015" cy="337820"/>
                          </a:xfrm>
                          <a:prstGeom prst="rect">
                            <a:avLst/>
                          </a:prstGeom>
                          <a:noFill/>
                          <a:ln w="9525">
                            <a:noFill/>
                            <a:miter lim="800000"/>
                            <a:headEnd/>
                            <a:tailEnd/>
                          </a:ln>
                        </pic:spPr>
                      </pic:pic>
                    </a:graphicData>
                  </a:graphic>
                </wp:inline>
              </w:drawing>
            </w:r>
            <w:r>
              <w:rPr>
                <w:rFonts w:ascii="Book Antiqua" w:hAnsi="Book Antiqua"/>
                <w:noProof/>
                <w:position w:val="-24"/>
                <w:vertAlign w:val="subscript"/>
              </w:rPr>
              <w:drawing>
                <wp:inline distT="0" distB="0" distL="0" distR="0">
                  <wp:extent cx="543560" cy="33782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1" cstate="print"/>
                          <a:srcRect/>
                          <a:stretch>
                            <a:fillRect/>
                          </a:stretch>
                        </pic:blipFill>
                        <pic:spPr bwMode="auto">
                          <a:xfrm>
                            <a:off x="0" y="0"/>
                            <a:ext cx="543560" cy="337820"/>
                          </a:xfrm>
                          <a:prstGeom prst="rect">
                            <a:avLst/>
                          </a:prstGeom>
                          <a:noFill/>
                          <a:ln w="9525">
                            <a:noFill/>
                            <a:miter lim="800000"/>
                            <a:headEnd/>
                            <a:tailEnd/>
                          </a:ln>
                        </pic:spPr>
                      </pic:pic>
                    </a:graphicData>
                  </a:graphic>
                </wp:inline>
              </w:drawing>
            </w:r>
            <w:r>
              <w:rPr>
                <w:rFonts w:ascii="Book Antiqua" w:hAnsi="Book Antiqua"/>
                <w:noProof/>
                <w:position w:val="-28"/>
                <w:vertAlign w:val="subscript"/>
              </w:rPr>
              <w:drawing>
                <wp:inline distT="0" distB="0" distL="0" distR="0">
                  <wp:extent cx="247015" cy="29654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0" cstate="print"/>
                          <a:srcRect/>
                          <a:stretch>
                            <a:fillRect/>
                          </a:stretch>
                        </pic:blipFill>
                        <pic:spPr bwMode="auto">
                          <a:xfrm>
                            <a:off x="0" y="0"/>
                            <a:ext cx="247015" cy="296545"/>
                          </a:xfrm>
                          <a:prstGeom prst="rect">
                            <a:avLst/>
                          </a:prstGeom>
                          <a:noFill/>
                          <a:ln w="9525">
                            <a:noFill/>
                            <a:miter lim="800000"/>
                            <a:headEnd/>
                            <a:tailEnd/>
                          </a:ln>
                        </pic:spPr>
                      </pic:pic>
                    </a:graphicData>
                  </a:graphic>
                </wp:inline>
              </w:drawing>
            </w:r>
            <w:r>
              <w:rPr>
                <w:rFonts w:ascii="Book Antiqua" w:hAnsi="Book Antiqua"/>
                <w:noProof/>
                <w:position w:val="-24"/>
                <w:vertAlign w:val="subscript"/>
              </w:rPr>
              <w:drawing>
                <wp:inline distT="0" distB="0" distL="0" distR="0">
                  <wp:extent cx="518795" cy="29654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1" cstate="print"/>
                          <a:srcRect/>
                          <a:stretch>
                            <a:fillRect/>
                          </a:stretch>
                        </pic:blipFill>
                        <pic:spPr bwMode="auto">
                          <a:xfrm>
                            <a:off x="0" y="0"/>
                            <a:ext cx="518795" cy="296545"/>
                          </a:xfrm>
                          <a:prstGeom prst="rect">
                            <a:avLst/>
                          </a:prstGeom>
                          <a:noFill/>
                          <a:ln w="9525">
                            <a:noFill/>
                            <a:miter lim="800000"/>
                            <a:headEnd/>
                            <a:tailEnd/>
                          </a:ln>
                        </pic:spPr>
                      </pic:pic>
                    </a:graphicData>
                  </a:graphic>
                </wp:inline>
              </w:drawing>
            </w:r>
          </w:p>
          <w:p w:rsidR="00225952" w:rsidRPr="00C83292" w:rsidRDefault="00225952" w:rsidP="00225952">
            <w:pPr>
              <w:spacing w:after="0"/>
              <w:ind w:firstLine="425"/>
              <w:rPr>
                <w:rFonts w:ascii="Book Antiqua" w:hAnsi="Book Antiqua"/>
              </w:rPr>
            </w:pPr>
            <w:r w:rsidRPr="00C83292">
              <w:rPr>
                <w:rFonts w:ascii="Book Antiqua" w:hAnsi="Book Antiqua"/>
              </w:rPr>
              <w:t>Where:</w:t>
            </w:r>
            <w:r>
              <w:rPr>
                <w:rFonts w:ascii="Book Antiqua" w:hAnsi="Book Antiqua"/>
              </w:rPr>
              <w:tab/>
            </w:r>
            <w:r w:rsidRPr="00C83292">
              <w:rPr>
                <w:rFonts w:ascii="Book Antiqua" w:hAnsi="Book Antiqua"/>
              </w:rPr>
              <w:t>X = Normal straight line growth from trend data</w:t>
            </w:r>
          </w:p>
          <w:p w:rsidR="00225952" w:rsidRPr="00C83292" w:rsidRDefault="00225952" w:rsidP="00225952">
            <w:pPr>
              <w:spacing w:after="0"/>
              <w:ind w:left="720" w:firstLine="720"/>
              <w:rPr>
                <w:rFonts w:ascii="Book Antiqua" w:hAnsi="Book Antiqua"/>
              </w:rPr>
            </w:pPr>
            <w:r w:rsidRPr="00C83292">
              <w:rPr>
                <w:rFonts w:ascii="Book Antiqua" w:hAnsi="Book Antiqua"/>
              </w:rPr>
              <w:t>FY = Future year</w:t>
            </w:r>
          </w:p>
          <w:p w:rsidR="00225952" w:rsidRPr="00C83292" w:rsidRDefault="00225952" w:rsidP="00225952">
            <w:pPr>
              <w:spacing w:after="0"/>
              <w:ind w:left="1440"/>
              <w:rPr>
                <w:rFonts w:ascii="Book Antiqua" w:hAnsi="Book Antiqua"/>
              </w:rPr>
            </w:pPr>
            <w:r w:rsidRPr="00C83292">
              <w:rPr>
                <w:rFonts w:ascii="Book Antiqua" w:hAnsi="Book Antiqua"/>
              </w:rPr>
              <w:t>BY = Base year</w:t>
            </w:r>
          </w:p>
        </w:tc>
      </w:tr>
      <w:tr w:rsidR="00225952" w:rsidRPr="00380CF5" w:rsidTr="00225952">
        <w:trPr>
          <w:gridAfter w:val="1"/>
          <w:wAfter w:w="82" w:type="dxa"/>
          <w:trHeight w:val="5490"/>
        </w:trPr>
        <w:tc>
          <w:tcPr>
            <w:tcW w:w="2329" w:type="dxa"/>
          </w:tcPr>
          <w:p w:rsidR="00A72D9B" w:rsidRDefault="00A72D9B" w:rsidP="00225952">
            <w:pPr>
              <w:pStyle w:val="ExhibitNumber"/>
            </w:pPr>
          </w:p>
          <w:p w:rsidR="00A72D9B" w:rsidRDefault="00A72D9B" w:rsidP="00225952">
            <w:pPr>
              <w:pStyle w:val="ExhibitNumber"/>
            </w:pPr>
          </w:p>
          <w:p w:rsidR="00225952" w:rsidRPr="005862AE" w:rsidRDefault="00225952" w:rsidP="00225952">
            <w:pPr>
              <w:pStyle w:val="ExhibitNumber"/>
            </w:pPr>
            <w:r w:rsidRPr="005862AE">
              <w:t xml:space="preserve">Exhibit </w:t>
            </w:r>
            <w:r w:rsidR="00784F8A">
              <w:t>12</w:t>
            </w:r>
            <w:r w:rsidRPr="005862AE">
              <w:t xml:space="preserve"> </w:t>
            </w:r>
          </w:p>
          <w:p w:rsidR="00225952" w:rsidRDefault="00225952" w:rsidP="00225952">
            <w:pPr>
              <w:pStyle w:val="FigureTitle"/>
            </w:pPr>
            <w:r w:rsidRPr="00033B90">
              <w:t>Decaying Exponential Growth Projects Using Traffic Trends</w:t>
            </w:r>
          </w:p>
        </w:tc>
        <w:tc>
          <w:tcPr>
            <w:tcW w:w="7856" w:type="dxa"/>
            <w:vAlign w:val="center"/>
          </w:tcPr>
          <w:p w:rsidR="00225952" w:rsidRDefault="00225952" w:rsidP="00225952">
            <w:pPr>
              <w:spacing w:after="0"/>
              <w:jc w:val="center"/>
            </w:pPr>
            <w:r>
              <w:rPr>
                <w:noProof/>
              </w:rPr>
              <w:drawing>
                <wp:inline distT="0" distB="0" distL="0" distR="0">
                  <wp:extent cx="4916573" cy="3538728"/>
                  <wp:effectExtent l="19050" t="0" r="0" b="0"/>
                  <wp:docPr id="11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2" cstate="print"/>
                          <a:srcRect/>
                          <a:stretch>
                            <a:fillRect/>
                          </a:stretch>
                        </pic:blipFill>
                        <pic:spPr bwMode="auto">
                          <a:xfrm>
                            <a:off x="0" y="0"/>
                            <a:ext cx="4916573" cy="3538728"/>
                          </a:xfrm>
                          <a:prstGeom prst="rect">
                            <a:avLst/>
                          </a:prstGeom>
                          <a:noFill/>
                          <a:ln w="9525">
                            <a:noFill/>
                            <a:miter lim="800000"/>
                            <a:headEnd/>
                            <a:tailEnd/>
                          </a:ln>
                        </pic:spPr>
                      </pic:pic>
                    </a:graphicData>
                  </a:graphic>
                </wp:inline>
              </w:drawing>
            </w:r>
          </w:p>
        </w:tc>
      </w:tr>
      <w:tr w:rsidR="00225952" w:rsidRPr="00380CF5" w:rsidTr="00225952">
        <w:tc>
          <w:tcPr>
            <w:tcW w:w="2329" w:type="dxa"/>
          </w:tcPr>
          <w:p w:rsidR="00225952" w:rsidRDefault="00225952" w:rsidP="00C60799">
            <w:pPr>
              <w:pStyle w:val="HeadSide2"/>
              <w:jc w:val="center"/>
            </w:pPr>
            <w:r>
              <w:rPr>
                <w:noProof/>
              </w:rPr>
              <w:drawing>
                <wp:inline distT="0" distB="0" distL="0" distR="0">
                  <wp:extent cx="1371600" cy="539221"/>
                  <wp:effectExtent l="19050" t="0" r="0" b="0"/>
                  <wp:docPr id="109" name="Picture 46" descr="button_presentation.png">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button_presentation.png"/>
                          <pic:cNvPicPr>
                            <a:picLocks noChangeAspect="1" noChangeArrowheads="1"/>
                          </pic:cNvPicPr>
                        </pic:nvPicPr>
                        <pic:blipFill>
                          <a:blip r:embed="rId35" cstate="print"/>
                          <a:srcRect/>
                          <a:stretch>
                            <a:fillRect/>
                          </a:stretch>
                        </pic:blipFill>
                        <pic:spPr bwMode="auto">
                          <a:xfrm>
                            <a:off x="0" y="0"/>
                            <a:ext cx="1371600" cy="539221"/>
                          </a:xfrm>
                          <a:prstGeom prst="rect">
                            <a:avLst/>
                          </a:prstGeom>
                          <a:noFill/>
                          <a:ln w="9525">
                            <a:noFill/>
                            <a:miter lim="800000"/>
                            <a:headEnd/>
                            <a:tailEnd/>
                          </a:ln>
                        </pic:spPr>
                      </pic:pic>
                    </a:graphicData>
                  </a:graphic>
                </wp:inline>
              </w:drawing>
            </w:r>
          </w:p>
          <w:p w:rsidR="00C60799" w:rsidRDefault="00C60799" w:rsidP="00C60799">
            <w:pPr>
              <w:pStyle w:val="HeadSide2"/>
              <w:jc w:val="center"/>
            </w:pPr>
            <w:r>
              <w:t>Trends Example</w:t>
            </w:r>
          </w:p>
        </w:tc>
        <w:tc>
          <w:tcPr>
            <w:tcW w:w="7938" w:type="dxa"/>
            <w:gridSpan w:val="2"/>
          </w:tcPr>
          <w:p w:rsidR="00225952" w:rsidRDefault="00225952" w:rsidP="00225952">
            <w:r w:rsidRPr="00033B90">
              <w:t xml:space="preserve">Exhibit </w:t>
            </w:r>
            <w:r w:rsidR="00784F8A">
              <w:t>12</w:t>
            </w:r>
            <w:r w:rsidRPr="00033B90">
              <w:t xml:space="preserve"> illustrates application of a decaying exponential growth project to the Seminole County</w:t>
            </w:r>
            <w:r>
              <w:t xml:space="preserve"> data. </w:t>
            </w:r>
          </w:p>
          <w:p w:rsidR="00225952" w:rsidRDefault="00225952" w:rsidP="00784F8A">
            <w:r>
              <w:t xml:space="preserve">The Presentation link </w:t>
            </w:r>
            <w:r w:rsidRPr="00033B90">
              <w:t>contains</w:t>
            </w:r>
            <w:r>
              <w:t xml:space="preserve"> a step-by-step illustration of the use of the software to derive the three examples shown in Exhibits </w:t>
            </w:r>
            <w:r w:rsidR="00784F8A">
              <w:t>10</w:t>
            </w:r>
            <w:r>
              <w:t xml:space="preserve"> through </w:t>
            </w:r>
            <w:r w:rsidR="00784F8A">
              <w:t>1</w:t>
            </w:r>
            <w:r>
              <w:t>2.</w:t>
            </w:r>
          </w:p>
        </w:tc>
      </w:tr>
      <w:tr w:rsidR="00225952" w:rsidRPr="00380CF5" w:rsidTr="00225952">
        <w:tc>
          <w:tcPr>
            <w:tcW w:w="2329" w:type="dxa"/>
          </w:tcPr>
          <w:p w:rsidR="00225952" w:rsidRPr="006135BA" w:rsidRDefault="00225952" w:rsidP="00225952">
            <w:pPr>
              <w:pStyle w:val="Heading4"/>
            </w:pPr>
            <w:r>
              <w:t>What if the Background Traffic Has Declined?</w:t>
            </w:r>
          </w:p>
          <w:p w:rsidR="00225952" w:rsidRDefault="00225952" w:rsidP="00225952"/>
        </w:tc>
        <w:tc>
          <w:tcPr>
            <w:tcW w:w="7938" w:type="dxa"/>
            <w:gridSpan w:val="2"/>
          </w:tcPr>
          <w:p w:rsidR="00225952" w:rsidRDefault="00225952" w:rsidP="00225952">
            <w:r>
              <w:t>In the event that an area has a decline in traffic, the probable cause must be determined. Analysis should be done to decide if the decline is a long term trend. Some local governments and other agencies use a minimum growth rate guide.  In these cases the FDOT reviewer must join the discussion with all parties to arrive at an acceptable agreement.</w:t>
            </w:r>
          </w:p>
        </w:tc>
      </w:tr>
    </w:tbl>
    <w:p w:rsidR="00225952" w:rsidRDefault="00225952">
      <w:r>
        <w:rPr>
          <w:b/>
          <w:bCs/>
        </w:rPr>
        <w:br w:type="page"/>
      </w:r>
    </w:p>
    <w:tbl>
      <w:tblPr>
        <w:tblW w:w="10267" w:type="dxa"/>
        <w:tblInd w:w="108" w:type="dxa"/>
        <w:tblLayout w:type="fixed"/>
        <w:tblLook w:val="0000"/>
      </w:tblPr>
      <w:tblGrid>
        <w:gridCol w:w="2329"/>
        <w:gridCol w:w="7938"/>
      </w:tblGrid>
      <w:tr w:rsidR="00225952" w:rsidRPr="00380CF5" w:rsidTr="00225952">
        <w:tc>
          <w:tcPr>
            <w:tcW w:w="10267" w:type="dxa"/>
            <w:gridSpan w:val="2"/>
          </w:tcPr>
          <w:p w:rsidR="00225952" w:rsidRDefault="006B7F55" w:rsidP="00225952">
            <w:pPr>
              <w:pStyle w:val="Heading3"/>
            </w:pPr>
            <w:bookmarkStart w:id="59" w:name="_Toc264274079"/>
            <w:r>
              <w:lastRenderedPageBreak/>
              <w:t>2.4</w:t>
            </w:r>
            <w:r w:rsidR="00225952">
              <w:t xml:space="preserve">.3  </w:t>
            </w:r>
            <w:r w:rsidR="00225952" w:rsidRPr="006135BA">
              <w:t>Build-Up Method</w:t>
            </w:r>
            <w:bookmarkEnd w:id="59"/>
          </w:p>
        </w:tc>
      </w:tr>
      <w:tr w:rsidR="00225952" w:rsidRPr="00380CF5" w:rsidTr="00225952">
        <w:tc>
          <w:tcPr>
            <w:tcW w:w="2329" w:type="dxa"/>
          </w:tcPr>
          <w:p w:rsidR="00225952" w:rsidRDefault="00225952" w:rsidP="00225952"/>
          <w:p w:rsidR="00225952" w:rsidRDefault="00225952" w:rsidP="00225952">
            <w:pPr>
              <w:pStyle w:val="SidebarSentence"/>
            </w:pPr>
            <w:r>
              <w:t xml:space="preserve">The build-up method </w:t>
            </w:r>
            <w:r w:rsidRPr="00AA6A83">
              <w:t xml:space="preserve">=  </w:t>
            </w:r>
            <w:r w:rsidRPr="00AA6A83">
              <w:rPr>
                <w:spacing w:val="-6"/>
              </w:rPr>
              <w:t>vested developments</w:t>
            </w:r>
            <w:r w:rsidRPr="00AA6A83">
              <w:t xml:space="preserve"> + </w:t>
            </w:r>
            <w:r>
              <w:t xml:space="preserve"> </w:t>
            </w:r>
            <w:r w:rsidRPr="00AA6A83">
              <w:t xml:space="preserve">background </w:t>
            </w:r>
            <w:r>
              <w:t xml:space="preserve"> </w:t>
            </w:r>
            <w:r>
              <w:br/>
              <w:t xml:space="preserve">    </w:t>
            </w:r>
            <w:r w:rsidRPr="00AA6A83">
              <w:t>through traffic</w:t>
            </w:r>
          </w:p>
          <w:p w:rsidR="00225952" w:rsidRPr="009B03A2" w:rsidRDefault="00225952" w:rsidP="00225952"/>
        </w:tc>
        <w:tc>
          <w:tcPr>
            <w:tcW w:w="7938" w:type="dxa"/>
          </w:tcPr>
          <w:p w:rsidR="00225952" w:rsidRPr="00AA6A83" w:rsidRDefault="00225952" w:rsidP="00225952">
            <w:r>
              <w:t xml:space="preserve">The build-up method of traffic involves the identification of all trips associated with vested developments in the study area, assigning those trips to the study area transportation system, and then adding the background through traffic. The build-up method of projecting background traffic is appropriate when other area developments are proposed that will affect local area traffic patterns during the same horizon period. </w:t>
            </w:r>
          </w:p>
        </w:tc>
      </w:tr>
      <w:tr w:rsidR="00225952" w:rsidRPr="00380CF5" w:rsidTr="00225952">
        <w:tc>
          <w:tcPr>
            <w:tcW w:w="2329" w:type="dxa"/>
          </w:tcPr>
          <w:p w:rsidR="00225952" w:rsidRDefault="00225952" w:rsidP="00225952"/>
        </w:tc>
        <w:tc>
          <w:tcPr>
            <w:tcW w:w="7938" w:type="dxa"/>
          </w:tcPr>
          <w:p w:rsidR="00225952" w:rsidRDefault="00225952" w:rsidP="00225952">
            <w:r>
              <w:t>Considerations for using the build-up method are outlined below.</w:t>
            </w:r>
          </w:p>
          <w:p w:rsidR="00225952" w:rsidRPr="000F2A3E" w:rsidRDefault="00225952" w:rsidP="004B4918">
            <w:pPr>
              <w:spacing w:after="120"/>
              <w:ind w:hanging="7"/>
              <w:rPr>
                <w:b/>
              </w:rPr>
            </w:pPr>
            <w:r w:rsidRPr="000F2A3E">
              <w:t xml:space="preserve"> </w:t>
            </w:r>
            <w:r w:rsidRPr="008A22C3">
              <w:rPr>
                <w:b/>
              </w:rPr>
              <w:t>Assess impacts of committed system improvements</w:t>
            </w:r>
          </w:p>
          <w:p w:rsidR="00225952" w:rsidRPr="00AA6A83" w:rsidRDefault="00225952" w:rsidP="00BA4326">
            <w:pPr>
              <w:pStyle w:val="ListParagraph"/>
              <w:numPr>
                <w:ilvl w:val="0"/>
                <w:numId w:val="13"/>
              </w:numPr>
              <w:spacing w:after="60"/>
            </w:pPr>
            <w:r w:rsidRPr="00AA6A83">
              <w:rPr>
                <w:rFonts w:cs="Book Antiqua"/>
              </w:rPr>
              <w:t>Work with loc</w:t>
            </w:r>
            <w:r w:rsidRPr="00AA6A83">
              <w:t>al and state agency staff to identify a subarea.</w:t>
            </w:r>
          </w:p>
          <w:p w:rsidR="00225952" w:rsidRPr="00AA6A83" w:rsidRDefault="00225952" w:rsidP="00BA4326">
            <w:pPr>
              <w:pStyle w:val="ListParagraph"/>
              <w:numPr>
                <w:ilvl w:val="0"/>
                <w:numId w:val="13"/>
              </w:numPr>
              <w:rPr>
                <w:rFonts w:cs="Book Antiqua"/>
              </w:rPr>
            </w:pPr>
            <w:r w:rsidRPr="00AA6A83">
              <w:rPr>
                <w:rFonts w:cs="Book Antiqua"/>
              </w:rPr>
              <w:t>Identify committed transportation projects and project probable travel pattern changes within the subarea.</w:t>
            </w:r>
          </w:p>
          <w:p w:rsidR="00225952" w:rsidRPr="000F2A3E" w:rsidRDefault="00225952" w:rsidP="004B4918">
            <w:pPr>
              <w:spacing w:after="120"/>
              <w:ind w:hanging="7"/>
              <w:rPr>
                <w:b/>
              </w:rPr>
            </w:pPr>
            <w:r>
              <w:t xml:space="preserve"> </w:t>
            </w:r>
            <w:r w:rsidRPr="008A22C3">
              <w:rPr>
                <w:b/>
              </w:rPr>
              <w:t>Identify and add vested development traffic</w:t>
            </w:r>
          </w:p>
          <w:p w:rsidR="00225952" w:rsidRPr="00AA6A83" w:rsidRDefault="00225952" w:rsidP="00BA4326">
            <w:pPr>
              <w:pStyle w:val="ListParagraph"/>
              <w:numPr>
                <w:ilvl w:val="0"/>
                <w:numId w:val="14"/>
              </w:numPr>
              <w:spacing w:after="60"/>
            </w:pPr>
            <w:r w:rsidRPr="00AA6A83">
              <w:t>Confirm vested projects and phasing within the subarea with local and state agency staff.</w:t>
            </w:r>
          </w:p>
          <w:p w:rsidR="00225952" w:rsidRPr="00AA6A83" w:rsidRDefault="00225952" w:rsidP="00BA4326">
            <w:pPr>
              <w:pStyle w:val="ListParagraph"/>
              <w:numPr>
                <w:ilvl w:val="0"/>
                <w:numId w:val="14"/>
              </w:numPr>
              <w:spacing w:after="60"/>
            </w:pPr>
            <w:r w:rsidRPr="00AA6A83">
              <w:t>Obtain trip assignment associated with vested projects (desirably including documentation of trip generation, trip distribution, and trip assignment).</w:t>
            </w:r>
          </w:p>
          <w:p w:rsidR="00225952" w:rsidRPr="00AA6A83" w:rsidRDefault="00225952" w:rsidP="00BA4326">
            <w:pPr>
              <w:pStyle w:val="ListParagraph"/>
              <w:numPr>
                <w:ilvl w:val="0"/>
                <w:numId w:val="14"/>
              </w:numPr>
              <w:spacing w:after="60"/>
            </w:pPr>
            <w:r w:rsidRPr="00AA6A83">
              <w:t>Other committed developments that should be identified include: related vested developments within the preliminary area of influence, adopted amendments to the comprehensive plan or other development agreements.</w:t>
            </w:r>
          </w:p>
          <w:p w:rsidR="00225952" w:rsidRPr="00AA6A83" w:rsidRDefault="00225952" w:rsidP="00BA4326">
            <w:pPr>
              <w:pStyle w:val="ListParagraph"/>
              <w:numPr>
                <w:ilvl w:val="0"/>
                <w:numId w:val="14"/>
              </w:numPr>
            </w:pPr>
            <w:r w:rsidRPr="00AA6A83">
              <w:t>Sum the vested trips.</w:t>
            </w:r>
          </w:p>
          <w:p w:rsidR="00225952" w:rsidRDefault="00225952" w:rsidP="00225952">
            <w:r w:rsidRPr="008A22C3">
              <w:rPr>
                <w:b/>
              </w:rPr>
              <w:t>Estimate growth in background traffic not related to the development of the vested development.</w:t>
            </w:r>
            <w:r>
              <w:rPr>
                <w:b/>
              </w:rPr>
              <w:t xml:space="preserve"> </w:t>
            </w:r>
            <w:r w:rsidRPr="004B4918">
              <w:t>(Also called “Natural Growth”)</w:t>
            </w:r>
          </w:p>
        </w:tc>
      </w:tr>
      <w:tr w:rsidR="00225952" w:rsidRPr="00380CF5" w:rsidTr="00225952">
        <w:tc>
          <w:tcPr>
            <w:tcW w:w="2329" w:type="dxa"/>
          </w:tcPr>
          <w:p w:rsidR="00225952" w:rsidRDefault="00225952" w:rsidP="00225952">
            <w:pPr>
              <w:pStyle w:val="SidebarSentence"/>
              <w:rPr>
                <w:highlight w:val="red"/>
              </w:rPr>
            </w:pPr>
            <w:r>
              <w:t>Don't Double Count! Check for reasonableness</w:t>
            </w:r>
          </w:p>
        </w:tc>
        <w:tc>
          <w:tcPr>
            <w:tcW w:w="7938" w:type="dxa"/>
          </w:tcPr>
          <w:p w:rsidR="00225952" w:rsidRPr="001D6918" w:rsidRDefault="00225952" w:rsidP="00225952">
            <w:r>
              <w:t>Double counting of development generated trips may occur  when estimating the other background traffic. Checks for reasonableness should be made. If the build-up method is used, a lower traffic growth rate than a direct trend analysis may be used in estimating the natural growth trips. The vested development traffic then is added to the “natural” growth that would occur without the presence of the vested developments. For example, if the build-up method were proposed and historical trends indicated a 4 percent per year linear growth rate, 2.5 percent  (or some other rate less than  4 percent) might  be used,  instead based on the anticipated “natural” (not from other surrounding vested developments) population growth within the study area.</w:t>
            </w:r>
          </w:p>
        </w:tc>
      </w:tr>
      <w:tr w:rsidR="00225952" w:rsidRPr="00380CF5" w:rsidTr="00225952">
        <w:tc>
          <w:tcPr>
            <w:tcW w:w="10267" w:type="dxa"/>
            <w:gridSpan w:val="2"/>
          </w:tcPr>
          <w:p w:rsidR="00225952" w:rsidRPr="005D505B" w:rsidRDefault="006B7F55" w:rsidP="00225952">
            <w:pPr>
              <w:pStyle w:val="Heading3"/>
              <w:rPr>
                <w:highlight w:val="yellow"/>
              </w:rPr>
            </w:pPr>
            <w:bookmarkStart w:id="60" w:name="s234"/>
            <w:bookmarkStart w:id="61" w:name="_2.3.4__Large"/>
            <w:bookmarkStart w:id="62" w:name="_Toc264274080"/>
            <w:bookmarkEnd w:id="60"/>
            <w:bookmarkEnd w:id="61"/>
            <w:r>
              <w:lastRenderedPageBreak/>
              <w:t>2.4</w:t>
            </w:r>
            <w:r w:rsidR="00225952">
              <w:t xml:space="preserve">.4  </w:t>
            </w:r>
            <w:r w:rsidR="00225952" w:rsidRPr="008A22C3">
              <w:t>Large Scale Transportation Model Methods</w:t>
            </w:r>
            <w:bookmarkEnd w:id="62"/>
          </w:p>
        </w:tc>
      </w:tr>
      <w:tr w:rsidR="00225952" w:rsidRPr="00380CF5" w:rsidTr="00225952">
        <w:tc>
          <w:tcPr>
            <w:tcW w:w="2329" w:type="dxa"/>
          </w:tcPr>
          <w:p w:rsidR="00221BB9" w:rsidRDefault="00221BB9">
            <w:pPr>
              <w:rPr>
                <w:highlight w:val="yellow"/>
              </w:rPr>
            </w:pPr>
          </w:p>
          <w:p w:rsidR="00225952" w:rsidRPr="00D00B3F" w:rsidRDefault="00225952" w:rsidP="00C60799">
            <w:pPr>
              <w:spacing w:after="0"/>
              <w:rPr>
                <w:highlight w:val="yellow"/>
              </w:rPr>
            </w:pPr>
            <w:r w:rsidRPr="001D6918">
              <w:rPr>
                <w:noProof/>
              </w:rPr>
              <w:drawing>
                <wp:inline distT="0" distB="0" distL="0" distR="0">
                  <wp:extent cx="1377671" cy="541175"/>
                  <wp:effectExtent l="19050" t="0" r="0" b="0"/>
                  <wp:docPr id="114" name="Picture 46" descr="button_presentation.png">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button_presentation.png"/>
                          <pic:cNvPicPr>
                            <a:picLocks noChangeAspect="1" noChangeArrowheads="1"/>
                          </pic:cNvPicPr>
                        </pic:nvPicPr>
                        <pic:blipFill>
                          <a:blip r:embed="rId35" cstate="print"/>
                          <a:srcRect/>
                          <a:stretch>
                            <a:fillRect/>
                          </a:stretch>
                        </pic:blipFill>
                        <pic:spPr bwMode="auto">
                          <a:xfrm>
                            <a:off x="0" y="0"/>
                            <a:ext cx="1382086" cy="542909"/>
                          </a:xfrm>
                          <a:prstGeom prst="rect">
                            <a:avLst/>
                          </a:prstGeom>
                          <a:noFill/>
                          <a:ln w="9525">
                            <a:noFill/>
                            <a:miter lim="800000"/>
                            <a:headEnd/>
                            <a:tailEnd/>
                          </a:ln>
                        </pic:spPr>
                      </pic:pic>
                    </a:graphicData>
                  </a:graphic>
                </wp:inline>
              </w:drawing>
            </w:r>
          </w:p>
          <w:p w:rsidR="00225952" w:rsidRPr="008A22C3" w:rsidRDefault="00225952" w:rsidP="00225952">
            <w:pPr>
              <w:pStyle w:val="HeadSide2"/>
              <w:jc w:val="center"/>
              <w:rPr>
                <w:highlight w:val="yellow"/>
              </w:rPr>
            </w:pPr>
            <w:r w:rsidRPr="008A22C3">
              <w:t>Modeling Methods</w:t>
            </w:r>
          </w:p>
        </w:tc>
        <w:tc>
          <w:tcPr>
            <w:tcW w:w="7938" w:type="dxa"/>
          </w:tcPr>
          <w:p w:rsidR="00225952" w:rsidRDefault="00225952">
            <w:bookmarkStart w:id="63" w:name="_Toc232912644"/>
            <w:r w:rsidRPr="001E3E72">
              <w:t xml:space="preserve">The FDOT and MPOs typically maintain travel demand models that incorporate large planning areas. These models are typically calibrated to a base year and include a long-term future horizon year for the corresponding transportation system. Travel demand models can sometimes be effectively used to assist in the </w:t>
            </w:r>
            <w:r>
              <w:t>identification</w:t>
            </w:r>
            <w:r w:rsidRPr="001E3E72">
              <w:t xml:space="preserve"> of</w:t>
            </w:r>
            <w:r>
              <w:t xml:space="preserve"> </w:t>
            </w:r>
            <w:r w:rsidRPr="002A3970">
              <w:t xml:space="preserve">traffic patterns and needs associated with site development. </w:t>
            </w:r>
          </w:p>
          <w:p w:rsidR="00225952" w:rsidRDefault="00225952">
            <w:pPr>
              <w:rPr>
                <w:highlight w:val="yellow"/>
              </w:rPr>
            </w:pPr>
            <w:r w:rsidRPr="002A3970">
              <w:t xml:space="preserve">The model method of transportation impact analysis uses an MPO-adopted regional travel demand model to forecast the trip distribution and assignment of development-generated trips. Trip generation </w:t>
            </w:r>
            <w:r>
              <w:t xml:space="preserve">for the development </w:t>
            </w:r>
            <w:r w:rsidRPr="002A3970">
              <w:t>should</w:t>
            </w:r>
            <w:r>
              <w:t xml:space="preserve"> </w:t>
            </w:r>
            <w:r w:rsidRPr="002A3970">
              <w:t xml:space="preserve">be calculated using </w:t>
            </w:r>
            <w:r w:rsidRPr="0093457F">
              <w:rPr>
                <w:b/>
                <w:i/>
              </w:rPr>
              <w:t>ITE’s Trip Generation Report</w:t>
            </w:r>
            <w:r w:rsidRPr="002A3970">
              <w:t>. There are two general methods for using a FSUTMS model for distributing and assigning ITE-generated trips during a traffic impact analysis: the special generator method and the link volume factor method.</w:t>
            </w:r>
            <w:bookmarkEnd w:id="63"/>
          </w:p>
        </w:tc>
      </w:tr>
      <w:tr w:rsidR="00225952" w:rsidRPr="00380CF5" w:rsidTr="00225952">
        <w:tc>
          <w:tcPr>
            <w:tcW w:w="2329" w:type="dxa"/>
          </w:tcPr>
          <w:p w:rsidR="00225952" w:rsidRDefault="00225952">
            <w:pPr>
              <w:pStyle w:val="Heading4"/>
            </w:pPr>
            <w:r w:rsidRPr="001E3E72">
              <w:t xml:space="preserve">Special </w:t>
            </w:r>
            <w:r w:rsidRPr="008A22C3">
              <w:t>Generator</w:t>
            </w:r>
            <w:r w:rsidRPr="001E3E72">
              <w:t xml:space="preserve"> Method:</w:t>
            </w:r>
          </w:p>
          <w:p w:rsidR="00225952" w:rsidRPr="006135BA" w:rsidRDefault="00225952" w:rsidP="00225952">
            <w:pPr>
              <w:pStyle w:val="Heading4"/>
            </w:pPr>
          </w:p>
        </w:tc>
        <w:tc>
          <w:tcPr>
            <w:tcW w:w="7938" w:type="dxa"/>
          </w:tcPr>
          <w:p w:rsidR="003457DC" w:rsidRDefault="00225952" w:rsidP="003457DC">
            <w:pPr>
              <w:pStyle w:val="ListParagraph"/>
              <w:spacing w:after="0"/>
              <w:ind w:left="0"/>
              <w:rPr>
                <w:szCs w:val="23"/>
              </w:rPr>
            </w:pPr>
            <w:r w:rsidRPr="001E3E72">
              <w:rPr>
                <w:szCs w:val="23"/>
              </w:rPr>
              <w:t xml:space="preserve">Develop a new traffic analysis zone (TAZ) or set of zones for the development and code in connectors from the new zone centroids to the transportation network. </w:t>
            </w:r>
          </w:p>
          <w:p w:rsidR="00225952" w:rsidRPr="003457DC" w:rsidRDefault="00225952" w:rsidP="00AD2D7A">
            <w:pPr>
              <w:pStyle w:val="BulletA"/>
              <w:numPr>
                <w:ilvl w:val="0"/>
                <w:numId w:val="72"/>
              </w:numPr>
            </w:pPr>
            <w:r w:rsidRPr="003457DC">
              <w:t xml:space="preserve">Connection points should be consistent with the preliminary site access plan (see Step 10: Site Access). </w:t>
            </w:r>
          </w:p>
          <w:p w:rsidR="00225952" w:rsidRPr="003457DC" w:rsidRDefault="00225952" w:rsidP="00AD2D7A">
            <w:pPr>
              <w:pStyle w:val="BulletA"/>
              <w:numPr>
                <w:ilvl w:val="0"/>
                <w:numId w:val="72"/>
              </w:numPr>
            </w:pPr>
            <w:r w:rsidRPr="003457DC">
              <w:t xml:space="preserve">Code socioeconomic data consistent with the development program within a spreadsheet.  </w:t>
            </w:r>
          </w:p>
          <w:p w:rsidR="00225952" w:rsidRPr="003457DC" w:rsidRDefault="00225952" w:rsidP="00AD2D7A">
            <w:pPr>
              <w:pStyle w:val="BulletA"/>
              <w:numPr>
                <w:ilvl w:val="0"/>
                <w:numId w:val="72"/>
              </w:numPr>
            </w:pPr>
            <w:r w:rsidRPr="003457DC">
              <w:t>Identify appropriate ITE vehicle trip rate(s) and estimate site trip generation manually using ITE’s Trip Generation Report.</w:t>
            </w:r>
          </w:p>
          <w:p w:rsidR="00225952" w:rsidRDefault="00225952" w:rsidP="00AD2D7A">
            <w:pPr>
              <w:pStyle w:val="BulletA"/>
              <w:numPr>
                <w:ilvl w:val="0"/>
                <w:numId w:val="72"/>
              </w:numPr>
            </w:pPr>
            <w:r w:rsidRPr="003457DC">
              <w:t xml:space="preserve">Identify appropriate trip purposes for commercial properties based on prevailing land use type (e.g., shopping center would be predominantly home-based shopping trips). It is recommended that 25-33 percent of commercial trips be considered nonhome-based. For residential uses, identify residential zones with similar characteristics and assume similar percent trip purposes for new zone(s). Apply percent </w:t>
            </w:r>
            <w:r w:rsidRPr="002A3970">
              <w:t>trips by purpose to ITE trips.</w:t>
            </w:r>
          </w:p>
          <w:p w:rsidR="00225952" w:rsidRPr="003457DC" w:rsidRDefault="00225952" w:rsidP="00AD2D7A">
            <w:pPr>
              <w:pStyle w:val="BulletA"/>
              <w:numPr>
                <w:ilvl w:val="0"/>
                <w:numId w:val="72"/>
              </w:numPr>
            </w:pPr>
            <w:r w:rsidRPr="002A3970">
              <w:t>Identify reasonable auto occupancy rates for each trip purposes. Look for consistency with the Cube Catalog keys.  Apply auto occupancy rates to ITE trips by purpose to calculate person trips and sum for residential and non-residential uses in each development TAZ.</w:t>
            </w:r>
          </w:p>
        </w:tc>
      </w:tr>
      <w:tr w:rsidR="00225952" w:rsidRPr="00380CF5" w:rsidTr="00225952">
        <w:tc>
          <w:tcPr>
            <w:tcW w:w="2329" w:type="dxa"/>
          </w:tcPr>
          <w:p w:rsidR="00225952" w:rsidRPr="001E3E72" w:rsidRDefault="00225952" w:rsidP="00225952">
            <w:pPr>
              <w:pStyle w:val="Heading4"/>
            </w:pPr>
          </w:p>
        </w:tc>
        <w:tc>
          <w:tcPr>
            <w:tcW w:w="7938" w:type="dxa"/>
          </w:tcPr>
          <w:p w:rsidR="00225952" w:rsidRDefault="00225952" w:rsidP="00A72D9B">
            <w:pPr>
              <w:pStyle w:val="ListParagraph"/>
              <w:numPr>
                <w:ilvl w:val="0"/>
                <w:numId w:val="22"/>
              </w:numPr>
              <w:spacing w:after="0"/>
              <w:ind w:left="720"/>
              <w:rPr>
                <w:szCs w:val="23"/>
              </w:rPr>
            </w:pPr>
            <w:r w:rsidRPr="002A3970">
              <w:rPr>
                <w:szCs w:val="23"/>
              </w:rPr>
              <w:t>Enter person trips by zone and trip purpose into SPECGEN file.</w:t>
            </w:r>
          </w:p>
          <w:p w:rsidR="00225952" w:rsidRDefault="00225952" w:rsidP="00A72D9B">
            <w:pPr>
              <w:pStyle w:val="BulletA"/>
              <w:numPr>
                <w:ilvl w:val="0"/>
                <w:numId w:val="157"/>
              </w:numPr>
              <w:ind w:left="1080"/>
            </w:pPr>
            <w:r w:rsidRPr="002A3970">
              <w:t>Set up model to execute using script files that isolate development trips from other background trips.</w:t>
            </w:r>
          </w:p>
          <w:p w:rsidR="00225952" w:rsidRDefault="00225952" w:rsidP="00A72D9B">
            <w:pPr>
              <w:pStyle w:val="BulletA"/>
              <w:numPr>
                <w:ilvl w:val="0"/>
                <w:numId w:val="157"/>
              </w:numPr>
              <w:ind w:left="1080"/>
            </w:pPr>
            <w:r w:rsidRPr="002A3970">
              <w:t xml:space="preserve">Conduct initial model run </w:t>
            </w:r>
            <w:r>
              <w:t xml:space="preserve">with a select link analysis on all centroids for zones comprising the project </w:t>
            </w:r>
            <w:r w:rsidRPr="002A3970">
              <w:t>to:</w:t>
            </w:r>
          </w:p>
          <w:p w:rsidR="00225952" w:rsidRDefault="00225952" w:rsidP="00A72D9B">
            <w:pPr>
              <w:pStyle w:val="ListParagraph"/>
              <w:numPr>
                <w:ilvl w:val="0"/>
                <w:numId w:val="22"/>
              </w:numPr>
              <w:spacing w:after="120"/>
              <w:ind w:left="720"/>
              <w:rPr>
                <w:szCs w:val="23"/>
              </w:rPr>
            </w:pPr>
            <w:r w:rsidRPr="002A3970">
              <w:rPr>
                <w:szCs w:val="23"/>
              </w:rPr>
              <w:t xml:space="preserve">Obtain initial person trip distribution patterns of site-generated trips. </w:t>
            </w:r>
          </w:p>
          <w:p w:rsidR="00225952" w:rsidRDefault="00225952" w:rsidP="00A72D9B">
            <w:pPr>
              <w:pStyle w:val="ListParagraph"/>
              <w:numPr>
                <w:ilvl w:val="0"/>
                <w:numId w:val="22"/>
              </w:numPr>
              <w:ind w:left="720"/>
              <w:rPr>
                <w:szCs w:val="23"/>
              </w:rPr>
            </w:pPr>
            <w:r w:rsidRPr="002A3970">
              <w:rPr>
                <w:szCs w:val="23"/>
              </w:rPr>
              <w:t>Compare vehicle trip generation obtained manually and with the planning model.</w:t>
            </w:r>
          </w:p>
          <w:p w:rsidR="00225952" w:rsidRDefault="00225952" w:rsidP="00A72D9B">
            <w:pPr>
              <w:pStyle w:val="ListParagraph"/>
              <w:numPr>
                <w:ilvl w:val="0"/>
                <w:numId w:val="22"/>
              </w:numPr>
              <w:spacing w:after="0"/>
              <w:ind w:left="720"/>
              <w:rPr>
                <w:szCs w:val="23"/>
              </w:rPr>
            </w:pPr>
            <w:r w:rsidRPr="002A3970">
              <w:rPr>
                <w:szCs w:val="23"/>
              </w:rPr>
              <w:lastRenderedPageBreak/>
              <w:t xml:space="preserve">If the model-derived number of vehicle trips is less than the manual calculation for any given land use, the total external site trip generation obtained using the planning model should be adjusted until the modeled number of trips is greater than or equal to the manually estimated trip. </w:t>
            </w:r>
          </w:p>
          <w:p w:rsidR="00225952" w:rsidRDefault="00225952" w:rsidP="00A72D9B">
            <w:pPr>
              <w:pStyle w:val="BulletA"/>
              <w:numPr>
                <w:ilvl w:val="0"/>
                <w:numId w:val="73"/>
              </w:numPr>
              <w:ind w:left="1080"/>
            </w:pPr>
            <w:r w:rsidRPr="002A3970">
              <w:t>Identify any difference in vehicle trips between manual and model calculations.</w:t>
            </w:r>
          </w:p>
          <w:p w:rsidR="00225952" w:rsidRDefault="00225952" w:rsidP="00A72D9B">
            <w:pPr>
              <w:pStyle w:val="BulletA"/>
              <w:numPr>
                <w:ilvl w:val="0"/>
                <w:numId w:val="73"/>
              </w:numPr>
              <w:ind w:left="1080"/>
            </w:pPr>
            <w:r w:rsidRPr="002A3970">
              <w:t>Adjust number of trips in SPECGEN file by a similar number.</w:t>
            </w:r>
          </w:p>
          <w:p w:rsidR="00225952" w:rsidRDefault="00225952" w:rsidP="00A72D9B">
            <w:pPr>
              <w:pStyle w:val="BulletA"/>
              <w:numPr>
                <w:ilvl w:val="0"/>
                <w:numId w:val="73"/>
              </w:numPr>
              <w:ind w:left="1080"/>
            </w:pPr>
            <w:r w:rsidRPr="002A3970">
              <w:t xml:space="preserve">Rerun </w:t>
            </w:r>
            <w:r>
              <w:t xml:space="preserve">the </w:t>
            </w:r>
            <w:r w:rsidRPr="002A3970">
              <w:t>model.</w:t>
            </w:r>
          </w:p>
          <w:p w:rsidR="00225952" w:rsidRDefault="00225952" w:rsidP="00A72D9B">
            <w:pPr>
              <w:pStyle w:val="BulletA"/>
              <w:numPr>
                <w:ilvl w:val="0"/>
                <w:numId w:val="73"/>
              </w:numPr>
              <w:ind w:left="1080"/>
            </w:pPr>
            <w:r w:rsidRPr="002A3970">
              <w:t>Identify any remaining difference in vehicle trips between manual and model calculations.</w:t>
            </w:r>
          </w:p>
          <w:p w:rsidR="00225952" w:rsidRDefault="00225952" w:rsidP="00A72D9B">
            <w:pPr>
              <w:pStyle w:val="BulletA"/>
              <w:numPr>
                <w:ilvl w:val="0"/>
                <w:numId w:val="73"/>
              </w:numPr>
              <w:ind w:left="1080"/>
            </w:pPr>
            <w:r w:rsidRPr="002A3970">
              <w:t>Continue steps 3 and 4 until model calculations are greater than or equal to manual calculations.</w:t>
            </w:r>
          </w:p>
          <w:p w:rsidR="00225952" w:rsidRDefault="00225952" w:rsidP="00A72D9B">
            <w:pPr>
              <w:pStyle w:val="ListParagraph"/>
              <w:numPr>
                <w:ilvl w:val="0"/>
                <w:numId w:val="22"/>
              </w:numPr>
              <w:ind w:left="720"/>
              <w:rPr>
                <w:szCs w:val="23"/>
              </w:rPr>
            </w:pPr>
            <w:r>
              <w:rPr>
                <w:szCs w:val="23"/>
              </w:rPr>
              <w:t>Consider</w:t>
            </w:r>
            <w:r w:rsidRPr="00F902E3">
              <w:rPr>
                <w:szCs w:val="23"/>
              </w:rPr>
              <w:t xml:space="preserve"> rerun</w:t>
            </w:r>
            <w:r>
              <w:rPr>
                <w:szCs w:val="23"/>
              </w:rPr>
              <w:t xml:space="preserve">ning </w:t>
            </w:r>
            <w:r w:rsidRPr="00F902E3">
              <w:rPr>
                <w:szCs w:val="23"/>
              </w:rPr>
              <w:t xml:space="preserve">the </w:t>
            </w:r>
            <w:r>
              <w:rPr>
                <w:szCs w:val="23"/>
              </w:rPr>
              <w:t>m</w:t>
            </w:r>
            <w:r w:rsidRPr="00F902E3">
              <w:rPr>
                <w:szCs w:val="23"/>
              </w:rPr>
              <w:t>odel.</w:t>
            </w:r>
            <w:r w:rsidRPr="002A3970">
              <w:rPr>
                <w:szCs w:val="23"/>
              </w:rPr>
              <w:t xml:space="preserve"> Accounting for trips to and from the development site (selected zone analysis).</w:t>
            </w:r>
          </w:p>
          <w:p w:rsidR="00225952" w:rsidRDefault="00225952" w:rsidP="00A72D9B">
            <w:pPr>
              <w:pStyle w:val="ListParagraph"/>
              <w:numPr>
                <w:ilvl w:val="0"/>
                <w:numId w:val="22"/>
              </w:numPr>
              <w:ind w:left="720"/>
              <w:rPr>
                <w:szCs w:val="23"/>
              </w:rPr>
            </w:pPr>
            <w:r w:rsidRPr="002A3970">
              <w:rPr>
                <w:szCs w:val="23"/>
              </w:rPr>
              <w:t>Convert site-generated trips to PM peak period or other, as directed by local concurrency ordinances.</w:t>
            </w:r>
          </w:p>
          <w:p w:rsidR="00225952" w:rsidRDefault="00225952" w:rsidP="00A72D9B">
            <w:pPr>
              <w:pStyle w:val="ListParagraph"/>
              <w:numPr>
                <w:ilvl w:val="0"/>
                <w:numId w:val="22"/>
              </w:numPr>
              <w:ind w:left="720"/>
              <w:rPr>
                <w:szCs w:val="23"/>
              </w:rPr>
            </w:pPr>
            <w:r w:rsidRPr="002A3970">
              <w:rPr>
                <w:szCs w:val="23"/>
              </w:rPr>
              <w:t>Estimate internal capture using the guidelines contained in ITE’s Trip Generation Handbook.</w:t>
            </w:r>
          </w:p>
          <w:p w:rsidR="00225952" w:rsidRDefault="00225952" w:rsidP="00A72D9B">
            <w:pPr>
              <w:pStyle w:val="ListParagraph"/>
              <w:numPr>
                <w:ilvl w:val="0"/>
                <w:numId w:val="22"/>
              </w:numPr>
              <w:ind w:left="720"/>
              <w:rPr>
                <w:szCs w:val="23"/>
              </w:rPr>
            </w:pPr>
            <w:r w:rsidRPr="002A3970">
              <w:rPr>
                <w:szCs w:val="23"/>
              </w:rPr>
              <w:t>Adjust trips to commercial properties on site to account for agreed upon pass-by trip percentages.</w:t>
            </w:r>
          </w:p>
          <w:p w:rsidR="00225952" w:rsidRDefault="00225952" w:rsidP="00A72D9B">
            <w:pPr>
              <w:pStyle w:val="ListParagraph"/>
              <w:numPr>
                <w:ilvl w:val="0"/>
                <w:numId w:val="22"/>
              </w:numPr>
              <w:ind w:left="720"/>
              <w:rPr>
                <w:szCs w:val="23"/>
              </w:rPr>
            </w:pPr>
            <w:r w:rsidRPr="002A3970">
              <w:rPr>
                <w:szCs w:val="23"/>
              </w:rPr>
              <w:t>If trips are anticipated to have an origin or destination external to the model’s study area, adjust the EIPRODS file accordingly.</w:t>
            </w:r>
          </w:p>
        </w:tc>
      </w:tr>
      <w:tr w:rsidR="00225952" w:rsidRPr="00380CF5" w:rsidTr="00225952">
        <w:tc>
          <w:tcPr>
            <w:tcW w:w="2329" w:type="dxa"/>
          </w:tcPr>
          <w:p w:rsidR="00225952" w:rsidRPr="001E3E72" w:rsidRDefault="00225952" w:rsidP="00225952">
            <w:pPr>
              <w:pStyle w:val="Heading4"/>
            </w:pPr>
            <w:r>
              <w:lastRenderedPageBreak/>
              <w:t>Link Volume Factor Method</w:t>
            </w:r>
          </w:p>
        </w:tc>
        <w:tc>
          <w:tcPr>
            <w:tcW w:w="7938" w:type="dxa"/>
          </w:tcPr>
          <w:p w:rsidR="00225952" w:rsidRPr="0005547F" w:rsidRDefault="00225952" w:rsidP="00225952">
            <w:pPr>
              <w:pStyle w:val="ListParagraph"/>
              <w:ind w:left="0"/>
              <w:rPr>
                <w:szCs w:val="23"/>
              </w:rPr>
            </w:pPr>
            <w:r w:rsidRPr="001E3E72">
              <w:rPr>
                <w:szCs w:val="23"/>
              </w:rPr>
              <w:t xml:space="preserve">Develop a new traffic analysis zone (TAZ) or set of zones for the development and code in connectors from the new zone centroids to the transportation network. Connection points should be consistent with the preliminary site access plan. </w:t>
            </w:r>
          </w:p>
          <w:p w:rsidR="00225952" w:rsidRPr="0005547F" w:rsidRDefault="00225952" w:rsidP="00AD2D7A">
            <w:pPr>
              <w:pStyle w:val="ListParagraph"/>
              <w:numPr>
                <w:ilvl w:val="0"/>
                <w:numId w:val="130"/>
              </w:numPr>
              <w:rPr>
                <w:szCs w:val="23"/>
              </w:rPr>
            </w:pPr>
            <w:r w:rsidRPr="001E3E72">
              <w:rPr>
                <w:szCs w:val="23"/>
              </w:rPr>
              <w:t xml:space="preserve">Code socioeconomic data consistent with the development program within the ZONEDATA file (e.g., single-family homes in development = single-family dwelling units in FSUTMS). </w:t>
            </w:r>
          </w:p>
          <w:p w:rsidR="00225952" w:rsidRPr="0005547F" w:rsidRDefault="00225952" w:rsidP="00AD2D7A">
            <w:pPr>
              <w:pStyle w:val="ListParagraph"/>
              <w:numPr>
                <w:ilvl w:val="0"/>
                <w:numId w:val="130"/>
              </w:numPr>
              <w:rPr>
                <w:szCs w:val="23"/>
              </w:rPr>
            </w:pPr>
            <w:r w:rsidRPr="001E3E72">
              <w:rPr>
                <w:szCs w:val="23"/>
              </w:rPr>
              <w:t xml:space="preserve">For land use types not found in the ZONEDATA file, use ratios acceptable to review agencies to fill in remaining SE data variables (e.g., apply persons per DU to estimate population, employment per square foot to estimate employment from estimates of square footage). Example land use conversion rates are shown in Exhibit </w:t>
            </w:r>
            <w:r w:rsidR="00865811">
              <w:rPr>
                <w:szCs w:val="23"/>
              </w:rPr>
              <w:t>13</w:t>
            </w:r>
            <w:r w:rsidRPr="001E3E72">
              <w:rPr>
                <w:szCs w:val="23"/>
              </w:rPr>
              <w:t>.</w:t>
            </w:r>
          </w:p>
          <w:p w:rsidR="00225952" w:rsidRPr="0005547F" w:rsidRDefault="00225952" w:rsidP="00AD2D7A">
            <w:pPr>
              <w:pStyle w:val="ListParagraph"/>
              <w:numPr>
                <w:ilvl w:val="0"/>
                <w:numId w:val="130"/>
              </w:numPr>
              <w:rPr>
                <w:szCs w:val="23"/>
              </w:rPr>
            </w:pPr>
            <w:r w:rsidRPr="001E3E72">
              <w:rPr>
                <w:szCs w:val="23"/>
              </w:rPr>
              <w:t xml:space="preserve">Set up model to execute using script files that isolate development trips from other background trips (Selected </w:t>
            </w:r>
            <w:r>
              <w:rPr>
                <w:szCs w:val="23"/>
              </w:rPr>
              <w:t>Link</w:t>
            </w:r>
            <w:r w:rsidRPr="001E3E72">
              <w:rPr>
                <w:szCs w:val="23"/>
              </w:rPr>
              <w:t xml:space="preserve"> Analysis</w:t>
            </w:r>
            <w:r>
              <w:rPr>
                <w:szCs w:val="23"/>
              </w:rPr>
              <w:t xml:space="preserve"> on centroids</w:t>
            </w:r>
            <w:r w:rsidRPr="001E3E72">
              <w:rPr>
                <w:szCs w:val="23"/>
              </w:rPr>
              <w:t>).</w:t>
            </w:r>
          </w:p>
          <w:p w:rsidR="00225952" w:rsidRPr="0005547F" w:rsidRDefault="00225952" w:rsidP="00AD2D7A">
            <w:pPr>
              <w:pStyle w:val="ListParagraph"/>
              <w:numPr>
                <w:ilvl w:val="0"/>
                <w:numId w:val="130"/>
              </w:numPr>
              <w:rPr>
                <w:szCs w:val="23"/>
              </w:rPr>
            </w:pPr>
            <w:r w:rsidRPr="001E3E72">
              <w:rPr>
                <w:szCs w:val="23"/>
              </w:rPr>
              <w:t>Identify cordon line around the proposed development.</w:t>
            </w:r>
          </w:p>
          <w:p w:rsidR="00225952" w:rsidRPr="0005547F" w:rsidRDefault="00225952" w:rsidP="00AD2D7A">
            <w:pPr>
              <w:pStyle w:val="ListParagraph"/>
              <w:numPr>
                <w:ilvl w:val="0"/>
                <w:numId w:val="130"/>
              </w:numPr>
              <w:rPr>
                <w:szCs w:val="23"/>
              </w:rPr>
            </w:pPr>
            <w:r w:rsidRPr="001E3E72">
              <w:rPr>
                <w:szCs w:val="23"/>
              </w:rPr>
              <w:t>Estimate internal capture using the guidelines contained in ITE</w:t>
            </w:r>
            <w:r w:rsidRPr="006C1C8E">
              <w:rPr>
                <w:szCs w:val="23"/>
              </w:rPr>
              <w:t>’</w:t>
            </w:r>
            <w:r w:rsidRPr="001E3E72">
              <w:rPr>
                <w:szCs w:val="23"/>
              </w:rPr>
              <w:t>s Trip Generation Handbook method.</w:t>
            </w:r>
            <w:r w:rsidR="0003540F">
              <w:rPr>
                <w:szCs w:val="23"/>
              </w:rPr>
              <w:tab/>
            </w:r>
            <w:r w:rsidRPr="001E3E72">
              <w:rPr>
                <w:szCs w:val="23"/>
              </w:rPr>
              <w:t xml:space="preserve"> </w:t>
            </w:r>
            <w:r w:rsidR="003457DC">
              <w:rPr>
                <w:szCs w:val="23"/>
              </w:rPr>
              <w:br/>
            </w:r>
          </w:p>
          <w:p w:rsidR="00225952" w:rsidRPr="0005547F" w:rsidRDefault="00225952" w:rsidP="00AD2D7A">
            <w:pPr>
              <w:pStyle w:val="ListParagraph"/>
              <w:numPr>
                <w:ilvl w:val="0"/>
                <w:numId w:val="130"/>
              </w:numPr>
              <w:rPr>
                <w:szCs w:val="23"/>
              </w:rPr>
            </w:pPr>
            <w:r w:rsidRPr="001E3E72">
              <w:rPr>
                <w:szCs w:val="23"/>
              </w:rPr>
              <w:lastRenderedPageBreak/>
              <w:t>Calculate the total number of external trips (i.e., those crossing the proposed development cordon line).</w:t>
            </w:r>
          </w:p>
          <w:p w:rsidR="00225952" w:rsidRPr="0005547F" w:rsidRDefault="00225952" w:rsidP="00AD2D7A">
            <w:pPr>
              <w:pStyle w:val="ListParagraph"/>
              <w:numPr>
                <w:ilvl w:val="0"/>
                <w:numId w:val="130"/>
              </w:numPr>
              <w:rPr>
                <w:szCs w:val="23"/>
              </w:rPr>
            </w:pPr>
            <w:r w:rsidRPr="001E3E72">
              <w:rPr>
                <w:szCs w:val="23"/>
              </w:rPr>
              <w:t>Calculate the percent distribution of external project trips (link distribution percentages) by dividing the number of project trips on each link of the network by the total number of external project trips.</w:t>
            </w:r>
          </w:p>
          <w:p w:rsidR="00225952" w:rsidRPr="0005547F" w:rsidRDefault="00225952" w:rsidP="00AD2D7A">
            <w:pPr>
              <w:pStyle w:val="ListParagraph"/>
              <w:numPr>
                <w:ilvl w:val="0"/>
                <w:numId w:val="130"/>
              </w:numPr>
              <w:rPr>
                <w:szCs w:val="23"/>
              </w:rPr>
            </w:pPr>
            <w:r w:rsidRPr="001E3E72">
              <w:rPr>
                <w:szCs w:val="23"/>
              </w:rPr>
              <w:t>Identify appropriate ITE vehicle trip rate(s) and estimate site trip generation manually using ITE</w:t>
            </w:r>
            <w:r w:rsidRPr="006C1C8E">
              <w:rPr>
                <w:szCs w:val="23"/>
              </w:rPr>
              <w:t>’</w:t>
            </w:r>
            <w:r w:rsidRPr="001E3E72">
              <w:rPr>
                <w:szCs w:val="23"/>
              </w:rPr>
              <w:t>s Trip Generation.</w:t>
            </w:r>
          </w:p>
          <w:p w:rsidR="00225952" w:rsidRPr="0005547F" w:rsidRDefault="00225952" w:rsidP="00AD2D7A">
            <w:pPr>
              <w:pStyle w:val="ListParagraph"/>
              <w:numPr>
                <w:ilvl w:val="0"/>
                <w:numId w:val="130"/>
              </w:numPr>
              <w:rPr>
                <w:szCs w:val="23"/>
              </w:rPr>
            </w:pPr>
            <w:r w:rsidRPr="001E3E72">
              <w:rPr>
                <w:szCs w:val="23"/>
              </w:rPr>
              <w:t>Factor the total number of ITE external project trips by the link distribution percentages calculated earlier for each link in the loaded network.</w:t>
            </w:r>
          </w:p>
          <w:p w:rsidR="00225952" w:rsidRPr="0005547F" w:rsidRDefault="00225952" w:rsidP="00AD2D7A">
            <w:pPr>
              <w:pStyle w:val="ListParagraph"/>
              <w:numPr>
                <w:ilvl w:val="0"/>
                <w:numId w:val="130"/>
              </w:numPr>
              <w:rPr>
                <w:spacing w:val="-6"/>
                <w:szCs w:val="23"/>
              </w:rPr>
            </w:pPr>
            <w:r w:rsidRPr="001E3E72">
              <w:rPr>
                <w:spacing w:val="-6"/>
                <w:szCs w:val="23"/>
              </w:rPr>
              <w:t>Resulting ITE trips times link distribution percentages can be plotted link by link.</w:t>
            </w:r>
          </w:p>
          <w:p w:rsidR="00225952" w:rsidRPr="0005547F" w:rsidRDefault="00225952" w:rsidP="00AD2D7A">
            <w:pPr>
              <w:pStyle w:val="ListParagraph"/>
              <w:numPr>
                <w:ilvl w:val="0"/>
                <w:numId w:val="130"/>
              </w:numPr>
              <w:rPr>
                <w:szCs w:val="23"/>
              </w:rPr>
            </w:pPr>
            <w:r w:rsidRPr="001E3E72">
              <w:rPr>
                <w:szCs w:val="23"/>
              </w:rPr>
              <w:t>Adjust trips to commercial properties on site to account for agreed upon pass-by trip percentages.</w:t>
            </w:r>
          </w:p>
          <w:p w:rsidR="00225952" w:rsidRPr="0005547F" w:rsidRDefault="00225952" w:rsidP="00AD2D7A">
            <w:pPr>
              <w:pStyle w:val="ListParagraph"/>
              <w:numPr>
                <w:ilvl w:val="0"/>
                <w:numId w:val="130"/>
              </w:numPr>
              <w:rPr>
                <w:szCs w:val="23"/>
              </w:rPr>
            </w:pPr>
            <w:r w:rsidRPr="001E3E72">
              <w:rPr>
                <w:szCs w:val="23"/>
              </w:rPr>
              <w:t xml:space="preserve">Factor the total number of ITE external trips (with IC and Pass by subtracted) by the link distribution percentages…”   </w:t>
            </w:r>
          </w:p>
          <w:p w:rsidR="00225952" w:rsidRDefault="00225952" w:rsidP="00AD2D7A">
            <w:pPr>
              <w:pStyle w:val="ListParagraph"/>
              <w:numPr>
                <w:ilvl w:val="0"/>
                <w:numId w:val="130"/>
              </w:numPr>
              <w:rPr>
                <w:szCs w:val="23"/>
              </w:rPr>
            </w:pPr>
            <w:r w:rsidRPr="001E3E72">
              <w:rPr>
                <w:szCs w:val="23"/>
              </w:rPr>
              <w:t>If trips are anticipated to have an origin or destination external to the model</w:t>
            </w:r>
            <w:r w:rsidRPr="006C1C8E">
              <w:rPr>
                <w:szCs w:val="23"/>
              </w:rPr>
              <w:t>’</w:t>
            </w:r>
            <w:r w:rsidRPr="001E3E72">
              <w:rPr>
                <w:szCs w:val="23"/>
              </w:rPr>
              <w:t>s study area, adjust the EIPRODS file accordingly.</w:t>
            </w:r>
          </w:p>
        </w:tc>
      </w:tr>
      <w:tr w:rsidR="00225952" w:rsidRPr="00380CF5" w:rsidTr="00225952">
        <w:tc>
          <w:tcPr>
            <w:tcW w:w="2329" w:type="dxa"/>
          </w:tcPr>
          <w:p w:rsidR="00225952" w:rsidRDefault="00225952" w:rsidP="00225952">
            <w:pPr>
              <w:pStyle w:val="ExhibitNumber"/>
            </w:pPr>
          </w:p>
          <w:p w:rsidR="00225952" w:rsidRPr="005862AE" w:rsidRDefault="00225952" w:rsidP="00225952">
            <w:pPr>
              <w:pStyle w:val="ExhibitNumber"/>
            </w:pPr>
            <w:r w:rsidRPr="005862AE">
              <w:t xml:space="preserve">Exhibit </w:t>
            </w:r>
            <w:r w:rsidR="00784F8A">
              <w:t>13</w:t>
            </w:r>
          </w:p>
          <w:p w:rsidR="00225952" w:rsidRDefault="00225952" w:rsidP="00225952">
            <w:pPr>
              <w:pStyle w:val="FigureTitle"/>
            </w:pPr>
            <w:r w:rsidRPr="00033B90">
              <w:t>Land Use Conversion Rates for Traffic Impact Assessments</w:t>
            </w:r>
          </w:p>
          <w:p w:rsidR="00225952" w:rsidRPr="006135BA" w:rsidRDefault="00225952" w:rsidP="00225952">
            <w:pPr>
              <w:pStyle w:val="Heading4"/>
            </w:pPr>
          </w:p>
        </w:tc>
        <w:tc>
          <w:tcPr>
            <w:tcW w:w="7938" w:type="dxa"/>
          </w:tcPr>
          <w:tbl>
            <w:tblPr>
              <w:tblW w:w="0" w:type="auto"/>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tblBorders>
              <w:tblLayout w:type="fixed"/>
              <w:tblLook w:val="01E0"/>
            </w:tblPr>
            <w:tblGrid>
              <w:gridCol w:w="2988"/>
              <w:gridCol w:w="4428"/>
            </w:tblGrid>
            <w:tr w:rsidR="00225952" w:rsidRPr="00D00B3F" w:rsidTr="003457DC">
              <w:tc>
                <w:tcPr>
                  <w:tcW w:w="2988" w:type="dxa"/>
                  <w:shd w:val="clear" w:color="auto" w:fill="31849B" w:themeFill="accent5" w:themeFillShade="BF"/>
                  <w:vAlign w:val="center"/>
                </w:tcPr>
                <w:p w:rsidR="00225952" w:rsidRDefault="00225952">
                  <w:pPr>
                    <w:spacing w:before="60" w:after="0" w:line="240" w:lineRule="auto"/>
                    <w:rPr>
                      <w:b/>
                      <w:bCs/>
                      <w:color w:val="FFFFFF"/>
                    </w:rPr>
                  </w:pPr>
                  <w:r w:rsidRPr="008A22C3">
                    <w:rPr>
                      <w:b/>
                      <w:bCs/>
                      <w:color w:val="FFFFFF"/>
                    </w:rPr>
                    <w:t>Land Use</w:t>
                  </w:r>
                </w:p>
              </w:tc>
              <w:tc>
                <w:tcPr>
                  <w:tcW w:w="4428" w:type="dxa"/>
                  <w:shd w:val="clear" w:color="auto" w:fill="31849B" w:themeFill="accent5" w:themeFillShade="BF"/>
                  <w:vAlign w:val="center"/>
                </w:tcPr>
                <w:p w:rsidR="00225952" w:rsidRDefault="00225952">
                  <w:pPr>
                    <w:spacing w:before="60" w:after="0" w:line="240" w:lineRule="auto"/>
                    <w:rPr>
                      <w:b/>
                      <w:bCs/>
                      <w:color w:val="FFFFFF"/>
                    </w:rPr>
                  </w:pPr>
                  <w:r w:rsidRPr="008A22C3">
                    <w:rPr>
                      <w:b/>
                      <w:bCs/>
                      <w:color w:val="FFFFFF"/>
                    </w:rPr>
                    <w:t>Conversion Rate*</w:t>
                  </w:r>
                </w:p>
              </w:tc>
            </w:tr>
            <w:tr w:rsidR="00225952" w:rsidRPr="00D00B3F" w:rsidTr="003457DC">
              <w:tc>
                <w:tcPr>
                  <w:tcW w:w="2988" w:type="dxa"/>
                  <w:shd w:val="clear" w:color="auto" w:fill="DAEEF3" w:themeFill="accent5" w:themeFillTint="33"/>
                  <w:vAlign w:val="center"/>
                </w:tcPr>
                <w:p w:rsidR="00225952" w:rsidRDefault="00225952">
                  <w:pPr>
                    <w:spacing w:before="60" w:after="0" w:line="240" w:lineRule="auto"/>
                    <w:rPr>
                      <w:b/>
                      <w:bCs/>
                    </w:rPr>
                  </w:pPr>
                  <w:r w:rsidRPr="008A22C3">
                    <w:rPr>
                      <w:b/>
                      <w:bCs/>
                    </w:rPr>
                    <w:t>Single-Family Dwelling Unit</w:t>
                  </w:r>
                </w:p>
              </w:tc>
              <w:tc>
                <w:tcPr>
                  <w:tcW w:w="4428" w:type="dxa"/>
                  <w:shd w:val="clear" w:color="auto" w:fill="DAEEF3" w:themeFill="accent5" w:themeFillTint="33"/>
                  <w:vAlign w:val="center"/>
                </w:tcPr>
                <w:p w:rsidR="00225952" w:rsidRDefault="00225952">
                  <w:pPr>
                    <w:spacing w:before="60" w:after="0" w:line="240" w:lineRule="auto"/>
                    <w:rPr>
                      <w:b/>
                      <w:bCs/>
                    </w:rPr>
                  </w:pPr>
                  <w:r w:rsidRPr="008A22C3">
                    <w:rPr>
                      <w:b/>
                      <w:bCs/>
                    </w:rPr>
                    <w:t>3 persons per DU</w:t>
                  </w:r>
                </w:p>
              </w:tc>
            </w:tr>
            <w:tr w:rsidR="00225952" w:rsidRPr="00D00B3F" w:rsidTr="003457DC">
              <w:tc>
                <w:tcPr>
                  <w:tcW w:w="2988" w:type="dxa"/>
                  <w:vAlign w:val="center"/>
                </w:tcPr>
                <w:p w:rsidR="00225952" w:rsidRDefault="00225952">
                  <w:pPr>
                    <w:spacing w:before="60" w:after="0" w:line="240" w:lineRule="auto"/>
                    <w:rPr>
                      <w:b/>
                      <w:bCs/>
                    </w:rPr>
                  </w:pPr>
                  <w:r w:rsidRPr="008A22C3">
                    <w:rPr>
                      <w:b/>
                      <w:bCs/>
                    </w:rPr>
                    <w:t>Multi-Family Dwelling Unit</w:t>
                  </w:r>
                </w:p>
              </w:tc>
              <w:tc>
                <w:tcPr>
                  <w:tcW w:w="4428" w:type="dxa"/>
                  <w:vAlign w:val="center"/>
                </w:tcPr>
                <w:p w:rsidR="00225952" w:rsidRDefault="00225952">
                  <w:pPr>
                    <w:spacing w:before="60" w:after="0" w:line="240" w:lineRule="auto"/>
                    <w:rPr>
                      <w:b/>
                      <w:bCs/>
                    </w:rPr>
                  </w:pPr>
                  <w:r w:rsidRPr="008A22C3">
                    <w:rPr>
                      <w:b/>
                      <w:bCs/>
                    </w:rPr>
                    <w:t>2 persons per DU</w:t>
                  </w:r>
                </w:p>
              </w:tc>
            </w:tr>
            <w:tr w:rsidR="00225952" w:rsidRPr="00D00B3F" w:rsidTr="003457DC">
              <w:tc>
                <w:tcPr>
                  <w:tcW w:w="2988" w:type="dxa"/>
                  <w:shd w:val="clear" w:color="auto" w:fill="DAEEF3" w:themeFill="accent5" w:themeFillTint="33"/>
                  <w:vAlign w:val="center"/>
                </w:tcPr>
                <w:p w:rsidR="00225952" w:rsidRDefault="00225952">
                  <w:pPr>
                    <w:spacing w:before="60" w:after="0" w:line="240" w:lineRule="auto"/>
                    <w:rPr>
                      <w:b/>
                      <w:bCs/>
                    </w:rPr>
                  </w:pPr>
                  <w:r w:rsidRPr="008A22C3">
                    <w:rPr>
                      <w:b/>
                      <w:bCs/>
                    </w:rPr>
                    <w:t>Office</w:t>
                  </w:r>
                </w:p>
              </w:tc>
              <w:tc>
                <w:tcPr>
                  <w:tcW w:w="4428" w:type="dxa"/>
                  <w:shd w:val="clear" w:color="auto" w:fill="DAEEF3" w:themeFill="accent5" w:themeFillTint="33"/>
                  <w:vAlign w:val="center"/>
                </w:tcPr>
                <w:p w:rsidR="00225952" w:rsidRDefault="00225952">
                  <w:pPr>
                    <w:spacing w:before="60" w:after="0" w:line="240" w:lineRule="auto"/>
                    <w:rPr>
                      <w:b/>
                      <w:bCs/>
                    </w:rPr>
                  </w:pPr>
                  <w:r w:rsidRPr="008A22C3">
                    <w:rPr>
                      <w:b/>
                      <w:bCs/>
                    </w:rPr>
                    <w:t>4 service employees per 1,000 sq ft</w:t>
                  </w:r>
                </w:p>
              </w:tc>
            </w:tr>
            <w:tr w:rsidR="00225952" w:rsidRPr="00D00B3F" w:rsidTr="003457DC">
              <w:tc>
                <w:tcPr>
                  <w:tcW w:w="2988" w:type="dxa"/>
                  <w:vAlign w:val="center"/>
                </w:tcPr>
                <w:p w:rsidR="00225952" w:rsidRDefault="00225952">
                  <w:pPr>
                    <w:spacing w:before="60" w:after="0" w:line="240" w:lineRule="auto"/>
                    <w:rPr>
                      <w:b/>
                      <w:bCs/>
                    </w:rPr>
                  </w:pPr>
                  <w:r w:rsidRPr="008A22C3">
                    <w:rPr>
                      <w:b/>
                      <w:bCs/>
                    </w:rPr>
                    <w:t>Hospital</w:t>
                  </w:r>
                </w:p>
              </w:tc>
              <w:tc>
                <w:tcPr>
                  <w:tcW w:w="4428" w:type="dxa"/>
                  <w:vAlign w:val="center"/>
                </w:tcPr>
                <w:p w:rsidR="00225952" w:rsidRDefault="00225952">
                  <w:pPr>
                    <w:spacing w:before="60" w:after="0" w:line="240" w:lineRule="auto"/>
                    <w:rPr>
                      <w:b/>
                      <w:bCs/>
                    </w:rPr>
                  </w:pPr>
                  <w:r w:rsidRPr="008A22C3">
                    <w:rPr>
                      <w:b/>
                      <w:bCs/>
                    </w:rPr>
                    <w:t>3 service employees per 1,000 sq ft</w:t>
                  </w:r>
                </w:p>
              </w:tc>
            </w:tr>
            <w:tr w:rsidR="00225952" w:rsidRPr="00D00B3F" w:rsidTr="003457DC">
              <w:tc>
                <w:tcPr>
                  <w:tcW w:w="2988" w:type="dxa"/>
                  <w:shd w:val="clear" w:color="auto" w:fill="DAEEF3" w:themeFill="accent5" w:themeFillTint="33"/>
                  <w:vAlign w:val="center"/>
                </w:tcPr>
                <w:p w:rsidR="00225952" w:rsidRDefault="00225952">
                  <w:pPr>
                    <w:spacing w:before="60" w:after="0" w:line="240" w:lineRule="auto"/>
                    <w:rPr>
                      <w:b/>
                      <w:bCs/>
                    </w:rPr>
                  </w:pPr>
                  <w:r w:rsidRPr="008A22C3">
                    <w:rPr>
                      <w:b/>
                      <w:bCs/>
                    </w:rPr>
                    <w:t>Retail &lt;200k sq ft</w:t>
                  </w:r>
                </w:p>
              </w:tc>
              <w:tc>
                <w:tcPr>
                  <w:tcW w:w="4428" w:type="dxa"/>
                  <w:shd w:val="clear" w:color="auto" w:fill="DAEEF3" w:themeFill="accent5" w:themeFillTint="33"/>
                  <w:vAlign w:val="center"/>
                </w:tcPr>
                <w:p w:rsidR="00225952" w:rsidRDefault="00225952">
                  <w:pPr>
                    <w:spacing w:before="60" w:after="0" w:line="240" w:lineRule="auto"/>
                    <w:rPr>
                      <w:b/>
                      <w:bCs/>
                    </w:rPr>
                  </w:pPr>
                  <w:r w:rsidRPr="008A22C3">
                    <w:rPr>
                      <w:b/>
                      <w:bCs/>
                    </w:rPr>
                    <w:t>3 commercial employees per 1,000 sq ft</w:t>
                  </w:r>
                </w:p>
              </w:tc>
            </w:tr>
            <w:tr w:rsidR="00225952" w:rsidRPr="00D00B3F" w:rsidTr="003457DC">
              <w:tc>
                <w:tcPr>
                  <w:tcW w:w="2988" w:type="dxa"/>
                  <w:vAlign w:val="center"/>
                </w:tcPr>
                <w:p w:rsidR="00225952" w:rsidRDefault="00225952">
                  <w:pPr>
                    <w:spacing w:before="60" w:after="0" w:line="240" w:lineRule="auto"/>
                    <w:rPr>
                      <w:b/>
                      <w:bCs/>
                    </w:rPr>
                  </w:pPr>
                  <w:r w:rsidRPr="008A22C3">
                    <w:rPr>
                      <w:b/>
                      <w:bCs/>
                    </w:rPr>
                    <w:t>Large Retail</w:t>
                  </w:r>
                </w:p>
              </w:tc>
              <w:tc>
                <w:tcPr>
                  <w:tcW w:w="4428" w:type="dxa"/>
                  <w:vAlign w:val="center"/>
                </w:tcPr>
                <w:p w:rsidR="00225952" w:rsidRDefault="00225952">
                  <w:pPr>
                    <w:spacing w:before="60" w:after="0" w:line="240" w:lineRule="auto"/>
                    <w:rPr>
                      <w:b/>
                      <w:bCs/>
                    </w:rPr>
                  </w:pPr>
                  <w:r w:rsidRPr="008A22C3">
                    <w:rPr>
                      <w:b/>
                      <w:bCs/>
                    </w:rPr>
                    <w:t>2 commercial employees per 1,000 sq ft</w:t>
                  </w:r>
                </w:p>
              </w:tc>
            </w:tr>
            <w:tr w:rsidR="00225952" w:rsidRPr="00D00B3F" w:rsidTr="003457DC">
              <w:tc>
                <w:tcPr>
                  <w:tcW w:w="2988" w:type="dxa"/>
                  <w:shd w:val="clear" w:color="auto" w:fill="DAEEF3" w:themeFill="accent5" w:themeFillTint="33"/>
                  <w:vAlign w:val="center"/>
                </w:tcPr>
                <w:p w:rsidR="00225952" w:rsidRDefault="00225952">
                  <w:pPr>
                    <w:spacing w:before="60" w:after="0" w:line="240" w:lineRule="auto"/>
                    <w:rPr>
                      <w:b/>
                      <w:bCs/>
                    </w:rPr>
                  </w:pPr>
                  <w:r w:rsidRPr="008A22C3">
                    <w:rPr>
                      <w:b/>
                      <w:bCs/>
                    </w:rPr>
                    <w:t>Industrial</w:t>
                  </w:r>
                </w:p>
              </w:tc>
              <w:tc>
                <w:tcPr>
                  <w:tcW w:w="4428" w:type="dxa"/>
                  <w:shd w:val="clear" w:color="auto" w:fill="DAEEF3" w:themeFill="accent5" w:themeFillTint="33"/>
                  <w:vAlign w:val="center"/>
                </w:tcPr>
                <w:p w:rsidR="00225952" w:rsidRDefault="00225952">
                  <w:pPr>
                    <w:spacing w:before="60" w:after="0" w:line="240" w:lineRule="auto"/>
                    <w:rPr>
                      <w:b/>
                      <w:bCs/>
                    </w:rPr>
                  </w:pPr>
                  <w:r w:rsidRPr="008A22C3">
                    <w:rPr>
                      <w:b/>
                      <w:bCs/>
                    </w:rPr>
                    <w:t>2 industrial employees per 1,000 sq ft</w:t>
                  </w:r>
                </w:p>
              </w:tc>
            </w:tr>
            <w:tr w:rsidR="00225952" w:rsidRPr="00D00B3F" w:rsidTr="003457DC">
              <w:tc>
                <w:tcPr>
                  <w:tcW w:w="2988" w:type="dxa"/>
                  <w:vAlign w:val="center"/>
                </w:tcPr>
                <w:p w:rsidR="00225952" w:rsidRDefault="00225952">
                  <w:pPr>
                    <w:spacing w:before="60" w:after="0" w:line="240" w:lineRule="auto"/>
                    <w:rPr>
                      <w:b/>
                      <w:bCs/>
                    </w:rPr>
                  </w:pPr>
                  <w:r w:rsidRPr="008A22C3">
                    <w:rPr>
                      <w:b/>
                      <w:bCs/>
                    </w:rPr>
                    <w:t>Warehousing</w:t>
                  </w:r>
                </w:p>
              </w:tc>
              <w:tc>
                <w:tcPr>
                  <w:tcW w:w="4428" w:type="dxa"/>
                  <w:vAlign w:val="center"/>
                </w:tcPr>
                <w:p w:rsidR="00225952" w:rsidRDefault="00225952">
                  <w:pPr>
                    <w:spacing w:before="60" w:after="0" w:line="240" w:lineRule="auto"/>
                    <w:rPr>
                      <w:b/>
                      <w:bCs/>
                    </w:rPr>
                  </w:pPr>
                  <w:r w:rsidRPr="008A22C3">
                    <w:rPr>
                      <w:b/>
                      <w:bCs/>
                    </w:rPr>
                    <w:t>1 industrial employee per 1,000 sq ft</w:t>
                  </w:r>
                </w:p>
              </w:tc>
            </w:tr>
            <w:tr w:rsidR="00225952" w:rsidRPr="00D00B3F" w:rsidTr="003457DC">
              <w:tc>
                <w:tcPr>
                  <w:tcW w:w="2988" w:type="dxa"/>
                  <w:shd w:val="clear" w:color="auto" w:fill="DAEEF3" w:themeFill="accent5" w:themeFillTint="33"/>
                  <w:vAlign w:val="center"/>
                </w:tcPr>
                <w:p w:rsidR="00225952" w:rsidRDefault="00225952">
                  <w:pPr>
                    <w:spacing w:before="60" w:after="0" w:line="240" w:lineRule="auto"/>
                    <w:rPr>
                      <w:b/>
                      <w:bCs/>
                    </w:rPr>
                  </w:pPr>
                  <w:r w:rsidRPr="008A22C3">
                    <w:rPr>
                      <w:b/>
                      <w:bCs/>
                    </w:rPr>
                    <w:t>Hotel</w:t>
                  </w:r>
                </w:p>
              </w:tc>
              <w:tc>
                <w:tcPr>
                  <w:tcW w:w="4428" w:type="dxa"/>
                  <w:shd w:val="clear" w:color="auto" w:fill="DAEEF3" w:themeFill="accent5" w:themeFillTint="33"/>
                  <w:vAlign w:val="center"/>
                </w:tcPr>
                <w:p w:rsidR="00225952" w:rsidRDefault="00225952">
                  <w:pPr>
                    <w:spacing w:before="60" w:after="0" w:line="240" w:lineRule="auto"/>
                    <w:rPr>
                      <w:b/>
                      <w:bCs/>
                    </w:rPr>
                  </w:pPr>
                  <w:r w:rsidRPr="008A22C3">
                    <w:rPr>
                      <w:b/>
                      <w:bCs/>
                    </w:rPr>
                    <w:t>1 service employee per room</w:t>
                  </w:r>
                </w:p>
              </w:tc>
            </w:tr>
            <w:tr w:rsidR="00225952" w:rsidRPr="00D00B3F" w:rsidTr="003457DC">
              <w:tc>
                <w:tcPr>
                  <w:tcW w:w="7416" w:type="dxa"/>
                  <w:gridSpan w:val="2"/>
                </w:tcPr>
                <w:p w:rsidR="00225952" w:rsidRDefault="00225952">
                  <w:pPr>
                    <w:spacing w:after="0" w:line="240" w:lineRule="auto"/>
                    <w:rPr>
                      <w:bCs/>
                    </w:rPr>
                  </w:pPr>
                  <w:r w:rsidRPr="008A22C3">
                    <w:rPr>
                      <w:bCs/>
                      <w:sz w:val="20"/>
                    </w:rPr>
                    <w:t>*This data is a compilation of “Rules of Thumb” and calculations using ITE Trip Generation. These conversion rates should only be considered when local data FDOT District guidance or more specific knowledge is not available.</w:t>
                  </w:r>
                </w:p>
              </w:tc>
            </w:tr>
          </w:tbl>
          <w:p w:rsidR="00225952" w:rsidRPr="00D00B3F" w:rsidRDefault="00225952" w:rsidP="00225952">
            <w:pPr>
              <w:rPr>
                <w:highlight w:val="yellow"/>
              </w:rPr>
            </w:pPr>
          </w:p>
        </w:tc>
      </w:tr>
      <w:tr w:rsidR="00225952" w:rsidRPr="00380CF5" w:rsidTr="00225952">
        <w:tc>
          <w:tcPr>
            <w:tcW w:w="2329" w:type="dxa"/>
          </w:tcPr>
          <w:p w:rsidR="00225952" w:rsidRPr="008840E7" w:rsidRDefault="00225952" w:rsidP="00225952">
            <w:pPr>
              <w:pStyle w:val="Heading4"/>
            </w:pPr>
          </w:p>
        </w:tc>
        <w:tc>
          <w:tcPr>
            <w:tcW w:w="7938" w:type="dxa"/>
          </w:tcPr>
          <w:p w:rsidR="00225952" w:rsidRPr="008840E7" w:rsidRDefault="00225952" w:rsidP="00784F8A">
            <w:pPr>
              <w:spacing w:before="120" w:after="120"/>
            </w:pPr>
            <w:r w:rsidRPr="008A22C3">
              <w:t xml:space="preserve">If the model method is used, ITE recommends the model should be carefully examined to confirm: </w:t>
            </w:r>
            <w:r w:rsidRPr="00784F8A">
              <w:rPr>
                <w:sz w:val="20"/>
              </w:rPr>
              <w:t xml:space="preserve">(Reference: </w:t>
            </w:r>
            <w:hyperlink r:id="rId74" w:history="1">
              <w:r w:rsidRPr="00784F8A">
                <w:rPr>
                  <w:rStyle w:val="Hyperlink"/>
                  <w:i/>
                  <w:sz w:val="20"/>
                </w:rPr>
                <w:t>Transportation Impact Analyses for Site Development)</w:t>
              </w:r>
            </w:hyperlink>
          </w:p>
        </w:tc>
      </w:tr>
      <w:tr w:rsidR="00225952" w:rsidRPr="00D00B3F" w:rsidTr="00225952">
        <w:tc>
          <w:tcPr>
            <w:tcW w:w="2329" w:type="dxa"/>
          </w:tcPr>
          <w:p w:rsidR="00225952" w:rsidRPr="006135BA" w:rsidRDefault="00225952" w:rsidP="00225952">
            <w:pPr>
              <w:pStyle w:val="Heading4"/>
            </w:pPr>
          </w:p>
        </w:tc>
        <w:tc>
          <w:tcPr>
            <w:tcW w:w="7938" w:type="dxa"/>
          </w:tcPr>
          <w:p w:rsidR="00225952" w:rsidRPr="00F85DDC" w:rsidRDefault="00225952" w:rsidP="00AD2D7A">
            <w:pPr>
              <w:pStyle w:val="BulletA"/>
              <w:numPr>
                <w:ilvl w:val="0"/>
                <w:numId w:val="74"/>
              </w:numPr>
            </w:pPr>
            <w:r w:rsidRPr="008A22C3">
              <w:t>Land use and demographic assumpt</w:t>
            </w:r>
            <w:r w:rsidR="00563102">
              <w:t>ions within the model are valid</w:t>
            </w:r>
          </w:p>
          <w:p w:rsidR="00225952" w:rsidRPr="00F85DDC" w:rsidRDefault="00225952" w:rsidP="00AD2D7A">
            <w:pPr>
              <w:pStyle w:val="BulletA"/>
              <w:numPr>
                <w:ilvl w:val="0"/>
                <w:numId w:val="74"/>
              </w:numPr>
            </w:pPr>
            <w:r w:rsidRPr="008A22C3">
              <w:t xml:space="preserve">Key collector streets and centroid connections (links between the roadway network and </w:t>
            </w:r>
            <w:r w:rsidR="00563102">
              <w:t>the analysis zone) are included</w:t>
            </w:r>
          </w:p>
          <w:p w:rsidR="00225952" w:rsidRDefault="00225952" w:rsidP="00AD2D7A">
            <w:pPr>
              <w:pStyle w:val="BulletA"/>
              <w:numPr>
                <w:ilvl w:val="0"/>
                <w:numId w:val="74"/>
              </w:numPr>
            </w:pPr>
            <w:r w:rsidRPr="008A22C3">
              <w:t xml:space="preserve">The roadway network is accurately represented </w:t>
            </w:r>
            <w:r w:rsidRPr="0003540F">
              <w:rPr>
                <w:sz w:val="21"/>
                <w:szCs w:val="21"/>
              </w:rPr>
              <w:t>(i.e. appropriate link data such as presence of facilities, number of lanes, link cap</w:t>
            </w:r>
            <w:r w:rsidR="00563102" w:rsidRPr="0003540F">
              <w:rPr>
                <w:sz w:val="21"/>
                <w:szCs w:val="21"/>
              </w:rPr>
              <w:t>acity, travel speeds, etc.)</w:t>
            </w:r>
          </w:p>
          <w:p w:rsidR="00225952" w:rsidRDefault="00225952" w:rsidP="00AD2D7A">
            <w:pPr>
              <w:pStyle w:val="BulletA"/>
              <w:numPr>
                <w:ilvl w:val="0"/>
                <w:numId w:val="74"/>
              </w:numPr>
              <w:spacing w:after="120"/>
            </w:pPr>
            <w:r w:rsidRPr="008A22C3">
              <w:t>The trip assignment method (confirm if and how trips are routed between zones considering multiple potential paths).</w:t>
            </w:r>
          </w:p>
        </w:tc>
      </w:tr>
      <w:tr w:rsidR="00225952" w:rsidRPr="00380CF5" w:rsidTr="00225952">
        <w:tc>
          <w:tcPr>
            <w:tcW w:w="2329" w:type="dxa"/>
          </w:tcPr>
          <w:p w:rsidR="00225952" w:rsidRPr="00970414" w:rsidRDefault="007F6A0C" w:rsidP="007F6A0C">
            <w:pPr>
              <w:pStyle w:val="SidebarSentence"/>
            </w:pPr>
            <w:r>
              <w:lastRenderedPageBreak/>
              <w:t>U</w:t>
            </w:r>
            <w:r w:rsidR="00225952">
              <w:t>nderstand</w:t>
            </w:r>
            <w:r>
              <w:t xml:space="preserve"> the</w:t>
            </w:r>
            <w:r w:rsidR="00225952">
              <w:t xml:space="preserve"> model’s strengths and limitations </w:t>
            </w:r>
          </w:p>
        </w:tc>
        <w:tc>
          <w:tcPr>
            <w:tcW w:w="7938" w:type="dxa"/>
          </w:tcPr>
          <w:p w:rsidR="00225952" w:rsidRPr="00D00B3F" w:rsidRDefault="00225952" w:rsidP="00225952">
            <w:pPr>
              <w:rPr>
                <w:highlight w:val="yellow"/>
              </w:rPr>
            </w:pPr>
            <w:r>
              <w:t xml:space="preserve"> It is essential that the model user have a thorough understanding of a given model’s analysis strengths and limitations so that model output can be properly interpreted and used. Many transportation models allow for modeling the differences with and without trips reflecting development of a specific analysis zone. </w:t>
            </w:r>
            <w:r w:rsidRPr="00822B5D">
              <w:t>The model results typically provide link traffic volumes and thus allow for a direct comparison. It is critical that the comparison results be considered in the context of net effects as opposed to assignment of specific site development trips to individual roadway links.</w:t>
            </w:r>
            <w:r>
              <w:t xml:space="preserve"> (</w:t>
            </w:r>
            <w:r w:rsidRPr="00AB29A7">
              <w:t xml:space="preserve">Reference: </w:t>
            </w:r>
            <w:hyperlink r:id="rId75" w:history="1">
              <w:r w:rsidRPr="00AB29A7">
                <w:rPr>
                  <w:rStyle w:val="Hyperlink"/>
                  <w:i/>
                </w:rPr>
                <w:t>Transportation Impact Analyses for Site Development: An ITE Proposed Recommended Practice</w:t>
              </w:r>
              <w:r w:rsidRPr="00AB29A7">
                <w:rPr>
                  <w:rStyle w:val="Hyperlink"/>
                </w:rPr>
                <w:t>.</w:t>
              </w:r>
            </w:hyperlink>
            <w:r>
              <w:t>)</w:t>
            </w:r>
          </w:p>
        </w:tc>
      </w:tr>
      <w:tr w:rsidR="00225952" w:rsidRPr="00380CF5" w:rsidTr="00225952">
        <w:tc>
          <w:tcPr>
            <w:tcW w:w="2329" w:type="dxa"/>
          </w:tcPr>
          <w:p w:rsidR="00225952" w:rsidRDefault="00225952">
            <w:pPr>
              <w:pStyle w:val="Heading4"/>
            </w:pPr>
            <w:r w:rsidRPr="006135BA">
              <w:t xml:space="preserve">ZDATA </w:t>
            </w:r>
            <w:r w:rsidRPr="008A22C3">
              <w:t>Interpolation</w:t>
            </w:r>
          </w:p>
          <w:p w:rsidR="00225952" w:rsidRPr="006135BA" w:rsidRDefault="00225952" w:rsidP="00225952">
            <w:pPr>
              <w:pStyle w:val="Heading4"/>
            </w:pPr>
          </w:p>
        </w:tc>
        <w:tc>
          <w:tcPr>
            <w:tcW w:w="7938" w:type="dxa"/>
          </w:tcPr>
          <w:p w:rsidR="00225952" w:rsidRDefault="00225952">
            <w:r w:rsidRPr="00334EC3">
              <w:t>In addition to forecasting AADT volumes directly, the applicant may be required to develop FSUTMS model inputs (</w:t>
            </w:r>
            <w:r>
              <w:t>ZONEDATA</w:t>
            </w:r>
            <w:r w:rsidRPr="00334EC3">
              <w:t xml:space="preserve">) for years that are not major horizon years in the model used in the site impact analysis. When the duration between model horizon years is less than five years, it may be appropriate to interpolate the </w:t>
            </w:r>
            <w:r>
              <w:t>ZONEDATA</w:t>
            </w:r>
            <w:r w:rsidRPr="00334EC3">
              <w:t xml:space="preserve"> using a linear regression equation, for example between 20</w:t>
            </w:r>
            <w:r>
              <w:t>15</w:t>
            </w:r>
            <w:r w:rsidRPr="00334EC3">
              <w:t xml:space="preserve"> and 20</w:t>
            </w:r>
            <w:r>
              <w:t>20</w:t>
            </w:r>
            <w:r w:rsidRPr="00334EC3">
              <w:t xml:space="preserve">. Data in years where significant transportation network changes are anticipated to occur or major phases of related developments are proposed to open should be considered to the greatest extent and linear interpolation of </w:t>
            </w:r>
            <w:r>
              <w:t xml:space="preserve">ZONEDATA </w:t>
            </w:r>
            <w:r w:rsidRPr="00334EC3">
              <w:t xml:space="preserve">files </w:t>
            </w:r>
            <w:r>
              <w:t>should be</w:t>
            </w:r>
            <w:r w:rsidRPr="00334EC3">
              <w:t xml:space="preserve"> discouraged. More detail on the use of Z</w:t>
            </w:r>
            <w:r>
              <w:t>ONE</w:t>
            </w:r>
            <w:r w:rsidRPr="00334EC3">
              <w:t xml:space="preserve">DATA files in site impact analysis is provided in </w:t>
            </w:r>
            <w:r w:rsidRPr="00334EC3">
              <w:rPr>
                <w:b/>
                <w:bCs/>
              </w:rPr>
              <w:t>Step 4: Trip Generation</w:t>
            </w:r>
            <w:r w:rsidRPr="00334EC3">
              <w:t>.</w:t>
            </w:r>
          </w:p>
        </w:tc>
      </w:tr>
    </w:tbl>
    <w:p w:rsidR="00225952" w:rsidRDefault="00225952" w:rsidP="00225952">
      <w:pPr>
        <w:pStyle w:val="Heading2"/>
        <w:sectPr w:rsidR="00225952" w:rsidSect="00832911">
          <w:headerReference w:type="default" r:id="rId76"/>
          <w:type w:val="continuous"/>
          <w:pgSz w:w="12240" w:h="15840" w:code="1"/>
          <w:pgMar w:top="1440" w:right="720" w:bottom="1440" w:left="1152" w:header="720" w:footer="720" w:gutter="0"/>
          <w:cols w:space="720"/>
          <w:docGrid w:linePitch="313"/>
        </w:sectPr>
      </w:pPr>
    </w:p>
    <w:tbl>
      <w:tblPr>
        <w:tblW w:w="10375" w:type="dxa"/>
        <w:tblLayout w:type="fixed"/>
        <w:tblLook w:val="0000"/>
      </w:tblPr>
      <w:tblGrid>
        <w:gridCol w:w="2455"/>
        <w:gridCol w:w="7920"/>
      </w:tblGrid>
      <w:tr w:rsidR="00225952" w:rsidRPr="00380CF5">
        <w:tc>
          <w:tcPr>
            <w:tcW w:w="10375" w:type="dxa"/>
            <w:gridSpan w:val="2"/>
          </w:tcPr>
          <w:p w:rsidR="00225952" w:rsidRDefault="006B7F55">
            <w:pPr>
              <w:pStyle w:val="Heading2"/>
            </w:pPr>
            <w:bookmarkStart w:id="64" w:name="_Toc264274081"/>
            <w:bookmarkStart w:id="65" w:name="_Toc232912645"/>
            <w:r>
              <w:lastRenderedPageBreak/>
              <w:t>2.5</w:t>
            </w:r>
            <w:r w:rsidR="00225952">
              <w:t xml:space="preserve">  </w:t>
            </w:r>
            <w:r w:rsidR="00225952" w:rsidRPr="006135BA">
              <w:t>Trip Generation of the New Development</w:t>
            </w:r>
            <w:bookmarkEnd w:id="64"/>
            <w:r w:rsidR="00225952" w:rsidRPr="006135BA">
              <w:t xml:space="preserve"> </w:t>
            </w:r>
            <w:bookmarkEnd w:id="65"/>
          </w:p>
        </w:tc>
      </w:tr>
      <w:tr w:rsidR="00225952" w:rsidRPr="00380CF5">
        <w:tc>
          <w:tcPr>
            <w:tcW w:w="2455" w:type="dxa"/>
          </w:tcPr>
          <w:p w:rsidR="00225952" w:rsidRDefault="00225952" w:rsidP="00225952">
            <w:r>
              <w:rPr>
                <w:noProof/>
              </w:rPr>
              <w:drawing>
                <wp:inline distT="0" distB="0" distL="0" distR="0">
                  <wp:extent cx="1021715" cy="1054735"/>
                  <wp:effectExtent l="19050" t="0" r="6985" b="0"/>
                  <wp:docPr id="48" name="Picture 48" descr="iStep4TripG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Step4TripGen.png"/>
                          <pic:cNvPicPr>
                            <a:picLocks noChangeAspect="1" noChangeArrowheads="1"/>
                          </pic:cNvPicPr>
                        </pic:nvPicPr>
                        <pic:blipFill>
                          <a:blip r:embed="rId77" cstate="print"/>
                          <a:srcRect/>
                          <a:stretch>
                            <a:fillRect/>
                          </a:stretch>
                        </pic:blipFill>
                        <pic:spPr bwMode="auto">
                          <a:xfrm>
                            <a:off x="0" y="0"/>
                            <a:ext cx="1021715" cy="1054735"/>
                          </a:xfrm>
                          <a:prstGeom prst="rect">
                            <a:avLst/>
                          </a:prstGeom>
                          <a:noFill/>
                          <a:ln w="9525">
                            <a:noFill/>
                            <a:miter lim="800000"/>
                            <a:headEnd/>
                            <a:tailEnd/>
                          </a:ln>
                        </pic:spPr>
                      </pic:pic>
                    </a:graphicData>
                  </a:graphic>
                </wp:inline>
              </w:drawing>
            </w:r>
          </w:p>
          <w:p w:rsidR="00225952" w:rsidRDefault="00225952" w:rsidP="00C60799">
            <w:pPr>
              <w:spacing w:after="0"/>
            </w:pPr>
            <w:r>
              <w:rPr>
                <w:noProof/>
              </w:rPr>
              <w:drawing>
                <wp:inline distT="0" distB="0" distL="0" distR="0">
                  <wp:extent cx="1454867" cy="571500"/>
                  <wp:effectExtent l="19050" t="0" r="0" b="0"/>
                  <wp:docPr id="115" name="Picture 46" descr="button_presentation.png">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button_presentation.png"/>
                          <pic:cNvPicPr>
                            <a:picLocks noChangeAspect="1" noChangeArrowheads="1"/>
                          </pic:cNvPicPr>
                        </pic:nvPicPr>
                        <pic:blipFill>
                          <a:blip r:embed="rId35" cstate="print"/>
                          <a:srcRect/>
                          <a:stretch>
                            <a:fillRect/>
                          </a:stretch>
                        </pic:blipFill>
                        <pic:spPr bwMode="auto">
                          <a:xfrm>
                            <a:off x="0" y="0"/>
                            <a:ext cx="1462731" cy="574589"/>
                          </a:xfrm>
                          <a:prstGeom prst="rect">
                            <a:avLst/>
                          </a:prstGeom>
                          <a:noFill/>
                          <a:ln w="9525">
                            <a:noFill/>
                            <a:miter lim="800000"/>
                            <a:headEnd/>
                            <a:tailEnd/>
                          </a:ln>
                        </pic:spPr>
                      </pic:pic>
                    </a:graphicData>
                  </a:graphic>
                </wp:inline>
              </w:drawing>
            </w:r>
          </w:p>
          <w:p w:rsidR="00225952" w:rsidRDefault="00225952" w:rsidP="007F6A0C">
            <w:pPr>
              <w:pStyle w:val="HeadSide2"/>
              <w:jc w:val="center"/>
            </w:pPr>
            <w:r w:rsidRPr="008A22C3">
              <w:t>Trip Generation Basics and Pitfalls</w:t>
            </w:r>
          </w:p>
        </w:tc>
        <w:tc>
          <w:tcPr>
            <w:tcW w:w="7920" w:type="dxa"/>
          </w:tcPr>
          <w:p w:rsidR="00225952" w:rsidRDefault="00225952" w:rsidP="00225952">
            <w:r>
              <w:t xml:space="preserve">Trip generation is the process by which the number and type of trips associated with a given land use is estimated. Trip generation may be the most critical element of the transportation impact analysis reviewed by FDOT because it estimates the amount of vehicular travel associated with a specific land use or development. </w:t>
            </w:r>
            <w:r w:rsidRPr="00820E45">
              <w:t>A</w:t>
            </w:r>
            <w:r>
              <w:t>n</w:t>
            </w:r>
            <w:r w:rsidRPr="00820E45">
              <w:t xml:space="preserve"> estimate of trip generation</w:t>
            </w:r>
            <w:r>
              <w:t xml:space="preserve"> </w:t>
            </w:r>
            <w:r w:rsidRPr="00820E45">
              <w:t xml:space="preserve">from the development </w:t>
            </w:r>
            <w:r>
              <w:t xml:space="preserve">using FDOT approved trip generation methods (such as ITE’s </w:t>
            </w:r>
            <w:r w:rsidRPr="003F0FD0">
              <w:rPr>
                <w:i/>
              </w:rPr>
              <w:t>Trip Generation</w:t>
            </w:r>
            <w:r>
              <w:t xml:space="preserve"> publications)</w:t>
            </w:r>
            <w:r w:rsidRPr="00820E45">
              <w:t xml:space="preserve"> is required in ALL analyses even when the model method is used. </w:t>
            </w:r>
          </w:p>
          <w:p w:rsidR="00225952" w:rsidRDefault="00225952">
            <w:r>
              <w:t>When</w:t>
            </w:r>
            <w:r w:rsidRPr="003E5783">
              <w:t xml:space="preserve"> dealing with adjustments to trip generation that a</w:t>
            </w:r>
            <w:r>
              <w:t xml:space="preserve">re made to </w:t>
            </w:r>
            <w:r w:rsidRPr="003E5783">
              <w:t>lower the gross trip generation (e.g. internal capture percentag</w:t>
            </w:r>
            <w:r>
              <w:t>es for mixed-use projects, pass</w:t>
            </w:r>
            <w:r w:rsidRPr="003E5783">
              <w:t>-by capture rates</w:t>
            </w:r>
            <w:r>
              <w:t xml:space="preserve">, </w:t>
            </w:r>
            <w:r w:rsidRPr="003E5783">
              <w:t>etc</w:t>
            </w:r>
            <w:r>
              <w:t>.</w:t>
            </w:r>
            <w:r w:rsidRPr="003E5783">
              <w:t xml:space="preserve">) </w:t>
            </w:r>
            <w:r>
              <w:t xml:space="preserve">these </w:t>
            </w:r>
            <w:r w:rsidRPr="003E5783">
              <w:t xml:space="preserve">should be accompanied by sufficient </w:t>
            </w:r>
            <w:r>
              <w:t xml:space="preserve">logical justification or </w:t>
            </w:r>
            <w:r w:rsidRPr="003E5783">
              <w:t>empirical data</w:t>
            </w:r>
            <w:r>
              <w:t xml:space="preserve"> early in the process. We suggest this be a major item of discussion at Methodology Development.</w:t>
            </w:r>
          </w:p>
          <w:p w:rsidR="007F6A0C" w:rsidRDefault="003457DC">
            <w:r>
              <w:br/>
            </w:r>
          </w:p>
        </w:tc>
      </w:tr>
    </w:tbl>
    <w:p w:rsidR="00784F8A" w:rsidRDefault="00784F8A">
      <w:r>
        <w:rPr>
          <w:b/>
          <w:bCs/>
        </w:rPr>
        <w:br w:type="page"/>
      </w:r>
    </w:p>
    <w:tbl>
      <w:tblPr>
        <w:tblW w:w="10375" w:type="dxa"/>
        <w:tblLayout w:type="fixed"/>
        <w:tblLook w:val="0000"/>
      </w:tblPr>
      <w:tblGrid>
        <w:gridCol w:w="2455"/>
        <w:gridCol w:w="7920"/>
      </w:tblGrid>
      <w:tr w:rsidR="00225952" w:rsidRPr="00380CF5" w:rsidTr="00225952">
        <w:tc>
          <w:tcPr>
            <w:tcW w:w="10375" w:type="dxa"/>
            <w:gridSpan w:val="2"/>
          </w:tcPr>
          <w:p w:rsidR="00225952" w:rsidRDefault="006B7F55" w:rsidP="00225952">
            <w:pPr>
              <w:pStyle w:val="Heading3"/>
            </w:pPr>
            <w:bookmarkStart w:id="66" w:name="_Toc264274082"/>
            <w:r>
              <w:lastRenderedPageBreak/>
              <w:t>2.5</w:t>
            </w:r>
            <w:r w:rsidR="00225952">
              <w:t xml:space="preserve">.1  </w:t>
            </w:r>
            <w:r w:rsidR="00225952" w:rsidRPr="006135BA">
              <w:t>Trip Generation Data</w:t>
            </w:r>
            <w:bookmarkEnd w:id="66"/>
            <w:r w:rsidR="00225952" w:rsidRPr="006135BA">
              <w:t xml:space="preserve"> </w:t>
            </w:r>
          </w:p>
        </w:tc>
      </w:tr>
      <w:tr w:rsidR="00225952" w:rsidRPr="00380CF5">
        <w:tc>
          <w:tcPr>
            <w:tcW w:w="2455" w:type="dxa"/>
          </w:tcPr>
          <w:p w:rsidR="00225952" w:rsidRDefault="00225952" w:rsidP="00225952">
            <w:pPr>
              <w:pStyle w:val="SidebarSentence"/>
            </w:pPr>
          </w:p>
          <w:p w:rsidR="00225952" w:rsidRDefault="00225952">
            <w:pPr>
              <w:pStyle w:val="SidebarSentence"/>
            </w:pPr>
            <w:r>
              <w:t>A trip end either begins or ends in the development</w:t>
            </w:r>
          </w:p>
        </w:tc>
        <w:tc>
          <w:tcPr>
            <w:tcW w:w="7920" w:type="dxa"/>
          </w:tcPr>
          <w:p w:rsidR="00225952" w:rsidRDefault="00225952" w:rsidP="002274C7">
            <w:r>
              <w:t xml:space="preserve">To understand trip generation, it is first necessary to define a trip end. For the purposes of this handbook, a trip end is a single or one-direction vehicle movement with either the origin or the destination (entering or exiting movement) inside the study site and one origin or destination external to the land use. To avoid confusion, all “trips” in this </w:t>
            </w:r>
            <w:r w:rsidR="002274C7">
              <w:t>section</w:t>
            </w:r>
            <w:r>
              <w:t xml:space="preserve"> of the handbook (regarding Manual Methods of Trip Generation) will be vehicle movements. The term “person-trips” will be used to differentiate instances where the number of persons is referred to. Person trips are usually a term used in the model calculations of trip generation. For example, a family of four traveling from home to school would represent one vehicle trip and four person-trips.</w:t>
            </w:r>
          </w:p>
        </w:tc>
      </w:tr>
      <w:tr w:rsidR="00225952" w:rsidRPr="00380CF5">
        <w:tc>
          <w:tcPr>
            <w:tcW w:w="2455" w:type="dxa"/>
          </w:tcPr>
          <w:p w:rsidR="00225952" w:rsidRDefault="00225952" w:rsidP="00225952"/>
        </w:tc>
        <w:tc>
          <w:tcPr>
            <w:tcW w:w="7920" w:type="dxa"/>
          </w:tcPr>
          <w:p w:rsidR="00225952" w:rsidRDefault="00225952" w:rsidP="00225952">
            <w:r>
              <w:t xml:space="preserve">Trip generation databases have been developed over time and can be used to estimate the number of trips likely to be associated with a given land use. One of the most recognized and comprehensive report of trip generation data available is the Institute of Transportation Engineer’s </w:t>
            </w:r>
            <w:r w:rsidRPr="00105664">
              <w:rPr>
                <w:i/>
              </w:rPr>
              <w:t>Trip Generation</w:t>
            </w:r>
            <w:r>
              <w:t>, currently available in the 8</w:t>
            </w:r>
            <w:r w:rsidRPr="00105664">
              <w:rPr>
                <w:vertAlign w:val="superscript"/>
              </w:rPr>
              <w:t>th</w:t>
            </w:r>
            <w:r>
              <w:t xml:space="preserve"> Edition.  It is comprised of data collected nationally. A wide variety of land uses are represented in </w:t>
            </w:r>
            <w:r w:rsidRPr="003F5F27">
              <w:rPr>
                <w:i/>
              </w:rPr>
              <w:t>Trip Generation</w:t>
            </w:r>
            <w:r>
              <w:t>, though users should exercise judgment in selecting and applying trip rates for their situation.</w:t>
            </w:r>
          </w:p>
        </w:tc>
      </w:tr>
      <w:tr w:rsidR="00A72D9B" w:rsidRPr="00380CF5">
        <w:tc>
          <w:tcPr>
            <w:tcW w:w="2455" w:type="dxa"/>
          </w:tcPr>
          <w:p w:rsidR="00A72D9B" w:rsidRPr="00A72D9B" w:rsidRDefault="00A72D9B" w:rsidP="00A72D9B">
            <w:pPr>
              <w:pStyle w:val="Exhibit"/>
            </w:pPr>
          </w:p>
        </w:tc>
        <w:tc>
          <w:tcPr>
            <w:tcW w:w="7920" w:type="dxa"/>
          </w:tcPr>
          <w:p w:rsidR="00A72D9B" w:rsidRPr="00A72D9B" w:rsidRDefault="00A72D9B" w:rsidP="00A72D9B">
            <w:pPr>
              <w:pStyle w:val="Exhibit"/>
              <w:spacing w:before="360"/>
            </w:pPr>
            <w:r w:rsidRPr="00A72D9B">
              <w:t xml:space="preserve">Exhibit 14 </w:t>
            </w:r>
            <w:r>
              <w:t>(next page)</w:t>
            </w:r>
          </w:p>
          <w:p w:rsidR="00A72D9B" w:rsidRPr="00B17135" w:rsidRDefault="00A72D9B" w:rsidP="00A72D9B">
            <w:pPr>
              <w:pStyle w:val="SidebarSentence"/>
              <w:jc w:val="center"/>
            </w:pPr>
            <w:r w:rsidRPr="002E6788">
              <w:t>ITE Trip Generation Manual Page Example</w:t>
            </w:r>
          </w:p>
        </w:tc>
      </w:tr>
      <w:tr w:rsidR="00A72D9B" w:rsidRPr="00380CF5">
        <w:tc>
          <w:tcPr>
            <w:tcW w:w="2455" w:type="dxa"/>
          </w:tcPr>
          <w:p w:rsidR="00A72D9B" w:rsidRDefault="005A3F7B" w:rsidP="00A72D9B">
            <w:r w:rsidRPr="0088352E">
              <w:rPr>
                <w:noProof/>
              </w:rPr>
              <w:drawing>
                <wp:inline distT="0" distB="0" distL="0" distR="0">
                  <wp:extent cx="1391920" cy="543560"/>
                  <wp:effectExtent l="19050" t="0" r="0" b="0"/>
                  <wp:docPr id="121" name="Picture 54" descr="button_web.png">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button_web.png"/>
                          <pic:cNvPicPr>
                            <a:picLocks noChangeAspect="1" noChangeArrowheads="1"/>
                          </pic:cNvPicPr>
                        </pic:nvPicPr>
                        <pic:blipFill>
                          <a:blip r:embed="rId26" cstate="print"/>
                          <a:srcRect/>
                          <a:stretch>
                            <a:fillRect/>
                          </a:stretch>
                        </pic:blipFill>
                        <pic:spPr bwMode="auto">
                          <a:xfrm>
                            <a:off x="0" y="0"/>
                            <a:ext cx="1391920" cy="543560"/>
                          </a:xfrm>
                          <a:prstGeom prst="rect">
                            <a:avLst/>
                          </a:prstGeom>
                          <a:noFill/>
                          <a:ln w="9525">
                            <a:noFill/>
                            <a:miter lim="800000"/>
                            <a:headEnd/>
                            <a:tailEnd/>
                          </a:ln>
                        </pic:spPr>
                      </pic:pic>
                    </a:graphicData>
                  </a:graphic>
                </wp:inline>
              </w:drawing>
            </w:r>
            <w:r w:rsidRPr="00D34B6F">
              <w:t>ITE Trip Generation Handbook, Second Edition</w:t>
            </w:r>
          </w:p>
        </w:tc>
        <w:tc>
          <w:tcPr>
            <w:tcW w:w="7920" w:type="dxa"/>
          </w:tcPr>
          <w:p w:rsidR="00A72D9B" w:rsidRPr="00B17135" w:rsidRDefault="00A72D9B" w:rsidP="00A72D9B">
            <w:pPr>
              <w:pStyle w:val="SidebarSentence"/>
              <w:spacing w:before="360"/>
            </w:pPr>
            <w:r w:rsidRPr="00B17135">
              <w:t>One of the most recognized and comprehensive compilations of trip databases available is the Institute of Transportation Engineer’s Trip Generation</w:t>
            </w:r>
          </w:p>
          <w:p w:rsidR="00A72D9B" w:rsidRDefault="00A72D9B" w:rsidP="00A72D9B">
            <w:r w:rsidRPr="002E6788">
              <w:rPr>
                <w:b/>
              </w:rPr>
              <w:t xml:space="preserve">Source: ITE </w:t>
            </w:r>
            <w:r w:rsidRPr="002E6788">
              <w:rPr>
                <w:b/>
                <w:i/>
              </w:rPr>
              <w:t>Trip Generation, 8</w:t>
            </w:r>
            <w:r w:rsidRPr="002E6788">
              <w:rPr>
                <w:b/>
                <w:i/>
                <w:vertAlign w:val="superscript"/>
              </w:rPr>
              <w:t>th</w:t>
            </w:r>
            <w:r w:rsidRPr="002E6788">
              <w:rPr>
                <w:b/>
                <w:i/>
              </w:rPr>
              <w:t xml:space="preserve"> Edition</w:t>
            </w:r>
          </w:p>
        </w:tc>
      </w:tr>
      <w:tr w:rsidR="00225952" w:rsidRPr="00380CF5" w:rsidTr="00225952">
        <w:tc>
          <w:tcPr>
            <w:tcW w:w="10375" w:type="dxa"/>
            <w:gridSpan w:val="2"/>
            <w:vAlign w:val="center"/>
          </w:tcPr>
          <w:p w:rsidR="00225952" w:rsidRDefault="00225952" w:rsidP="00225952">
            <w:pPr>
              <w:spacing w:after="120"/>
              <w:jc w:val="center"/>
            </w:pPr>
            <w:r w:rsidRPr="0006326F">
              <w:rPr>
                <w:noProof/>
              </w:rPr>
              <w:lastRenderedPageBreak/>
              <w:drawing>
                <wp:inline distT="0" distB="0" distL="0" distR="0">
                  <wp:extent cx="6309360" cy="8120320"/>
                  <wp:effectExtent l="19050" t="0" r="0" b="0"/>
                  <wp:docPr id="127" name="Picture 37" descr="Exhibit2-12TripGen.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hibit2-12TripGen.emf"/>
                          <pic:cNvPicPr/>
                        </pic:nvPicPr>
                        <pic:blipFill>
                          <a:blip r:embed="rId80" cstate="print"/>
                          <a:srcRect l="2242" t="6392" r="4003"/>
                          <a:stretch>
                            <a:fillRect/>
                          </a:stretch>
                        </pic:blipFill>
                        <pic:spPr>
                          <a:xfrm>
                            <a:off x="0" y="0"/>
                            <a:ext cx="6309360" cy="8120320"/>
                          </a:xfrm>
                          <a:prstGeom prst="rect">
                            <a:avLst/>
                          </a:prstGeom>
                        </pic:spPr>
                      </pic:pic>
                    </a:graphicData>
                  </a:graphic>
                </wp:inline>
              </w:drawing>
            </w:r>
          </w:p>
        </w:tc>
      </w:tr>
      <w:tr w:rsidR="00225952" w:rsidRPr="00380CF5">
        <w:tc>
          <w:tcPr>
            <w:tcW w:w="2455" w:type="dxa"/>
          </w:tcPr>
          <w:p w:rsidR="00225952" w:rsidRPr="006135BA" w:rsidRDefault="00225952" w:rsidP="00225952">
            <w:pPr>
              <w:pStyle w:val="Heading4"/>
            </w:pPr>
            <w:r>
              <w:rPr>
                <w:bCs w:val="0"/>
              </w:rPr>
              <w:lastRenderedPageBreak/>
              <w:br w:type="page"/>
            </w:r>
            <w:r w:rsidRPr="006135BA">
              <w:t>Data Applicability</w:t>
            </w:r>
          </w:p>
          <w:p w:rsidR="00225952" w:rsidRDefault="00225952" w:rsidP="00225952">
            <w:pPr>
              <w:pStyle w:val="SidebarSentence"/>
            </w:pPr>
          </w:p>
          <w:p w:rsidR="00225952" w:rsidRDefault="005A3F7B" w:rsidP="00225952">
            <w:pPr>
              <w:pStyle w:val="SidebarSentence"/>
            </w:pPr>
            <w:r>
              <w:t>Evaluate whether the trip generation data is applicable to the specific project</w:t>
            </w:r>
          </w:p>
          <w:p w:rsidR="00225952" w:rsidRDefault="00225952" w:rsidP="00225952"/>
          <w:p w:rsidR="00225952" w:rsidRDefault="00225952" w:rsidP="00225952"/>
          <w:p w:rsidR="00225952" w:rsidRDefault="00225952" w:rsidP="00225952"/>
          <w:p w:rsidR="00225952" w:rsidRDefault="00225952" w:rsidP="00225952"/>
          <w:p w:rsidR="00225952" w:rsidRDefault="00225952" w:rsidP="00225952"/>
          <w:p w:rsidR="00225952" w:rsidRDefault="00225952" w:rsidP="00225952"/>
          <w:p w:rsidR="00225952" w:rsidRDefault="00225952" w:rsidP="00225952"/>
          <w:p w:rsidR="00225952" w:rsidRPr="00970414" w:rsidRDefault="008D6C65" w:rsidP="00225952">
            <w:pPr>
              <w:pStyle w:val="SidebarSentence"/>
            </w:pPr>
            <w:r>
              <w:t>C</w:t>
            </w:r>
            <w:r w:rsidR="00225952" w:rsidRPr="00F8563E">
              <w:t>ollect additional empirical data</w:t>
            </w:r>
            <w:r>
              <w:t xml:space="preserve"> when needed.</w:t>
            </w:r>
          </w:p>
        </w:tc>
        <w:tc>
          <w:tcPr>
            <w:tcW w:w="7920" w:type="dxa"/>
          </w:tcPr>
          <w:p w:rsidR="00225952" w:rsidRDefault="00225952" w:rsidP="008D6C65">
            <w:pPr>
              <w:spacing w:after="60"/>
            </w:pPr>
            <w:r w:rsidRPr="00FC2CC3">
              <w:rPr>
                <w:i/>
              </w:rPr>
              <w:t>Trip Generation</w:t>
            </w:r>
            <w:r w:rsidRPr="00FC2CC3">
              <w:t xml:space="preserve"> contains a</w:t>
            </w:r>
            <w:r>
              <w:t xml:space="preserve"> tremendous amount of data; however, that data is not necessarily appropriate in all situations. </w:t>
            </w:r>
            <w:r w:rsidRPr="006F529B">
              <w:rPr>
                <w:i/>
              </w:rPr>
              <w:t xml:space="preserve">Trip Generation </w:t>
            </w:r>
            <w:r>
              <w:t xml:space="preserve">users should carefully review the data available and consider its applicability in the context of each project’s circumstances. Some key items to consider in assessing the usefulness of </w:t>
            </w:r>
            <w:r w:rsidRPr="003F5F27">
              <w:rPr>
                <w:i/>
              </w:rPr>
              <w:t>Trip Generation</w:t>
            </w:r>
            <w:r>
              <w:t xml:space="preserve"> data for a particular application include:</w:t>
            </w:r>
          </w:p>
          <w:p w:rsidR="00225952" w:rsidRPr="00A52699" w:rsidRDefault="00225952" w:rsidP="00AD2D7A">
            <w:pPr>
              <w:pStyle w:val="BulletA"/>
              <w:numPr>
                <w:ilvl w:val="0"/>
                <w:numId w:val="75"/>
              </w:numPr>
            </w:pPr>
            <w:r w:rsidRPr="008A22C3">
              <w:t xml:space="preserve">Selection of the land use closest to that being assessed is critical (Read the land use description about where and when sites were studied).  Many land uses in ITE may sound similar but have very different trip generation rates.  </w:t>
            </w:r>
          </w:p>
          <w:p w:rsidR="00225952" w:rsidRPr="00A52699" w:rsidRDefault="00225952" w:rsidP="00AD2D7A">
            <w:pPr>
              <w:pStyle w:val="BulletA"/>
              <w:numPr>
                <w:ilvl w:val="0"/>
                <w:numId w:val="75"/>
              </w:numPr>
            </w:pPr>
            <w:r w:rsidRPr="008A22C3">
              <w:t>The number of data points available: some of the ITE data is very limited in terms of sample size and/or number of analysis periods</w:t>
            </w:r>
          </w:p>
          <w:p w:rsidR="00225952" w:rsidRPr="00A52699" w:rsidRDefault="00225952" w:rsidP="00AD2D7A">
            <w:pPr>
              <w:pStyle w:val="BulletA"/>
              <w:numPr>
                <w:ilvl w:val="0"/>
                <w:numId w:val="75"/>
              </w:numPr>
            </w:pPr>
            <w:r w:rsidRPr="008A22C3">
              <w:t xml:space="preserve">Trip patterns change from suburban to urban areas (most of the data in </w:t>
            </w:r>
            <w:r w:rsidRPr="008A22C3">
              <w:rPr>
                <w:i/>
              </w:rPr>
              <w:t>Trip Generation</w:t>
            </w:r>
            <w:r w:rsidRPr="008A22C3">
              <w:t xml:space="preserve"> reflects suburban development settings with little or no transit service, pedestrian amenities, or travel demand management programs)</w:t>
            </w:r>
          </w:p>
          <w:p w:rsidR="00225952" w:rsidRPr="00A52699" w:rsidRDefault="00225952" w:rsidP="00AD2D7A">
            <w:pPr>
              <w:pStyle w:val="BulletA"/>
              <w:numPr>
                <w:ilvl w:val="0"/>
                <w:numId w:val="75"/>
              </w:numPr>
            </w:pPr>
            <w:r w:rsidRPr="008A22C3">
              <w:t>Trip patterns may evolve over time (for example, drive-in bank trip generation rates have steadily decreased over the last decade due to the evolution of the banking industry and the introduction of direct deposit, web-based banking, automatic teller machines , etc.)</w:t>
            </w:r>
          </w:p>
          <w:p w:rsidR="00225952" w:rsidRPr="00A52699" w:rsidRDefault="00225952" w:rsidP="00AD2D7A">
            <w:pPr>
              <w:pStyle w:val="BulletA"/>
              <w:numPr>
                <w:ilvl w:val="0"/>
                <w:numId w:val="75"/>
              </w:numPr>
            </w:pPr>
            <w:r w:rsidRPr="008A22C3">
              <w:t>Seasonal variations and peaking characteristics in the trip generation associated with some land uses may be significant (schools, for example)</w:t>
            </w:r>
          </w:p>
          <w:p w:rsidR="00225952" w:rsidRPr="00A52699" w:rsidRDefault="00225952" w:rsidP="00AD2D7A">
            <w:pPr>
              <w:pStyle w:val="BulletA"/>
              <w:numPr>
                <w:ilvl w:val="0"/>
                <w:numId w:val="75"/>
              </w:numPr>
            </w:pPr>
            <w:r w:rsidRPr="008A22C3">
              <w:rPr>
                <w:rFonts w:cs="Book Antiqua"/>
              </w:rPr>
              <w:t>ITE encourages users, when practical, to collect local d</w:t>
            </w:r>
            <w:r w:rsidRPr="008A22C3">
              <w:t>ata to supplement the ITE data; particularly in situations where data samples are small or other conditions warrant</w:t>
            </w:r>
          </w:p>
          <w:p w:rsidR="00225952" w:rsidRDefault="00225952" w:rsidP="005A3F7B">
            <w:r w:rsidRPr="00F8563E">
              <w:t xml:space="preserve">It will sometimes be necessary to collect additional empirical data or document other supplemental studies in the absence of sufficient comprehensive data from </w:t>
            </w:r>
            <w:r w:rsidRPr="007F656F">
              <w:rPr>
                <w:i/>
              </w:rPr>
              <w:t>Trip Generation</w:t>
            </w:r>
            <w:r w:rsidRPr="00F8563E">
              <w:t xml:space="preserve"> or other resources.</w:t>
            </w:r>
          </w:p>
        </w:tc>
      </w:tr>
      <w:tr w:rsidR="00225952" w:rsidRPr="00380CF5" w:rsidTr="00225952">
        <w:tc>
          <w:tcPr>
            <w:tcW w:w="10375" w:type="dxa"/>
            <w:gridSpan w:val="2"/>
          </w:tcPr>
          <w:p w:rsidR="00225952" w:rsidRDefault="006B7F55" w:rsidP="00225952">
            <w:pPr>
              <w:pStyle w:val="Heading3"/>
            </w:pPr>
            <w:bookmarkStart w:id="67" w:name="_Toc264274083"/>
            <w:r>
              <w:t>2.5</w:t>
            </w:r>
            <w:r w:rsidR="00225952">
              <w:t xml:space="preserve">.2  </w:t>
            </w:r>
            <w:r w:rsidR="00225952" w:rsidRPr="006135BA">
              <w:t>Use of Trip Generation Rates or Equations</w:t>
            </w:r>
            <w:bookmarkEnd w:id="67"/>
          </w:p>
        </w:tc>
      </w:tr>
      <w:tr w:rsidR="00225952" w:rsidRPr="00380CF5">
        <w:tc>
          <w:tcPr>
            <w:tcW w:w="2455" w:type="dxa"/>
          </w:tcPr>
          <w:p w:rsidR="00225952" w:rsidRDefault="00225952" w:rsidP="00225952"/>
          <w:p w:rsidR="00225952" w:rsidRDefault="00225952" w:rsidP="00225952"/>
          <w:p w:rsidR="00225952" w:rsidRDefault="00225952" w:rsidP="00225952">
            <w:pPr>
              <w:pStyle w:val="SidebarSentence"/>
            </w:pPr>
            <w:r>
              <w:t xml:space="preserve">ITE’s </w:t>
            </w:r>
            <w:r w:rsidRPr="00D448ED">
              <w:rPr>
                <w:b/>
              </w:rPr>
              <w:t xml:space="preserve">Trip Generation Handbook </w:t>
            </w:r>
            <w:r w:rsidR="008D6C65">
              <w:rPr>
                <w:b/>
              </w:rPr>
              <w:br/>
            </w:r>
            <w:r>
              <w:rPr>
                <w:b/>
              </w:rPr>
              <w:t xml:space="preserve">(section 3.4) </w:t>
            </w:r>
            <w:r>
              <w:t>provides guiding principles for selecting equations or average rates</w:t>
            </w:r>
          </w:p>
          <w:p w:rsidR="00225952" w:rsidRPr="00970414" w:rsidRDefault="00225952" w:rsidP="00225952"/>
        </w:tc>
        <w:tc>
          <w:tcPr>
            <w:tcW w:w="7920" w:type="dxa"/>
          </w:tcPr>
          <w:p w:rsidR="00225952" w:rsidRDefault="00225952" w:rsidP="005A3F7B">
            <w:pPr>
              <w:spacing w:after="120"/>
            </w:pPr>
            <w:r>
              <w:t xml:space="preserve">The average rates provided in ITE’s </w:t>
            </w:r>
            <w:r w:rsidRPr="00742E74">
              <w:rPr>
                <w:i/>
              </w:rPr>
              <w:t>Trip Generation</w:t>
            </w:r>
            <w:r>
              <w:t xml:space="preserve"> are calculated by different methods and can vary substantially from what is appropriate to the development as a result of the range of data selected, the number of sites sampled, and the method used to estimate the weighted average trip rate. </w:t>
            </w:r>
          </w:p>
          <w:p w:rsidR="00225952" w:rsidRDefault="00225952" w:rsidP="005A3F7B">
            <w:pPr>
              <w:spacing w:after="120"/>
            </w:pPr>
            <w:r>
              <w:t xml:space="preserve">Trip generation equations are also provided in ITE’s </w:t>
            </w:r>
            <w:r w:rsidRPr="00742E74">
              <w:rPr>
                <w:i/>
              </w:rPr>
              <w:t>Trip Generation</w:t>
            </w:r>
            <w:r>
              <w:t xml:space="preserve"> that can provide better estimates of trip generation under certain conditions. In general, the fitted equations tend to reflect a decreasing trip rate as building size increases. This is particularly true with large retail shopping centers. </w:t>
            </w:r>
          </w:p>
          <w:p w:rsidR="00225952" w:rsidRDefault="00225952" w:rsidP="005A3F7B">
            <w:pPr>
              <w:spacing w:after="120"/>
            </w:pPr>
            <w:r>
              <w:t xml:space="preserve">Many of the land use categories in </w:t>
            </w:r>
            <w:r w:rsidRPr="00742E74">
              <w:rPr>
                <w:i/>
              </w:rPr>
              <w:t>Trip Generation</w:t>
            </w:r>
            <w:r>
              <w:t xml:space="preserve"> provide both an average trip rate and an equation to estimate the number of trips for that use. FDOT often applies the guidance in ITE’s </w:t>
            </w:r>
            <w:r w:rsidRPr="00742E74">
              <w:rPr>
                <w:i/>
              </w:rPr>
              <w:t xml:space="preserve">Trip </w:t>
            </w:r>
            <w:r w:rsidRPr="00D66B4E">
              <w:rPr>
                <w:b/>
                <w:i/>
              </w:rPr>
              <w:t>Generation Handbook, Second Edition</w:t>
            </w:r>
            <w:r w:rsidRPr="00D66B4E">
              <w:rPr>
                <w:b/>
              </w:rPr>
              <w:t xml:space="preserve"> </w:t>
            </w:r>
            <w:r>
              <w:t xml:space="preserve">for </w:t>
            </w:r>
            <w:r>
              <w:lastRenderedPageBreak/>
              <w:t xml:space="preserve">selecting regression equations or average rates.   The ITE </w:t>
            </w:r>
            <w:r w:rsidRPr="00D66B4E">
              <w:rPr>
                <w:b/>
              </w:rPr>
              <w:t>Trip Generation</w:t>
            </w:r>
            <w:r>
              <w:t xml:space="preserve"> report only provides equations where their national committee felt there was sufficient data.  This does not always mean that the equation is always the best choice. </w:t>
            </w:r>
          </w:p>
          <w:p w:rsidR="00225952" w:rsidRDefault="00225952" w:rsidP="005A3F7B">
            <w:r>
              <w:t xml:space="preserve">Section 3.4 of the </w:t>
            </w:r>
            <w:r w:rsidRPr="00D66B4E">
              <w:rPr>
                <w:b/>
              </w:rPr>
              <w:t>Trip Generation Handbook</w:t>
            </w:r>
            <w:r>
              <w:t xml:space="preserve">, Second Edition contains a detailed method for determining the choice of average rate or equation.  However, sometimes a plainly numerical approach as suggested in the </w:t>
            </w:r>
            <w:r w:rsidRPr="00D66B4E">
              <w:rPr>
                <w:b/>
              </w:rPr>
              <w:t xml:space="preserve">Trip Generation Handbook </w:t>
            </w:r>
            <w:r>
              <w:t xml:space="preserve">is inadequate.  The professional will look at the size and type of development they are proposing and see where it “fits” in the graph provided and then read the descriptions in </w:t>
            </w:r>
            <w:r w:rsidRPr="00D66B4E">
              <w:rPr>
                <w:b/>
              </w:rPr>
              <w:t>Trip Generation</w:t>
            </w:r>
            <w:r>
              <w:rPr>
                <w:b/>
              </w:rPr>
              <w:t xml:space="preserve"> </w:t>
            </w:r>
            <w:r>
              <w:t>to see which method (or a midway point between average rate and equation) is the most appropriate estimate measure.</w:t>
            </w:r>
          </w:p>
        </w:tc>
      </w:tr>
      <w:tr w:rsidR="00225952" w:rsidRPr="00380CF5" w:rsidTr="00225952">
        <w:tc>
          <w:tcPr>
            <w:tcW w:w="10375" w:type="dxa"/>
            <w:gridSpan w:val="2"/>
          </w:tcPr>
          <w:p w:rsidR="00225952" w:rsidRDefault="006B7F55" w:rsidP="00225952">
            <w:pPr>
              <w:pStyle w:val="Heading3"/>
            </w:pPr>
            <w:bookmarkStart w:id="68" w:name="_Toc264274084"/>
            <w:r>
              <w:lastRenderedPageBreak/>
              <w:t>2.5</w:t>
            </w:r>
            <w:r w:rsidR="00225952">
              <w:t xml:space="preserve">.3  </w:t>
            </w:r>
            <w:r w:rsidR="00225952" w:rsidRPr="006135BA">
              <w:t>Limitations of Trip Generation Data</w:t>
            </w:r>
            <w:bookmarkEnd w:id="68"/>
          </w:p>
        </w:tc>
      </w:tr>
      <w:tr w:rsidR="00225952" w:rsidRPr="00380CF5">
        <w:tc>
          <w:tcPr>
            <w:tcW w:w="2455" w:type="dxa"/>
          </w:tcPr>
          <w:p w:rsidR="00225952" w:rsidRDefault="00225952" w:rsidP="00225952">
            <w:pPr>
              <w:pStyle w:val="SidebarSentence"/>
            </w:pPr>
          </w:p>
          <w:p w:rsidR="00225952" w:rsidRDefault="00225952" w:rsidP="00225952">
            <w:pPr>
              <w:pStyle w:val="SidebarSentence"/>
            </w:pPr>
          </w:p>
          <w:p w:rsidR="00225952" w:rsidRDefault="00225952" w:rsidP="00225952">
            <w:pPr>
              <w:pStyle w:val="SidebarSentence"/>
            </w:pPr>
            <w:r>
              <w:t>Florida’s unique demographic makeup and the influence of tourism on travel in Florida may require variances from these national averages for certain land use types</w:t>
            </w:r>
          </w:p>
          <w:p w:rsidR="00225952" w:rsidRPr="00D83D7B" w:rsidRDefault="00225952" w:rsidP="00225952"/>
        </w:tc>
        <w:tc>
          <w:tcPr>
            <w:tcW w:w="7920" w:type="dxa"/>
          </w:tcPr>
          <w:p w:rsidR="00225952" w:rsidRDefault="00225952" w:rsidP="00225952">
            <w:pPr>
              <w:spacing w:after="60"/>
            </w:pPr>
            <w:r>
              <w:t xml:space="preserve">While offering the most comprehensive national trip database available, </w:t>
            </w:r>
            <w:r w:rsidRPr="001A5447">
              <w:rPr>
                <w:i/>
              </w:rPr>
              <w:t>Trip Generation</w:t>
            </w:r>
            <w:r>
              <w:t xml:space="preserve"> does not offer sufficient data for all situations. Some of the key limitations of </w:t>
            </w:r>
            <w:r w:rsidRPr="001A5447">
              <w:rPr>
                <w:i/>
              </w:rPr>
              <w:t>Trip Generation</w:t>
            </w:r>
            <w:r>
              <w:t xml:space="preserve"> include:</w:t>
            </w:r>
          </w:p>
          <w:p w:rsidR="00225952" w:rsidRPr="005D505B" w:rsidRDefault="00225952" w:rsidP="00AD2D7A">
            <w:pPr>
              <w:pStyle w:val="BulletA"/>
              <w:numPr>
                <w:ilvl w:val="0"/>
                <w:numId w:val="76"/>
              </w:numPr>
            </w:pPr>
            <w:r w:rsidRPr="008A22C3">
              <w:t xml:space="preserve">Not all land uses are represented in the </w:t>
            </w:r>
            <w:r w:rsidRPr="008A22C3">
              <w:rPr>
                <w:i/>
              </w:rPr>
              <w:t xml:space="preserve">Trip Generation </w:t>
            </w:r>
            <w:r w:rsidRPr="008A22C3">
              <w:t>database</w:t>
            </w:r>
          </w:p>
          <w:p w:rsidR="00225952" w:rsidRPr="005D505B" w:rsidRDefault="00225952" w:rsidP="00AD2D7A">
            <w:pPr>
              <w:pStyle w:val="BulletA"/>
              <w:numPr>
                <w:ilvl w:val="0"/>
                <w:numId w:val="76"/>
              </w:numPr>
            </w:pPr>
            <w:r w:rsidRPr="008A22C3">
              <w:t xml:space="preserve">Most data collected for ITE’s </w:t>
            </w:r>
            <w:r w:rsidRPr="008A22C3">
              <w:rPr>
                <w:i/>
              </w:rPr>
              <w:t>Trip Generation</w:t>
            </w:r>
            <w:r w:rsidRPr="008A22C3">
              <w:t xml:space="preserve"> were collected in suburban locations with free parking and little or no transit service</w:t>
            </w:r>
          </w:p>
          <w:p w:rsidR="00225952" w:rsidRPr="005D505B" w:rsidRDefault="00225952" w:rsidP="00AD2D7A">
            <w:pPr>
              <w:pStyle w:val="BulletA"/>
              <w:numPr>
                <w:ilvl w:val="0"/>
                <w:numId w:val="76"/>
              </w:numPr>
              <w:spacing w:after="120"/>
            </w:pPr>
            <w:r w:rsidRPr="008A22C3">
              <w:t>Much of the data was collected years ago and may not reflect the current trip generation of development</w:t>
            </w:r>
          </w:p>
          <w:p w:rsidR="00225952" w:rsidRDefault="00225952" w:rsidP="00225952">
            <w:pPr>
              <w:spacing w:after="120"/>
            </w:pPr>
            <w:r>
              <w:t>Due to data availability and the need to understand site specific conditions, judgment is required in the analysis of mixed-use developments, neo-traditional developments, transit oriented developments, and other unusual generators.</w:t>
            </w:r>
          </w:p>
        </w:tc>
      </w:tr>
      <w:tr w:rsidR="00225952" w:rsidRPr="00380CF5">
        <w:tc>
          <w:tcPr>
            <w:tcW w:w="2455" w:type="dxa"/>
          </w:tcPr>
          <w:p w:rsidR="00225952" w:rsidRPr="006135BA" w:rsidRDefault="00225952" w:rsidP="00225952">
            <w:pPr>
              <w:pStyle w:val="Heading4"/>
            </w:pPr>
            <w:r w:rsidRPr="006135BA">
              <w:t>Multi-Use or Mixed-Use Developments</w:t>
            </w:r>
          </w:p>
          <w:p w:rsidR="00225952" w:rsidRPr="006135BA" w:rsidRDefault="00225952" w:rsidP="00225952">
            <w:pPr>
              <w:pStyle w:val="Heading4"/>
            </w:pPr>
          </w:p>
        </w:tc>
        <w:tc>
          <w:tcPr>
            <w:tcW w:w="7920" w:type="dxa"/>
          </w:tcPr>
          <w:p w:rsidR="0003540F" w:rsidRPr="0003540F" w:rsidRDefault="00225952" w:rsidP="0003540F">
            <w:pPr>
              <w:spacing w:after="360"/>
              <w:rPr>
                <w:spacing w:val="-4"/>
              </w:rPr>
            </w:pPr>
            <w:r>
              <w:t xml:space="preserve">ITE defines multi-use (or mixed-use) as developments that contain a mix of land uses.   However, there are a number of land use designations identified in ITE’s Trip Generation that already contain a mix of </w:t>
            </w:r>
            <w:r w:rsidRPr="008A22C3">
              <w:t>land uses</w:t>
            </w:r>
            <w:r w:rsidRPr="00CA329B">
              <w:t>.</w:t>
            </w:r>
            <w:r>
              <w:t xml:space="preserve"> For example, an Office Park (ITE Code 750) is described as “a subdivision or planned unit development containing general office buildings and support services such as banks, restaurants, and service stations arranged in a park- or campus-like atmosphere.” Therefore the Office Park should not be considered as part of a mixed-use development. Similarly, office buildings with support retail or restaurant facilities contained inside the buildings should be treated as general office square footage because the trip generation rates provided reflect this situation (</w:t>
            </w:r>
            <w:hyperlink w:anchor="ITE_TripGen" w:history="1">
              <w:r w:rsidRPr="00D75D5D">
                <w:rPr>
                  <w:rStyle w:val="Hyperlink"/>
                </w:rPr>
                <w:t xml:space="preserve">ITE </w:t>
              </w:r>
              <w:r w:rsidRPr="00D75D5D">
                <w:rPr>
                  <w:rStyle w:val="Hyperlink"/>
                  <w:i/>
                </w:rPr>
                <w:t>Trip Generation</w:t>
              </w:r>
            </w:hyperlink>
            <w:r w:rsidRPr="00D75D5D">
              <w:t>)</w:t>
            </w:r>
            <w:r>
              <w:t>.  FDOT</w:t>
            </w:r>
            <w:r w:rsidRPr="009869F6">
              <w:t xml:space="preserve"> should evaluate the grouping of sev</w:t>
            </w:r>
            <w:r>
              <w:t xml:space="preserve">eral small land uses carefully. Additional information about internal capture and community capture </w:t>
            </w:r>
            <w:r w:rsidRPr="0006326F">
              <w:rPr>
                <w:spacing w:val="-4"/>
              </w:rPr>
              <w:t>rates that may be used in the analysis of mixed-use developments is included below.</w:t>
            </w:r>
          </w:p>
        </w:tc>
      </w:tr>
      <w:tr w:rsidR="00225952" w:rsidRPr="00380CF5">
        <w:tc>
          <w:tcPr>
            <w:tcW w:w="2455" w:type="dxa"/>
          </w:tcPr>
          <w:p w:rsidR="00225952" w:rsidRPr="006135BA" w:rsidRDefault="00225952" w:rsidP="00225952">
            <w:pPr>
              <w:pStyle w:val="Heading4"/>
            </w:pPr>
            <w:r w:rsidRPr="006135BA">
              <w:lastRenderedPageBreak/>
              <w:t>Neo-Traditional Developments</w:t>
            </w:r>
          </w:p>
          <w:p w:rsidR="00225952" w:rsidRPr="006135BA" w:rsidRDefault="00225952" w:rsidP="00225952">
            <w:pPr>
              <w:pStyle w:val="Heading4"/>
            </w:pPr>
          </w:p>
        </w:tc>
        <w:tc>
          <w:tcPr>
            <w:tcW w:w="7920" w:type="dxa"/>
          </w:tcPr>
          <w:p w:rsidR="00225952" w:rsidRDefault="00225952" w:rsidP="00225952">
            <w:pPr>
              <w:spacing w:after="120"/>
            </w:pPr>
            <w:r w:rsidRPr="00C10396">
              <w:t>Neo-traditional developments seek to reduce the need for driving by providing a mix of land uses</w:t>
            </w:r>
            <w:r>
              <w:t xml:space="preserve"> to </w:t>
            </w:r>
            <w:r w:rsidRPr="00C10396">
              <w:t>serve residential needs and by providing a community design that supports wal</w:t>
            </w:r>
            <w:r>
              <w:t>k</w:t>
            </w:r>
            <w:r w:rsidRPr="00C10396">
              <w:t>ing and alternative modes of travel.</w:t>
            </w:r>
            <w:r>
              <w:t xml:space="preserve"> Developments where neo-traditional concepts are proposed should be carefully reviewed to understand the trip making characteristics of the area and discussions should take place to agree on the best method to quantify trip reduction, if any.</w:t>
            </w:r>
          </w:p>
        </w:tc>
      </w:tr>
      <w:tr w:rsidR="00225952" w:rsidRPr="00380CF5">
        <w:tc>
          <w:tcPr>
            <w:tcW w:w="2455" w:type="dxa"/>
          </w:tcPr>
          <w:p w:rsidR="00225952" w:rsidRPr="006135BA" w:rsidRDefault="00225952" w:rsidP="00225952">
            <w:pPr>
              <w:pStyle w:val="Heading4"/>
            </w:pPr>
            <w:r w:rsidRPr="006135BA">
              <w:t>Transit-Oriented Developments</w:t>
            </w:r>
          </w:p>
          <w:p w:rsidR="00225952" w:rsidRDefault="00225952" w:rsidP="00225952"/>
          <w:p w:rsidR="00225952" w:rsidRDefault="00C60799" w:rsidP="00C60799">
            <w:pPr>
              <w:spacing w:after="0"/>
            </w:pPr>
            <w:r w:rsidRPr="00C60799">
              <w:rPr>
                <w:noProof/>
              </w:rPr>
              <w:drawing>
                <wp:inline distT="0" distB="0" distL="0" distR="0">
                  <wp:extent cx="1391920" cy="543560"/>
                  <wp:effectExtent l="19050" t="0" r="0" b="0"/>
                  <wp:docPr id="543" name="Picture 54" descr="button_web.png">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button_web.png"/>
                          <pic:cNvPicPr>
                            <a:picLocks noChangeAspect="1" noChangeArrowheads="1"/>
                          </pic:cNvPicPr>
                        </pic:nvPicPr>
                        <pic:blipFill>
                          <a:blip r:embed="rId26" cstate="print"/>
                          <a:srcRect/>
                          <a:stretch>
                            <a:fillRect/>
                          </a:stretch>
                        </pic:blipFill>
                        <pic:spPr bwMode="auto">
                          <a:xfrm>
                            <a:off x="0" y="0"/>
                            <a:ext cx="1391920" cy="543560"/>
                          </a:xfrm>
                          <a:prstGeom prst="rect">
                            <a:avLst/>
                          </a:prstGeom>
                          <a:noFill/>
                          <a:ln w="9525">
                            <a:noFill/>
                            <a:miter lim="800000"/>
                            <a:headEnd/>
                            <a:tailEnd/>
                          </a:ln>
                        </pic:spPr>
                      </pic:pic>
                    </a:graphicData>
                  </a:graphic>
                </wp:inline>
              </w:drawing>
            </w:r>
          </w:p>
          <w:p w:rsidR="00C60799" w:rsidRDefault="00C60799" w:rsidP="00C60799">
            <w:pPr>
              <w:pStyle w:val="HeadSide20"/>
              <w:jc w:val="center"/>
            </w:pPr>
            <w:r>
              <w:t>TOD - Wikipedia</w:t>
            </w:r>
          </w:p>
          <w:p w:rsidR="00225952" w:rsidRDefault="00225952" w:rsidP="00225952"/>
          <w:p w:rsidR="00225952" w:rsidRDefault="00225952" w:rsidP="00225952"/>
          <w:p w:rsidR="00225952" w:rsidRDefault="00225952" w:rsidP="00225952"/>
          <w:p w:rsidR="00225952" w:rsidRDefault="00225952" w:rsidP="00225952"/>
          <w:p w:rsidR="00225952" w:rsidRDefault="00225952" w:rsidP="00EB589E">
            <w:pPr>
              <w:spacing w:after="0"/>
            </w:pPr>
            <w:r>
              <w:rPr>
                <w:noProof/>
              </w:rPr>
              <w:drawing>
                <wp:inline distT="0" distB="0" distL="0" distR="0">
                  <wp:extent cx="1408430" cy="543560"/>
                  <wp:effectExtent l="19050" t="0" r="0" b="0"/>
                  <wp:docPr id="106" name="Picture 8" descr="button_PDFlink.png">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utton_PDFlink.png"/>
                          <pic:cNvPicPr>
                            <a:picLocks noChangeAspect="1" noChangeArrowheads="1"/>
                          </pic:cNvPicPr>
                        </pic:nvPicPr>
                        <pic:blipFill>
                          <a:blip r:embed="rId15" cstate="print"/>
                          <a:srcRect/>
                          <a:stretch>
                            <a:fillRect/>
                          </a:stretch>
                        </pic:blipFill>
                        <pic:spPr bwMode="auto">
                          <a:xfrm>
                            <a:off x="0" y="0"/>
                            <a:ext cx="1408430" cy="543560"/>
                          </a:xfrm>
                          <a:prstGeom prst="rect">
                            <a:avLst/>
                          </a:prstGeom>
                          <a:noFill/>
                          <a:ln w="9525">
                            <a:noFill/>
                            <a:miter lim="800000"/>
                            <a:headEnd/>
                            <a:tailEnd/>
                          </a:ln>
                        </pic:spPr>
                      </pic:pic>
                    </a:graphicData>
                  </a:graphic>
                </wp:inline>
              </w:drawing>
            </w:r>
          </w:p>
          <w:p w:rsidR="00EB589E" w:rsidRDefault="00EB589E" w:rsidP="00EB589E">
            <w:pPr>
              <w:pStyle w:val="HeadSide20"/>
              <w:jc w:val="center"/>
            </w:pPr>
            <w:r>
              <w:t>Accessing Transit</w:t>
            </w:r>
          </w:p>
          <w:p w:rsidR="00225952" w:rsidRDefault="00225952" w:rsidP="00EB589E">
            <w:pPr>
              <w:spacing w:after="0"/>
            </w:pPr>
            <w:r>
              <w:rPr>
                <w:noProof/>
              </w:rPr>
              <w:drawing>
                <wp:inline distT="0" distB="0" distL="0" distR="0">
                  <wp:extent cx="1391920" cy="543560"/>
                  <wp:effectExtent l="19050" t="0" r="0" b="0"/>
                  <wp:docPr id="54" name="Picture 54" descr="button_web.png">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button_web.png"/>
                          <pic:cNvPicPr>
                            <a:picLocks noChangeAspect="1" noChangeArrowheads="1"/>
                          </pic:cNvPicPr>
                        </pic:nvPicPr>
                        <pic:blipFill>
                          <a:blip r:embed="rId26" cstate="print"/>
                          <a:srcRect/>
                          <a:stretch>
                            <a:fillRect/>
                          </a:stretch>
                        </pic:blipFill>
                        <pic:spPr bwMode="auto">
                          <a:xfrm>
                            <a:off x="0" y="0"/>
                            <a:ext cx="1391920" cy="543560"/>
                          </a:xfrm>
                          <a:prstGeom prst="rect">
                            <a:avLst/>
                          </a:prstGeom>
                          <a:noFill/>
                          <a:ln w="9525">
                            <a:noFill/>
                            <a:miter lim="800000"/>
                            <a:headEnd/>
                            <a:tailEnd/>
                          </a:ln>
                        </pic:spPr>
                      </pic:pic>
                    </a:graphicData>
                  </a:graphic>
                </wp:inline>
              </w:drawing>
            </w:r>
          </w:p>
          <w:p w:rsidR="00EB589E" w:rsidRPr="00AB29A7" w:rsidRDefault="00EB589E" w:rsidP="00EB589E">
            <w:pPr>
              <w:pStyle w:val="HeadSide20"/>
              <w:jc w:val="center"/>
            </w:pPr>
            <w:r>
              <w:t>FDOT Transit</w:t>
            </w:r>
          </w:p>
        </w:tc>
        <w:tc>
          <w:tcPr>
            <w:tcW w:w="7920" w:type="dxa"/>
          </w:tcPr>
          <w:p w:rsidR="00225952" w:rsidRDefault="00225952" w:rsidP="00225952">
            <w:pPr>
              <w:spacing w:after="120"/>
            </w:pPr>
            <w:r>
              <w:t xml:space="preserve">Transit-Oriented Development (TOD) </w:t>
            </w:r>
            <w:r w:rsidRPr="00834D46">
              <w:t>is a mixed-use residential or commercial area designed to maximize access to public transport, and often incorporates features to encourage transit ridership</w:t>
            </w:r>
            <w:r>
              <w:t xml:space="preserve"> (</w:t>
            </w:r>
            <w:r w:rsidRPr="00C60799">
              <w:rPr>
                <w:i/>
              </w:rPr>
              <w:t>source</w:t>
            </w:r>
            <w:r w:rsidRPr="002E6788">
              <w:t>:</w:t>
            </w:r>
            <w:r w:rsidR="00C60799">
              <w:t xml:space="preserve"> Wikipedia)</w:t>
            </w:r>
            <w:r>
              <w:t xml:space="preserve">.  </w:t>
            </w:r>
            <w:r w:rsidRPr="00834D46">
              <w:t>A TOD neighborhood typically has a center with a train station, metro station, tram stop, or bus stop, surrounded by relatively high-density development with progressively lower-density development spreading outwards from the center. TODs generally are located within a radius of one-quarter</w:t>
            </w:r>
            <w:r>
              <w:t xml:space="preserve"> to one-half mile</w:t>
            </w:r>
            <w:r w:rsidRPr="00834D46">
              <w:t xml:space="preserve"> from a transit stop, as this is considered to be an appropriate scale for pedestrians.</w:t>
            </w:r>
            <w:r>
              <w:t xml:space="preserve"> </w:t>
            </w:r>
          </w:p>
          <w:p w:rsidR="00225952" w:rsidRDefault="00225952" w:rsidP="005A3F7B">
            <w:pPr>
              <w:spacing w:after="600"/>
            </w:pPr>
            <w:r>
              <w:t xml:space="preserve">Data on the trip generation characteristics of TOD in Florida is very limited. In reviewing data from TOD in other locations, care needs to be taken to understand the level of transit provided in the TOD and how it compares to the site being evaluated. For example, a TOD based around a mature Metro Rail Station with 6 minute headways would have much different travel behavior than a TOD based around a bus station with one-hour headways. The FDOT provides land use and design guidance about TODs and other transit applications </w:t>
            </w:r>
            <w:r w:rsidRPr="002E6788">
              <w:t>in the publication</w:t>
            </w:r>
            <w:r>
              <w:t xml:space="preserve">, </w:t>
            </w:r>
            <w:hyperlink r:id="rId84" w:history="1">
              <w:r w:rsidRPr="00C60799">
                <w:rPr>
                  <w:rStyle w:val="Hyperlink"/>
                  <w:rFonts w:cstheme="minorBidi"/>
                </w:rPr>
                <w:t>Accessing</w:t>
              </w:r>
              <w:r w:rsidRPr="00C60799">
                <w:rPr>
                  <w:rStyle w:val="Hyperlink"/>
                  <w:rFonts w:cstheme="minorBidi"/>
                  <w:b/>
                  <w:i/>
                </w:rPr>
                <w:t xml:space="preserve"> Transit</w:t>
              </w:r>
              <w:r w:rsidRPr="00C60799">
                <w:rPr>
                  <w:rStyle w:val="Hyperlink"/>
                  <w:rFonts w:cstheme="minorBidi"/>
                  <w:i/>
                </w:rPr>
                <w:t>: Design Handbook for Florida bus Passenger Facilities</w:t>
              </w:r>
            </w:hyperlink>
            <w:r>
              <w:t xml:space="preserve"> </w:t>
            </w:r>
          </w:p>
          <w:p w:rsidR="00225952" w:rsidRDefault="00225952">
            <w:pPr>
              <w:spacing w:after="120"/>
            </w:pPr>
            <w:r>
              <w:t xml:space="preserve">Additional information about FDOT transit initiatives and resources can be found at: </w:t>
            </w:r>
            <w:hyperlink r:id="rId85" w:history="1">
              <w:r w:rsidRPr="00F9213E">
                <w:rPr>
                  <w:rStyle w:val="Hyperlink"/>
                </w:rPr>
                <w:t>http://www.dot.state.fl.us/transit/</w:t>
              </w:r>
            </w:hyperlink>
            <w:r>
              <w:t xml:space="preserve">. </w:t>
            </w:r>
          </w:p>
        </w:tc>
      </w:tr>
      <w:tr w:rsidR="00225952" w:rsidRPr="00380CF5">
        <w:tc>
          <w:tcPr>
            <w:tcW w:w="2455" w:type="dxa"/>
          </w:tcPr>
          <w:p w:rsidR="00225952" w:rsidRPr="006135BA" w:rsidRDefault="00225952" w:rsidP="00225952">
            <w:pPr>
              <w:pStyle w:val="Heading4"/>
            </w:pPr>
            <w:r w:rsidRPr="006135BA">
              <w:t>Special or Unusual Generators</w:t>
            </w:r>
          </w:p>
          <w:p w:rsidR="00225952" w:rsidRDefault="00225952" w:rsidP="00225952"/>
          <w:p w:rsidR="00225952" w:rsidRPr="00D83D7B" w:rsidRDefault="00225952" w:rsidP="00225952">
            <w:pPr>
              <w:pStyle w:val="SidebarSentence"/>
            </w:pPr>
            <w:r>
              <w:t>The reasoning and data used should be documented and approved by FDOT prior to use</w:t>
            </w:r>
          </w:p>
        </w:tc>
        <w:tc>
          <w:tcPr>
            <w:tcW w:w="7920" w:type="dxa"/>
          </w:tcPr>
          <w:p w:rsidR="00225952" w:rsidRDefault="00225952">
            <w:r>
              <w:t xml:space="preserve">When a proposed development is one that cannot be adequately described by ITE Trip Generation , new trip generation data may be required based on the type, </w:t>
            </w:r>
            <w:r w:rsidRPr="004B232D">
              <w:rPr>
                <w:spacing w:val="-4"/>
              </w:rPr>
              <w:t xml:space="preserve">intensity and timing of trips to be generated. Judgment may be used to recommend trip generation characteristics that are appropriate for the development. </w:t>
            </w:r>
            <w:r>
              <w:t xml:space="preserve">However, the reasoning and data used to support these estimates should be documented and approved by FDOT prior to use. Examples of special or unusual generators include </w:t>
            </w:r>
            <w:r w:rsidRPr="00507850">
              <w:t>unique places like outdoor bazaars, a motorcycle sales shop, other unique retail or service business not well represented by data contained in the trip generation manual, unique theme parks,</w:t>
            </w:r>
            <w:r>
              <w:t xml:space="preserve"> and</w:t>
            </w:r>
            <w:r w:rsidRPr="00507850">
              <w:t xml:space="preserve"> </w:t>
            </w:r>
            <w:r>
              <w:t xml:space="preserve">venues with </w:t>
            </w:r>
            <w:r w:rsidRPr="00507850">
              <w:t>special ev</w:t>
            </w:r>
            <w:r>
              <w:t xml:space="preserve">ents. </w:t>
            </w:r>
          </w:p>
        </w:tc>
      </w:tr>
    </w:tbl>
    <w:p w:rsidR="001B7518" w:rsidRDefault="001B7518">
      <w:r>
        <w:rPr>
          <w:b/>
          <w:bCs/>
        </w:rPr>
        <w:br w:type="page"/>
      </w:r>
    </w:p>
    <w:tbl>
      <w:tblPr>
        <w:tblW w:w="10375" w:type="dxa"/>
        <w:tblLayout w:type="fixed"/>
        <w:tblLook w:val="0000"/>
      </w:tblPr>
      <w:tblGrid>
        <w:gridCol w:w="2455"/>
        <w:gridCol w:w="7920"/>
      </w:tblGrid>
      <w:tr w:rsidR="00225952" w:rsidRPr="00380CF5">
        <w:tc>
          <w:tcPr>
            <w:tcW w:w="2455" w:type="dxa"/>
          </w:tcPr>
          <w:p w:rsidR="00225952" w:rsidRPr="006135BA" w:rsidRDefault="00225952" w:rsidP="00225952">
            <w:pPr>
              <w:pStyle w:val="Heading4"/>
            </w:pPr>
            <w:r w:rsidRPr="006135BA">
              <w:lastRenderedPageBreak/>
              <w:t>Alternatives to ITE Trip Generation Data</w:t>
            </w:r>
          </w:p>
          <w:p w:rsidR="00225952" w:rsidRDefault="00225952" w:rsidP="00225952"/>
          <w:p w:rsidR="00225952" w:rsidRDefault="00225952" w:rsidP="00225952"/>
          <w:p w:rsidR="00225952" w:rsidRDefault="00225952" w:rsidP="00225952">
            <w:pPr>
              <w:pStyle w:val="SidebarSentence"/>
            </w:pPr>
            <w:r>
              <w:t xml:space="preserve">Local trip data should be collected in accordance with ITE’s </w:t>
            </w:r>
            <w:r w:rsidRPr="00D448ED">
              <w:rPr>
                <w:b/>
              </w:rPr>
              <w:t>Trip Generation Handbook</w:t>
            </w:r>
            <w:r>
              <w:t xml:space="preserve"> requirements and at least three different sites are required</w:t>
            </w:r>
          </w:p>
          <w:p w:rsidR="00225952" w:rsidRPr="005D3632" w:rsidRDefault="00225952" w:rsidP="00225952"/>
        </w:tc>
        <w:tc>
          <w:tcPr>
            <w:tcW w:w="7920" w:type="dxa"/>
          </w:tcPr>
          <w:p w:rsidR="00225952" w:rsidRDefault="00225952" w:rsidP="00225952">
            <w:r>
              <w:t xml:space="preserve">Given these limitations, it is sometimes necessary to adjust trip rates to reflect documented local conditions and/or develop additional trip generation data. First, a review should be conducted to determine if other applicable data is available. Trade publications such as </w:t>
            </w:r>
            <w:r w:rsidRPr="001A5447">
              <w:rPr>
                <w:i/>
              </w:rPr>
              <w:t>ITE Journal</w:t>
            </w:r>
            <w:r>
              <w:t xml:space="preserve">, university studies, government studies, and studies by other recognized parties are made available from time to time and often serve as an interim guidance until incorporated into a future edition of </w:t>
            </w:r>
            <w:r w:rsidRPr="001A5447">
              <w:rPr>
                <w:i/>
              </w:rPr>
              <w:t>Trip Generation</w:t>
            </w:r>
            <w:r>
              <w:t xml:space="preserve">. </w:t>
            </w:r>
          </w:p>
          <w:p w:rsidR="00225952" w:rsidRDefault="00225952" w:rsidP="00225952">
            <w:r w:rsidRPr="008A22C3">
              <w:t xml:space="preserve">Lacking any published data, a common alternative to using data from ITE’s </w:t>
            </w:r>
            <w:r w:rsidRPr="008A22C3">
              <w:rPr>
                <w:b/>
                <w:i/>
              </w:rPr>
              <w:t>Trip Generation</w:t>
            </w:r>
            <w:r w:rsidRPr="008A22C3">
              <w:t xml:space="preserve"> is to collect data from other developments of similar size and scope or to use trip generation rate standards established by local governments. When these alternative sources are used, each rate should be justified and approved by FDOT prior to use. Local trip data should be collected in accordance with ITE’s </w:t>
            </w:r>
            <w:r w:rsidRPr="008A22C3">
              <w:rPr>
                <w:b/>
              </w:rPr>
              <w:t>Trip Generation Handbook</w:t>
            </w:r>
            <w:r w:rsidRPr="008A22C3">
              <w:t xml:space="preserve"> (Chapter 4), requirements, and at least three different sites are required. It is essential that trip rates for all projects, and particularly those for unique or controversial uses, be established in an open and comprehensive manner agreed to by FDOT and the applicant. </w:t>
            </w:r>
          </w:p>
        </w:tc>
      </w:tr>
      <w:tr w:rsidR="00225952" w:rsidRPr="00380CF5" w:rsidTr="00225952">
        <w:tc>
          <w:tcPr>
            <w:tcW w:w="10375" w:type="dxa"/>
            <w:gridSpan w:val="2"/>
          </w:tcPr>
          <w:p w:rsidR="00225952" w:rsidRDefault="006B7F55" w:rsidP="00225952">
            <w:pPr>
              <w:pStyle w:val="Heading3"/>
            </w:pPr>
            <w:bookmarkStart w:id="69" w:name="_Toc264274085"/>
            <w:r>
              <w:t>2.5</w:t>
            </w:r>
            <w:r w:rsidR="00225952">
              <w:t xml:space="preserve">.4  </w:t>
            </w:r>
            <w:r w:rsidR="00225952" w:rsidRPr="006135BA">
              <w:t>Internal Capture Rates for Multi Use Developments</w:t>
            </w:r>
            <w:bookmarkEnd w:id="69"/>
          </w:p>
        </w:tc>
      </w:tr>
      <w:tr w:rsidR="00225952" w:rsidRPr="00380CF5">
        <w:tc>
          <w:tcPr>
            <w:tcW w:w="2455" w:type="dxa"/>
          </w:tcPr>
          <w:p w:rsidR="00225952" w:rsidRDefault="00225952" w:rsidP="00225952"/>
          <w:p w:rsidR="00225952" w:rsidRDefault="00225952" w:rsidP="00225952"/>
          <w:p w:rsidR="00225952" w:rsidRDefault="00225952" w:rsidP="00225952">
            <w:pPr>
              <w:spacing w:after="0"/>
              <w:jc w:val="center"/>
            </w:pPr>
            <w:r>
              <w:rPr>
                <w:noProof/>
              </w:rPr>
              <w:drawing>
                <wp:inline distT="0" distB="0" distL="0" distR="0">
                  <wp:extent cx="1388510" cy="545434"/>
                  <wp:effectExtent l="19050" t="0" r="2140" b="0"/>
                  <wp:docPr id="105" name="Picture 46" descr="button_presentation.png">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button_presentation.png"/>
                          <pic:cNvPicPr>
                            <a:picLocks noChangeAspect="1" noChangeArrowheads="1"/>
                          </pic:cNvPicPr>
                        </pic:nvPicPr>
                        <pic:blipFill>
                          <a:blip r:embed="rId35" cstate="print"/>
                          <a:srcRect/>
                          <a:stretch>
                            <a:fillRect/>
                          </a:stretch>
                        </pic:blipFill>
                        <pic:spPr bwMode="auto">
                          <a:xfrm>
                            <a:off x="0" y="0"/>
                            <a:ext cx="1392028" cy="546816"/>
                          </a:xfrm>
                          <a:prstGeom prst="rect">
                            <a:avLst/>
                          </a:prstGeom>
                          <a:noFill/>
                          <a:ln w="9525">
                            <a:noFill/>
                            <a:miter lim="800000"/>
                            <a:headEnd/>
                            <a:tailEnd/>
                          </a:ln>
                        </pic:spPr>
                      </pic:pic>
                    </a:graphicData>
                  </a:graphic>
                </wp:inline>
              </w:drawing>
            </w:r>
          </w:p>
          <w:p w:rsidR="00225952" w:rsidRDefault="00225952" w:rsidP="00225952">
            <w:pPr>
              <w:pStyle w:val="ListParagraph"/>
              <w:spacing w:after="120"/>
              <w:ind w:left="360"/>
            </w:pPr>
            <w:r>
              <w:t>Internal Capture</w:t>
            </w:r>
          </w:p>
          <w:p w:rsidR="00225952" w:rsidRDefault="00225952" w:rsidP="00225952">
            <w:pPr>
              <w:pStyle w:val="ListParagraph"/>
              <w:spacing w:after="120"/>
              <w:ind w:left="360"/>
            </w:pPr>
          </w:p>
          <w:p w:rsidR="00225952" w:rsidRDefault="00225952" w:rsidP="00225952">
            <w:pPr>
              <w:pStyle w:val="ListParagraph"/>
              <w:spacing w:after="120"/>
              <w:ind w:left="360"/>
            </w:pPr>
          </w:p>
          <w:p w:rsidR="005A3F7B" w:rsidRDefault="005A3F7B" w:rsidP="00225952">
            <w:pPr>
              <w:pStyle w:val="ListParagraph"/>
              <w:spacing w:after="120"/>
              <w:ind w:left="360"/>
            </w:pPr>
          </w:p>
          <w:p w:rsidR="00225952" w:rsidRDefault="00225952" w:rsidP="00BF02D4">
            <w:pPr>
              <w:spacing w:after="0"/>
            </w:pPr>
            <w:r w:rsidRPr="00BD649F">
              <w:rPr>
                <w:noProof/>
              </w:rPr>
              <w:drawing>
                <wp:inline distT="0" distB="0" distL="0" distR="0">
                  <wp:extent cx="1391920" cy="543560"/>
                  <wp:effectExtent l="19050" t="0" r="0" b="0"/>
                  <wp:docPr id="128" name="Picture 54" descr="button_web.png">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button_web.png"/>
                          <pic:cNvPicPr>
                            <a:picLocks noChangeAspect="1" noChangeArrowheads="1"/>
                          </pic:cNvPicPr>
                        </pic:nvPicPr>
                        <pic:blipFill>
                          <a:blip r:embed="rId26" cstate="print"/>
                          <a:srcRect/>
                          <a:stretch>
                            <a:fillRect/>
                          </a:stretch>
                        </pic:blipFill>
                        <pic:spPr bwMode="auto">
                          <a:xfrm>
                            <a:off x="0" y="0"/>
                            <a:ext cx="1391920" cy="543560"/>
                          </a:xfrm>
                          <a:prstGeom prst="rect">
                            <a:avLst/>
                          </a:prstGeom>
                          <a:noFill/>
                          <a:ln w="9525">
                            <a:noFill/>
                            <a:miter lim="800000"/>
                            <a:headEnd/>
                            <a:tailEnd/>
                          </a:ln>
                        </pic:spPr>
                      </pic:pic>
                    </a:graphicData>
                  </a:graphic>
                </wp:inline>
              </w:drawing>
            </w:r>
          </w:p>
          <w:p w:rsidR="00BF02D4" w:rsidRDefault="00BF02D4" w:rsidP="00BF02D4">
            <w:pPr>
              <w:pStyle w:val="HeadSide20"/>
              <w:jc w:val="center"/>
            </w:pPr>
            <w:r>
              <w:t>NCHRP 08-51</w:t>
            </w:r>
          </w:p>
          <w:p w:rsidR="00225952" w:rsidRDefault="00225952" w:rsidP="00BF02D4">
            <w:pPr>
              <w:pStyle w:val="ListParagraph"/>
              <w:spacing w:after="120"/>
              <w:ind w:left="0"/>
              <w:jc w:val="center"/>
            </w:pPr>
          </w:p>
        </w:tc>
        <w:tc>
          <w:tcPr>
            <w:tcW w:w="7920" w:type="dxa"/>
          </w:tcPr>
          <w:p w:rsidR="00225952" w:rsidRDefault="00225952" w:rsidP="00225952">
            <w:r>
              <w:t xml:space="preserve">Estimating an internal capture rate for a mixed use development is often one of the most debated and challenging steps in the overall site transportation impact assessment process. </w:t>
            </w:r>
            <w:r w:rsidRPr="00B74086">
              <w:t xml:space="preserve">Internal capture rates </w:t>
            </w:r>
            <w:r>
              <w:t>vary by the mix of land uses,</w:t>
            </w:r>
            <w:r w:rsidRPr="00B74086">
              <w:t xml:space="preserve"> size</w:t>
            </w:r>
            <w:r>
              <w:t xml:space="preserve">, and location context (i.e. remoteness, presence of competing external destinations) of the proposed development. </w:t>
            </w:r>
          </w:p>
          <w:p w:rsidR="00225952" w:rsidRDefault="00225952" w:rsidP="00225952">
            <w:pPr>
              <w:spacing w:after="120"/>
              <w:rPr>
                <w:spacing w:val="-2"/>
              </w:rPr>
            </w:pPr>
            <w:r>
              <w:t xml:space="preserve">The preferred method for determining internal capture is </w:t>
            </w:r>
            <w:r w:rsidRPr="007A4D41">
              <w:rPr>
                <w:spacing w:val="-2"/>
              </w:rPr>
              <w:t xml:space="preserve">the ITE </w:t>
            </w:r>
            <w:r w:rsidRPr="00B04804">
              <w:rPr>
                <w:b/>
                <w:spacing w:val="-2"/>
              </w:rPr>
              <w:t xml:space="preserve">Trip Generation Handbook </w:t>
            </w:r>
            <w:r>
              <w:rPr>
                <w:spacing w:val="-2"/>
              </w:rPr>
              <w:t xml:space="preserve">methodology, Chapter 7 Multi-Use Development.  </w:t>
            </w:r>
          </w:p>
          <w:p w:rsidR="00225952" w:rsidRPr="00EB589E" w:rsidRDefault="00225952" w:rsidP="00EB589E">
            <w:pPr>
              <w:pStyle w:val="Quote"/>
              <w:rPr>
                <w:sz w:val="22"/>
                <w:szCs w:val="22"/>
              </w:rPr>
            </w:pPr>
            <w:r w:rsidRPr="00EB589E">
              <w:rPr>
                <w:b/>
                <w:spacing w:val="-2"/>
                <w:sz w:val="22"/>
                <w:szCs w:val="22"/>
              </w:rPr>
              <w:t>Note</w:t>
            </w:r>
            <w:r w:rsidRPr="00EB589E">
              <w:rPr>
                <w:spacing w:val="-2"/>
                <w:sz w:val="22"/>
                <w:szCs w:val="22"/>
              </w:rPr>
              <w:t xml:space="preserve">: The </w:t>
            </w:r>
            <w:r w:rsidRPr="00EB589E">
              <w:rPr>
                <w:sz w:val="22"/>
                <w:szCs w:val="22"/>
              </w:rPr>
              <w:t>National Cooperative Highway Research Program (NCHRP) 08-51 “</w:t>
            </w:r>
            <w:r w:rsidRPr="00EB589E">
              <w:rPr>
                <w:b/>
                <w:sz w:val="22"/>
                <w:szCs w:val="22"/>
              </w:rPr>
              <w:t>Enhancing Internal Trip Capture Estimation for Mixed-Use Developments</w:t>
            </w:r>
            <w:r w:rsidRPr="00EB589E">
              <w:rPr>
                <w:sz w:val="22"/>
                <w:szCs w:val="22"/>
              </w:rPr>
              <w:t>” should be sometime in 2010. This Report will expand the internalization method shown in the existing Trip Generation Handbook.  One of the products of the NCHRP report will be new software for the new procedure.</w:t>
            </w:r>
          </w:p>
          <w:p w:rsidR="00225952" w:rsidRDefault="00225952" w:rsidP="00225952">
            <w:pPr>
              <w:spacing w:after="120"/>
            </w:pPr>
            <w:r>
              <w:t xml:space="preserve">The proposed methodology used to estimate internal capture should be clearly documented by the applicant and agreed to by the FDOT prior to the initiation of the study. It is recommended that the applicant go beyond simply stating how internal capture will be calculated </w:t>
            </w:r>
            <w:r w:rsidRPr="007A4D41">
              <w:rPr>
                <w:spacing w:val="-2"/>
              </w:rPr>
              <w:t xml:space="preserve">and provide actual preliminary </w:t>
            </w:r>
            <w:r>
              <w:rPr>
                <w:spacing w:val="-2"/>
              </w:rPr>
              <w:t xml:space="preserve">adjustment </w:t>
            </w:r>
            <w:r>
              <w:rPr>
                <w:spacing w:val="-2"/>
              </w:rPr>
              <w:lastRenderedPageBreak/>
              <w:t xml:space="preserve">factors and sample </w:t>
            </w:r>
            <w:r w:rsidRPr="007A4D41">
              <w:rPr>
                <w:spacing w:val="-2"/>
              </w:rPr>
              <w:t>calculations</w:t>
            </w:r>
            <w:r>
              <w:rPr>
                <w:spacing w:val="-2"/>
              </w:rPr>
              <w:t xml:space="preserve">. This way, </w:t>
            </w:r>
            <w:r w:rsidRPr="007A4D41">
              <w:rPr>
                <w:spacing w:val="-2"/>
              </w:rPr>
              <w:t>agencies can provide general comments early in the process.</w:t>
            </w:r>
          </w:p>
        </w:tc>
      </w:tr>
      <w:tr w:rsidR="00225952" w:rsidRPr="00380CF5">
        <w:tc>
          <w:tcPr>
            <w:tcW w:w="2455" w:type="dxa"/>
          </w:tcPr>
          <w:p w:rsidR="00225952" w:rsidRPr="006E43D1" w:rsidDel="00ED242E" w:rsidRDefault="00225952">
            <w:pPr>
              <w:rPr>
                <w:highlight w:val="red"/>
              </w:rPr>
            </w:pPr>
          </w:p>
        </w:tc>
        <w:tc>
          <w:tcPr>
            <w:tcW w:w="7920" w:type="dxa"/>
          </w:tcPr>
          <w:p w:rsidR="00225952" w:rsidRPr="006135BA" w:rsidDel="005D505B" w:rsidRDefault="001B7518" w:rsidP="001B7518">
            <w:pPr>
              <w:spacing w:after="60"/>
            </w:pPr>
            <w:r>
              <w:t>In evaluating a proposed internal capture rate, the following general guidance should be considered:</w:t>
            </w:r>
          </w:p>
        </w:tc>
      </w:tr>
      <w:tr w:rsidR="001B7518" w:rsidRPr="00380CF5">
        <w:tc>
          <w:tcPr>
            <w:tcW w:w="2455" w:type="dxa"/>
          </w:tcPr>
          <w:p w:rsidR="001B7518" w:rsidRPr="006E43D1" w:rsidDel="00ED242E" w:rsidRDefault="001B7518">
            <w:pPr>
              <w:rPr>
                <w:highlight w:val="red"/>
              </w:rPr>
            </w:pPr>
          </w:p>
        </w:tc>
        <w:tc>
          <w:tcPr>
            <w:tcW w:w="7920" w:type="dxa"/>
          </w:tcPr>
          <w:p w:rsidR="001B7518" w:rsidRPr="002A08A2" w:rsidRDefault="001B7518" w:rsidP="00AD2D7A">
            <w:pPr>
              <w:pStyle w:val="BulletA"/>
              <w:numPr>
                <w:ilvl w:val="0"/>
                <w:numId w:val="131"/>
              </w:numPr>
            </w:pPr>
            <w:r w:rsidRPr="006B7664">
              <w:t xml:space="preserve">Sites having a mix of residential and nonresidential components have the highest potential for internal capture trips. Mixes of nonresidential land uses are less likely to have a significant internal capture rate unless a hotel or motel is contained within the site. </w:t>
            </w:r>
          </w:p>
          <w:p w:rsidR="001B7518" w:rsidRPr="002A08A2" w:rsidRDefault="001B7518" w:rsidP="00AD2D7A">
            <w:pPr>
              <w:pStyle w:val="BulletA"/>
              <w:numPr>
                <w:ilvl w:val="0"/>
                <w:numId w:val="131"/>
              </w:numPr>
            </w:pPr>
            <w:r w:rsidRPr="006B7664">
              <w:t>Residence and employment centers should be income compatible so residents have ample employment opportunities in the community.</w:t>
            </w:r>
          </w:p>
          <w:p w:rsidR="001B7518" w:rsidRDefault="001B7518" w:rsidP="00AD2D7A">
            <w:pPr>
              <w:pStyle w:val="BulletA"/>
              <w:numPr>
                <w:ilvl w:val="0"/>
                <w:numId w:val="131"/>
              </w:numPr>
            </w:pPr>
            <w:r w:rsidRPr="006B7664">
              <w:t>The design of the internal roadway system/site circulation system of the development may impact internal capture. A well-designed development with good internal connectivity and pedestrian/bicycle will make it more convenient for trips to stay on site.</w:t>
            </w:r>
          </w:p>
          <w:p w:rsidR="001B7518" w:rsidRDefault="001B7518" w:rsidP="00AD2D7A">
            <w:pPr>
              <w:pStyle w:val="BulletA"/>
              <w:numPr>
                <w:ilvl w:val="0"/>
                <w:numId w:val="131"/>
              </w:numPr>
            </w:pPr>
            <w:r w:rsidRPr="006B7664">
              <w:t>If there are ample nearby substitutes for internal capture trips, the internal capture rate may need to be adjusted. For example, if a mixed-use development is located near other large retail development, the internal capture rate may be adjusted downward to reflect these nearby competing destinations.</w:t>
            </w:r>
          </w:p>
          <w:p w:rsidR="001B7518" w:rsidRDefault="001B7518" w:rsidP="00AD2D7A">
            <w:pPr>
              <w:pStyle w:val="BulletA"/>
              <w:numPr>
                <w:ilvl w:val="0"/>
                <w:numId w:val="131"/>
              </w:numPr>
            </w:pPr>
            <w:r w:rsidRPr="006B7664">
              <w:t>The ITE land use “shopping centers” (ITE code 820) is generally not considered a mixed-use development because of the way shopping center data has been collected. Therefore, internal capture rates should not be used to forecast trips when data from ITE code 820 is used.</w:t>
            </w:r>
          </w:p>
          <w:p w:rsidR="001B7518" w:rsidRDefault="001B7518" w:rsidP="00AD2D7A">
            <w:pPr>
              <w:pStyle w:val="BulletA"/>
              <w:numPr>
                <w:ilvl w:val="0"/>
                <w:numId w:val="131"/>
              </w:numPr>
            </w:pPr>
            <w:r w:rsidRPr="006B7664">
              <w:t>When using the ITE procedure, sites with multiple residential components (single-family houses, apartments, condos, etc.) should compute the trip generation for each residential type separately but record the trip generation value as only a single land use on the ITE worksheet.  These residential trips would be documented as separate for all other purposes, other than Internal Capture.</w:t>
            </w:r>
          </w:p>
          <w:p w:rsidR="001B7518" w:rsidRPr="006B7664" w:rsidRDefault="001B7518" w:rsidP="00AD2D7A">
            <w:pPr>
              <w:pStyle w:val="BulletA"/>
              <w:numPr>
                <w:ilvl w:val="0"/>
                <w:numId w:val="131"/>
              </w:numPr>
              <w:spacing w:after="240"/>
            </w:pPr>
            <w:r w:rsidRPr="008A22C3">
              <w:t>Internal capture rates should be calculated for each phase of a multiuse development. If development plans change during the review process, all internal capture calculations should be updated and the site impact assessment submitted for additional review.</w:t>
            </w:r>
          </w:p>
        </w:tc>
      </w:tr>
      <w:tr w:rsidR="00225952" w:rsidRPr="00380CF5">
        <w:tc>
          <w:tcPr>
            <w:tcW w:w="2455" w:type="dxa"/>
          </w:tcPr>
          <w:p w:rsidR="00225952" w:rsidRPr="006E43D1" w:rsidDel="00ED242E" w:rsidRDefault="00225952">
            <w:pPr>
              <w:rPr>
                <w:highlight w:val="red"/>
              </w:rPr>
            </w:pPr>
          </w:p>
        </w:tc>
        <w:tc>
          <w:tcPr>
            <w:tcW w:w="7920" w:type="dxa"/>
          </w:tcPr>
          <w:p w:rsidR="00225952" w:rsidRPr="006B7664" w:rsidRDefault="00225952" w:rsidP="00225952">
            <w:r w:rsidRPr="00B03651">
              <w:t>Site specific data is needed to estimate a reasonable internal capture rate.  Internal capture rates can have a major impact on the outcome of the analysis. The use of rules of thumb regarding minimum or maximum values is discouraged. What is needed is significant supporting analysis from the applicant. The FDOT should be diligent in requiring technical justification for all internal capture rates</w:t>
            </w:r>
            <w:r>
              <w:t>.</w:t>
            </w:r>
          </w:p>
        </w:tc>
      </w:tr>
    </w:tbl>
    <w:p w:rsidR="001B7518" w:rsidRDefault="001B7518">
      <w:bookmarkStart w:id="70" w:name="_Toc232912649"/>
      <w:r>
        <w:rPr>
          <w:b/>
          <w:bCs/>
        </w:rPr>
        <w:br w:type="page"/>
      </w:r>
    </w:p>
    <w:tbl>
      <w:tblPr>
        <w:tblW w:w="10375" w:type="dxa"/>
        <w:tblLayout w:type="fixed"/>
        <w:tblLook w:val="0000"/>
      </w:tblPr>
      <w:tblGrid>
        <w:gridCol w:w="2455"/>
        <w:gridCol w:w="7920"/>
      </w:tblGrid>
      <w:tr w:rsidR="00225952" w:rsidRPr="00380CF5" w:rsidTr="00225952">
        <w:tc>
          <w:tcPr>
            <w:tcW w:w="10375" w:type="dxa"/>
            <w:gridSpan w:val="2"/>
          </w:tcPr>
          <w:p w:rsidR="00225952" w:rsidRDefault="006B7F55">
            <w:pPr>
              <w:pStyle w:val="Heading3"/>
            </w:pPr>
            <w:bookmarkStart w:id="71" w:name="_Toc264274086"/>
            <w:r>
              <w:lastRenderedPageBreak/>
              <w:t>2.5</w:t>
            </w:r>
            <w:r w:rsidR="00225952">
              <w:t xml:space="preserve">.5  </w:t>
            </w:r>
            <w:r w:rsidR="00225952" w:rsidRPr="006135BA">
              <w:t>Community Capture</w:t>
            </w:r>
            <w:bookmarkEnd w:id="70"/>
            <w:bookmarkEnd w:id="71"/>
          </w:p>
        </w:tc>
      </w:tr>
      <w:tr w:rsidR="00225952" w:rsidRPr="00380CF5">
        <w:tc>
          <w:tcPr>
            <w:tcW w:w="2455" w:type="dxa"/>
          </w:tcPr>
          <w:p w:rsidR="00225952" w:rsidRDefault="00225952" w:rsidP="00225952">
            <w:pPr>
              <w:pStyle w:val="SidebarSentence"/>
            </w:pPr>
          </w:p>
          <w:p w:rsidR="00225952" w:rsidRPr="005862AE" w:rsidRDefault="00225952" w:rsidP="00225952">
            <w:pPr>
              <w:pStyle w:val="SidebarSentence"/>
            </w:pPr>
            <w:r w:rsidRPr="005862AE">
              <w:t>A Definition of Community Capture</w:t>
            </w:r>
          </w:p>
        </w:tc>
        <w:tc>
          <w:tcPr>
            <w:tcW w:w="7920" w:type="dxa"/>
          </w:tcPr>
          <w:p w:rsidR="00225952" w:rsidRPr="0005547F" w:rsidRDefault="00225952" w:rsidP="00225952">
            <w:r w:rsidRPr="008B1336">
              <w:t xml:space="preserve">Community Capture is the reduction in the number of external vehicle trips generated by a large, mixed-use development reducing the overall impact of the proposed community on the transportation system outside of the development. Community Capture occurs due to the combined land-use, location, design, and multimodal characteristics of the development. Internal Capture, as accepted by the professional transportation community, recognizes that a portion of the total trips for a multi-use development may be satisfied within the development. The concept of Community Capture extends the application of internal capture to include potential trip interactions and reductions within the boundaries of large scale, multi-use developments.  In these large-scale cases, internal capture trips would be a wholly contained subset of community capture trips.  While “Community Capture” and “Internal Capture” are somewhat different, some of the research and applications associated with Internal Capture can apply to Community Capture. </w:t>
            </w:r>
          </w:p>
        </w:tc>
      </w:tr>
      <w:tr w:rsidR="00225952" w:rsidRPr="00380CF5">
        <w:tc>
          <w:tcPr>
            <w:tcW w:w="2455" w:type="dxa"/>
          </w:tcPr>
          <w:p w:rsidR="00225952" w:rsidRPr="006135BA" w:rsidRDefault="00225952" w:rsidP="00225952">
            <w:pPr>
              <w:pStyle w:val="Heading4"/>
            </w:pPr>
            <w:r w:rsidRPr="006135BA">
              <w:t>Where May Community Capture Be Applied?</w:t>
            </w:r>
          </w:p>
          <w:p w:rsidR="00225952" w:rsidRPr="006135BA" w:rsidRDefault="00225952" w:rsidP="00225952">
            <w:pPr>
              <w:pStyle w:val="Heading4"/>
            </w:pPr>
          </w:p>
        </w:tc>
        <w:tc>
          <w:tcPr>
            <w:tcW w:w="7920" w:type="dxa"/>
          </w:tcPr>
          <w:p w:rsidR="00225952" w:rsidRDefault="00225952">
            <w:r>
              <w:t xml:space="preserve">Community Capture can be applied to a large, self-standing development, such as a new community or town, with a balanced mix of uses that may fulfill a significant portion of the community’s needs within the development.  These communities may be separated by travel-time, design, or distance from other major land use concentrations.  They provide a wide range of internal services, which may satisfy a significant portion of their needs within the community. </w:t>
            </w:r>
          </w:p>
          <w:p w:rsidR="00225952" w:rsidRPr="005862AE" w:rsidRDefault="00225952" w:rsidP="00225952">
            <w:r>
              <w:t xml:space="preserve">The community would make many off-site trips unnecessary by being of sufficient size to provide a balance of land uses, including a range of housing types and values, neighborhood and community retail centers, entertainment facilities, offices, and employment.  The community would also provide a range of support services such as schools, civic institutions, houses of worship, public parks, and government facilities. Larger communities may have several town centers or villages, which embrace connectivity </w:t>
            </w:r>
            <w:r w:rsidRPr="002376AA">
              <w:t>within</w:t>
            </w:r>
            <w:r>
              <w:t>,</w:t>
            </w:r>
            <w:r w:rsidRPr="002376AA">
              <w:t xml:space="preserve"> and between</w:t>
            </w:r>
            <w:r>
              <w:t>,</w:t>
            </w:r>
            <w:r w:rsidRPr="002376AA">
              <w:t xml:space="preserve"> each center and village with a transportation system of all modes, including pedestrian paths, bicycle </w:t>
            </w:r>
            <w:r>
              <w:t>facilities,</w:t>
            </w:r>
            <w:r w:rsidRPr="002376AA">
              <w:t xml:space="preserve"> and shuttles.</w:t>
            </w:r>
          </w:p>
        </w:tc>
      </w:tr>
      <w:tr w:rsidR="00225952" w:rsidRPr="00380CF5">
        <w:tc>
          <w:tcPr>
            <w:tcW w:w="2455" w:type="dxa"/>
          </w:tcPr>
          <w:p w:rsidR="00225952" w:rsidRPr="006135BA" w:rsidRDefault="00225952" w:rsidP="00225952">
            <w:pPr>
              <w:pStyle w:val="Heading4"/>
            </w:pPr>
            <w:r w:rsidRPr="006135BA">
              <w:t>Numerical Factors for Community Capture</w:t>
            </w:r>
          </w:p>
          <w:p w:rsidR="00225952" w:rsidRPr="006135BA" w:rsidRDefault="00225952" w:rsidP="00225952">
            <w:pPr>
              <w:pStyle w:val="Heading4"/>
            </w:pPr>
          </w:p>
        </w:tc>
        <w:tc>
          <w:tcPr>
            <w:tcW w:w="7920" w:type="dxa"/>
          </w:tcPr>
          <w:p w:rsidR="00225952" w:rsidRDefault="00225952" w:rsidP="00225952">
            <w:r>
              <w:t xml:space="preserve">Because each site will have unique characteristics,  FDOT will not recommend minimum nor maximum values for Community Capture.  Reasonable analysis of proposed developments will be used and will be verified by substantial and ongoing monitoring programs.   Ideally, over time, agreement may occur on some ranges and measurement criteria.  However, because this is an emerging topic, many of the early estimates will be negotiated, based on best professional judgment and verified with monitoring agreements. </w:t>
            </w:r>
          </w:p>
        </w:tc>
      </w:tr>
      <w:tr w:rsidR="00225952" w:rsidRPr="00380CF5">
        <w:tc>
          <w:tcPr>
            <w:tcW w:w="2455" w:type="dxa"/>
          </w:tcPr>
          <w:p w:rsidR="00225952" w:rsidRPr="006135BA" w:rsidRDefault="00225952" w:rsidP="00225952">
            <w:pPr>
              <w:pStyle w:val="Heading4"/>
            </w:pPr>
            <w:r w:rsidRPr="006135BA">
              <w:lastRenderedPageBreak/>
              <w:t>Justification of Community Capture Values</w:t>
            </w:r>
          </w:p>
          <w:p w:rsidR="00225952" w:rsidRPr="006135BA" w:rsidRDefault="00225952" w:rsidP="00225952">
            <w:pPr>
              <w:pStyle w:val="Heading4"/>
            </w:pPr>
          </w:p>
        </w:tc>
        <w:tc>
          <w:tcPr>
            <w:tcW w:w="7920" w:type="dxa"/>
          </w:tcPr>
          <w:p w:rsidR="00225952" w:rsidRDefault="00225952" w:rsidP="00133E34">
            <w:pPr>
              <w:spacing w:after="120"/>
            </w:pPr>
            <w:r>
              <w:t xml:space="preserve">The justification will need to include summaries showing the numbers and percentages of trips served within the proposed development.  For example, depending on the development, it might look like this, </w:t>
            </w:r>
          </w:p>
          <w:p w:rsidR="00225952" w:rsidRPr="00563102" w:rsidRDefault="00225952" w:rsidP="00225952">
            <w:pPr>
              <w:ind w:left="720"/>
              <w:rPr>
                <w:i/>
              </w:rPr>
            </w:pPr>
            <w:r w:rsidRPr="00563102">
              <w:rPr>
                <w:i/>
              </w:rPr>
              <w:t>“X % of the entering shopping trips expected in the PM peak hour makes up Y% of the total exiting shopping trips from homes within the community.”</w:t>
            </w:r>
          </w:p>
          <w:p w:rsidR="00225952" w:rsidRDefault="00225952" w:rsidP="00133E34">
            <w:pPr>
              <w:spacing w:after="120"/>
            </w:pPr>
            <w:r>
              <w:t xml:space="preserve">As a Development of Regional Impact (DRI), the proposed community will include the standard “Map H,” development program summary, and build-out schedule.  Additionally, there must be information provided in sufficient detail to clearly support and explain the process used to determine a proposed Community Capture value. </w:t>
            </w:r>
          </w:p>
          <w:p w:rsidR="00225952" w:rsidRPr="008B1336" w:rsidRDefault="00225952" w:rsidP="00225952">
            <w:r>
              <w:t>This analysis should be done for each phase, with an agreed upon monitoring program.</w:t>
            </w:r>
          </w:p>
        </w:tc>
      </w:tr>
      <w:tr w:rsidR="00225952" w:rsidRPr="00380CF5">
        <w:tc>
          <w:tcPr>
            <w:tcW w:w="2455" w:type="dxa"/>
          </w:tcPr>
          <w:p w:rsidR="00225952" w:rsidRPr="006135BA" w:rsidRDefault="00225952" w:rsidP="00225952">
            <w:pPr>
              <w:pStyle w:val="Heading4"/>
            </w:pPr>
            <w:r w:rsidRPr="006135BA">
              <w:t>Using the Right Tools for Determining Community Capture</w:t>
            </w:r>
          </w:p>
          <w:p w:rsidR="00225952" w:rsidRPr="006135BA" w:rsidRDefault="00225952" w:rsidP="00225952">
            <w:pPr>
              <w:pStyle w:val="Heading4"/>
            </w:pPr>
          </w:p>
        </w:tc>
        <w:tc>
          <w:tcPr>
            <w:tcW w:w="7920" w:type="dxa"/>
          </w:tcPr>
          <w:p w:rsidR="00225952" w:rsidRDefault="00225952">
            <w:r w:rsidRPr="008B1336">
              <w:t>No single tool for determining Community Capture currently exists. While refinements to existing tools, such as the modeling methodology described below, are currently under development, no one procedure has been demonstrated to provide a final Community Capture value.  Until there is more experience and knowledge regarding Community Capture, reasonable analysis and negotiations, supported by substantial and detailed monitoring requirements will be used.</w:t>
            </w:r>
          </w:p>
        </w:tc>
      </w:tr>
      <w:tr w:rsidR="00225952" w:rsidRPr="00380CF5">
        <w:tc>
          <w:tcPr>
            <w:tcW w:w="2455" w:type="dxa"/>
          </w:tcPr>
          <w:p w:rsidR="00225952" w:rsidRPr="006135BA" w:rsidRDefault="00225952" w:rsidP="00225952">
            <w:pPr>
              <w:pStyle w:val="Heading4"/>
            </w:pPr>
            <w:r w:rsidRPr="006135BA">
              <w:t>Commitment to Traffic Monitoring</w:t>
            </w:r>
          </w:p>
          <w:p w:rsidR="00225952" w:rsidRPr="006135BA" w:rsidRDefault="00225952" w:rsidP="00225952">
            <w:pPr>
              <w:pStyle w:val="Heading4"/>
            </w:pPr>
          </w:p>
        </w:tc>
        <w:tc>
          <w:tcPr>
            <w:tcW w:w="7920" w:type="dxa"/>
          </w:tcPr>
          <w:p w:rsidR="00225952" w:rsidRDefault="00225952">
            <w:r w:rsidRPr="008B1336">
              <w:t>Expanded traffic monitoring beyond the current basic requirements of the DRI annual/biennial report will be a required provision in accepting Community Capture rates. While the detailed needs of the traffic monitoring program will be determined through the traffic study process, elements such as origin and destination studies, trip generation studies, and an evaluation of land use mixes in the community and surrounding the community will usually be included in the monitoring program.  At a minimum, monitoring will be necessary before the development enters a new phase. If appropriate, trip characteristic assumptions and impact mitigation requirements will be revised, based on the monitoring. Traffic monitoring at a frequency greater than by phase may be required for more aggressive development programs or if significant changes are made to the planned development program.</w:t>
            </w:r>
            <w:r>
              <w:t xml:space="preserve"> </w:t>
            </w:r>
          </w:p>
        </w:tc>
      </w:tr>
      <w:tr w:rsidR="00225952" w:rsidRPr="00380CF5">
        <w:tc>
          <w:tcPr>
            <w:tcW w:w="2455" w:type="dxa"/>
          </w:tcPr>
          <w:p w:rsidR="00225952" w:rsidRPr="006135BA" w:rsidRDefault="00225952" w:rsidP="00225952">
            <w:pPr>
              <w:pStyle w:val="Heading4"/>
            </w:pPr>
            <w:r w:rsidRPr="006135BA">
              <w:t>The Role of Pre-Application and Methodology Meetings</w:t>
            </w:r>
          </w:p>
          <w:p w:rsidR="00225952" w:rsidRDefault="00225952" w:rsidP="00225952">
            <w:pPr>
              <w:pStyle w:val="SidebarSentence"/>
            </w:pPr>
          </w:p>
          <w:p w:rsidR="00225952" w:rsidRDefault="00133E34" w:rsidP="00225952">
            <w:pPr>
              <w:pStyle w:val="SidebarSentence"/>
            </w:pPr>
            <w:r>
              <w:br/>
            </w:r>
            <w:r w:rsidR="00225952" w:rsidRPr="005862AE">
              <w:lastRenderedPageBreak/>
              <w:t>The Role of Pre-Application and Methodology Meetings</w:t>
            </w:r>
            <w:r w:rsidR="00225952">
              <w:t xml:space="preserve"> in Community Capture</w:t>
            </w:r>
          </w:p>
        </w:tc>
        <w:tc>
          <w:tcPr>
            <w:tcW w:w="7920" w:type="dxa"/>
          </w:tcPr>
          <w:p w:rsidR="00225952" w:rsidRDefault="00225952" w:rsidP="00133E34">
            <w:pPr>
              <w:spacing w:after="120"/>
            </w:pPr>
            <w:r>
              <w:lastRenderedPageBreak/>
              <w:t xml:space="preserve">During the pre-application and transportation methodology meetings it will be important to have discussions among the experts in development and transportation (DCA, FDOT, RPCs, local governments, transportation professionals and representatives of the development community), to agree on factors needed to determine Community Capture and external impacts.  All requests for utilizing Community Capture rates require more detailed information and specific </w:t>
            </w:r>
            <w:r>
              <w:lastRenderedPageBreak/>
              <w:t>commitments for justification.  If sufficient information is not available at the time of the methodology meeting to make the commitments necessary to justify a Community Capture rate, final agreements on a rate will not be made until such information is available.</w:t>
            </w:r>
          </w:p>
        </w:tc>
      </w:tr>
      <w:tr w:rsidR="00225952" w:rsidRPr="00380CF5">
        <w:tc>
          <w:tcPr>
            <w:tcW w:w="2455" w:type="dxa"/>
          </w:tcPr>
          <w:p w:rsidR="00225952" w:rsidRPr="006135BA" w:rsidRDefault="00225952" w:rsidP="00225952">
            <w:pPr>
              <w:pStyle w:val="Heading4"/>
            </w:pPr>
            <w:r w:rsidRPr="006135BA">
              <w:lastRenderedPageBreak/>
              <w:t xml:space="preserve">The Factors Impacting Community Capture </w:t>
            </w:r>
          </w:p>
        </w:tc>
        <w:tc>
          <w:tcPr>
            <w:tcW w:w="7920" w:type="dxa"/>
          </w:tcPr>
          <w:p w:rsidR="00225952" w:rsidRPr="006135BA" w:rsidDel="005D505B" w:rsidRDefault="00225952" w:rsidP="00133E34">
            <w:pPr>
              <w:spacing w:after="120"/>
            </w:pPr>
            <w:r>
              <w:t>Community Capture will go beyond Internal Capture, accounting for the unique trip making aspects of a large, self-standing development with a balanced mix of uses such as a new community or town. The concept focuses on:</w:t>
            </w:r>
          </w:p>
        </w:tc>
      </w:tr>
      <w:tr w:rsidR="00225952" w:rsidRPr="00380CF5">
        <w:tc>
          <w:tcPr>
            <w:tcW w:w="2455" w:type="dxa"/>
          </w:tcPr>
          <w:p w:rsidR="00225952" w:rsidRPr="006135BA" w:rsidRDefault="00225952" w:rsidP="00225952">
            <w:pPr>
              <w:pStyle w:val="Heading4"/>
            </w:pPr>
          </w:p>
        </w:tc>
        <w:tc>
          <w:tcPr>
            <w:tcW w:w="7920" w:type="dxa"/>
          </w:tcPr>
          <w:p w:rsidR="00225952" w:rsidRPr="00BD649F" w:rsidRDefault="00225952" w:rsidP="001B7518">
            <w:pPr>
              <w:pStyle w:val="BulletA"/>
            </w:pPr>
            <w:r w:rsidRPr="00BD649F">
              <w:rPr>
                <w:b/>
              </w:rPr>
              <w:t>Land Use Characteristics:</w:t>
            </w:r>
            <w:r w:rsidRPr="00BD649F">
              <w:t xml:space="preserve"> A balance of land uses where form and function result in trips being satisfied within the development must exist for significant Community Capture to occur. Some of these factors are:</w:t>
            </w:r>
          </w:p>
          <w:p w:rsidR="00225952" w:rsidRPr="00C53BD3" w:rsidRDefault="00225952" w:rsidP="001B7518">
            <w:pPr>
              <w:pStyle w:val="BulletA"/>
            </w:pPr>
            <w:r w:rsidRPr="00EF1B86">
              <w:rPr>
                <w:b/>
              </w:rPr>
              <w:t>“Income Compatible” Uses</w:t>
            </w:r>
            <w:r w:rsidRPr="00EF1B86">
              <w:t xml:space="preserve">: Residence and employment centers should be “income compatible” so residents have ample employment opportunities in the community.  Employment centers should attract a reasonable amount of the workforce from within the community. </w:t>
            </w:r>
          </w:p>
          <w:p w:rsidR="00225952" w:rsidRPr="00C53BD3" w:rsidRDefault="00225952" w:rsidP="001B7518">
            <w:pPr>
              <w:pStyle w:val="BulletA"/>
            </w:pPr>
            <w:r w:rsidRPr="00EF1B86">
              <w:rPr>
                <w:b/>
              </w:rPr>
              <w:t>Type of Community</w:t>
            </w:r>
            <w:r w:rsidRPr="00EF1B86">
              <w:t xml:space="preserve">:  Is this a community planned for all age groups with job opportunities, or is it a retirement community?  Is the new community primarily recreational?   These issues can have an important impact on Community Capture.  </w:t>
            </w:r>
          </w:p>
          <w:p w:rsidR="00225952" w:rsidRDefault="00225952" w:rsidP="001B7518">
            <w:pPr>
              <w:pStyle w:val="BulletA"/>
            </w:pPr>
            <w:r w:rsidRPr="00EF1B86">
              <w:rPr>
                <w:b/>
              </w:rPr>
              <w:t>Community Design</w:t>
            </w:r>
            <w:r w:rsidRPr="00EF1B86">
              <w:t>: The design features of the community can affect both the number of external vehicle trips, as well as the internal trips using major roadways. For example, a well-designed development with good internal connectivity will make it more convenient for trips to stay on site. By providing alternative connections internal to the site, the number of vehicle trips needing to use a major roadway to traverse the site can be reduced. Internal capture is facilitated by a high level of connectivity and short travel distances between complimentary land uses.</w:t>
            </w:r>
            <w:r>
              <w:t xml:space="preserve">  </w:t>
            </w:r>
          </w:p>
          <w:p w:rsidR="00225952" w:rsidRPr="00C53BD3" w:rsidRDefault="00225952" w:rsidP="001B7518">
            <w:pPr>
              <w:pStyle w:val="BulletA"/>
            </w:pPr>
            <w:r w:rsidRPr="00EF1B86">
              <w:rPr>
                <w:b/>
              </w:rPr>
              <w:t>Development Maturity</w:t>
            </w:r>
            <w:r w:rsidRPr="00EF1B86">
              <w:t>: The project’s fullest Community Capture may not occur until the complementary land uses mature.  This may occur late in the development program. This will depend on the quantity and balance between complementary land uses.  However, each phase or increment must mitigate the cumulative impacts to the regional network resulting from the current phase or increment and previously approved phases or increments.</w:t>
            </w:r>
          </w:p>
          <w:p w:rsidR="00225952" w:rsidRDefault="00225952" w:rsidP="001B7518">
            <w:pPr>
              <w:pStyle w:val="BulletA"/>
            </w:pPr>
            <w:r w:rsidRPr="00EF1B86">
              <w:rPr>
                <w:b/>
              </w:rPr>
              <w:t>Location Context</w:t>
            </w:r>
            <w:r w:rsidRPr="00EF1B86">
              <w:t>: The location context of large, mixed-use developments may impact Community Capture in the following ways:</w:t>
            </w:r>
          </w:p>
          <w:p w:rsidR="00225952" w:rsidRPr="00C53BD3" w:rsidRDefault="00225952" w:rsidP="001B7518">
            <w:pPr>
              <w:pStyle w:val="BulletA"/>
            </w:pPr>
            <w:r w:rsidRPr="00EF1B86">
              <w:rPr>
                <w:b/>
              </w:rPr>
              <w:t>Remote Locations</w:t>
            </w:r>
            <w:r w:rsidRPr="00EF1B86">
              <w:t xml:space="preserve">: For a remote location with a balance of complementary land uses, high trip capture may occur. For the trips not captured on site, longer external trip lengths will result because there would be few opportunities for trips to end near the site. </w:t>
            </w:r>
          </w:p>
          <w:p w:rsidR="00225952" w:rsidRPr="00C53BD3" w:rsidRDefault="00225952" w:rsidP="001B7518">
            <w:pPr>
              <w:pStyle w:val="BulletA"/>
            </w:pPr>
            <w:r w:rsidRPr="00EF1B86">
              <w:rPr>
                <w:b/>
              </w:rPr>
              <w:t>Competing External Opportunities</w:t>
            </w:r>
            <w:r w:rsidRPr="00EF1B86">
              <w:t>:  If there were ample nearby destinations (shopping, jobs, or entertainment) outside of the community, the Community Capture rate would likely be lower. For example, if a mixed-</w:t>
            </w:r>
            <w:r w:rsidRPr="00EF1B86">
              <w:lastRenderedPageBreak/>
              <w:t xml:space="preserve">use development is located near other large developments, the Community Capture rate may be reduced. </w:t>
            </w:r>
          </w:p>
          <w:p w:rsidR="00225952" w:rsidRDefault="00225952" w:rsidP="001B7518">
            <w:pPr>
              <w:pStyle w:val="BulletA"/>
            </w:pPr>
            <w:r w:rsidRPr="00EF1B86">
              <w:rPr>
                <w:b/>
              </w:rPr>
              <w:t>Trip Generation of Isolated Communities</w:t>
            </w:r>
            <w:r w:rsidRPr="00EF1B86">
              <w:t>: Discussion is ongoing regarding the trip generation characteristics of isolated communities. One assumption proposed is if a community is isolated, and a trip cannot be satisfied on site, some discretionary trips are less likely to occur. While not making a trip can be an option for some trips, such as shopping, it is not an option for work-based trips, which have the highest impact during the peak hours.</w:t>
            </w:r>
          </w:p>
          <w:p w:rsidR="00225952" w:rsidRPr="00BD649F" w:rsidDel="005D505B" w:rsidRDefault="00225952" w:rsidP="001B7518">
            <w:pPr>
              <w:pStyle w:val="BulletA"/>
            </w:pPr>
            <w:r w:rsidRPr="00EF1B86">
              <w:rPr>
                <w:b/>
              </w:rPr>
              <w:t>Multimodal Elements</w:t>
            </w:r>
            <w:r w:rsidRPr="00EF1B86">
              <w:t xml:space="preserve"> (Encouragement of transit, walking and cycling): The provisions of on-site transit circulators and integrated systems of bicycle, golf cart, and pedestrian paths may have an impact on vehicle trip generation and vehicle trip capture. Such amenities make it easier for trips to remain on site and may reduce the need for vehicle trips to occur.</w:t>
            </w:r>
          </w:p>
        </w:tc>
      </w:tr>
      <w:tr w:rsidR="00225952" w:rsidRPr="00380CF5">
        <w:tc>
          <w:tcPr>
            <w:tcW w:w="2455" w:type="dxa"/>
          </w:tcPr>
          <w:p w:rsidR="00225952" w:rsidRPr="006135BA" w:rsidRDefault="00225952" w:rsidP="00225952">
            <w:pPr>
              <w:pStyle w:val="Heading4"/>
            </w:pPr>
          </w:p>
        </w:tc>
        <w:tc>
          <w:tcPr>
            <w:tcW w:w="7920" w:type="dxa"/>
          </w:tcPr>
          <w:p w:rsidR="00225952" w:rsidRDefault="00225952" w:rsidP="001B7518">
            <w:pPr>
              <w:spacing w:after="60"/>
            </w:pPr>
            <w:r>
              <w:t>Currently, large-scale transportation models, such as FSUTMS, which are not specifically modified for Community Capture purposes, may be insensitive to some of the factors expected to affect Community Capture. To address some of the limitations associated with using travel demand models to estimate capture, a methodology is proposed based on the following modifications:</w:t>
            </w:r>
          </w:p>
          <w:p w:rsidR="00225952" w:rsidRPr="00C53BD3" w:rsidRDefault="00225952" w:rsidP="00AD2D7A">
            <w:pPr>
              <w:pStyle w:val="BulletA"/>
              <w:numPr>
                <w:ilvl w:val="0"/>
                <w:numId w:val="132"/>
              </w:numPr>
            </w:pPr>
            <w:r w:rsidRPr="00EF1B86">
              <w:t>Consider land use categories in place of or in addition to traditional trip purposes. Within the model, use an increased selection of housing types (single-family, multifamily, rental apartments) and categories (high cost employed, retired, seasonal, medium cost employed, and low cost employed) and a trip purpose table for the expanded housing categories which can be used to create a residential trip generation and trip purpose profile to better match the development plan;</w:t>
            </w:r>
          </w:p>
          <w:p w:rsidR="00225952" w:rsidRPr="00C53BD3" w:rsidRDefault="00225952" w:rsidP="00AD2D7A">
            <w:pPr>
              <w:pStyle w:val="BulletA"/>
              <w:numPr>
                <w:ilvl w:val="0"/>
                <w:numId w:val="132"/>
              </w:numPr>
            </w:pPr>
            <w:r w:rsidRPr="00EF1B86">
              <w:t>Consider land use categories at trip attraction ends, such as retail/restaurant price levels to better match with residential income/price category. Also, consider for income/price category. Summarize the potential attractions within the community, based on the marketing plan, to better account for income differences;</w:t>
            </w:r>
          </w:p>
          <w:p w:rsidR="00225952" w:rsidRPr="00C53BD3" w:rsidRDefault="00225952" w:rsidP="00AD2D7A">
            <w:pPr>
              <w:pStyle w:val="BulletA"/>
              <w:numPr>
                <w:ilvl w:val="0"/>
                <w:numId w:val="132"/>
              </w:numPr>
            </w:pPr>
            <w:r w:rsidRPr="00EF1B86">
              <w:t>Create transportation analysis zones (TAZs) for each land use along with more detailed coded networks; and</w:t>
            </w:r>
          </w:p>
          <w:p w:rsidR="00225952" w:rsidRPr="00EF1B86" w:rsidRDefault="00225952" w:rsidP="00133E34">
            <w:pPr>
              <w:pStyle w:val="BulletA"/>
              <w:numPr>
                <w:ilvl w:val="0"/>
                <w:numId w:val="132"/>
              </w:numPr>
              <w:spacing w:after="120"/>
              <w:rPr>
                <w:b/>
              </w:rPr>
            </w:pPr>
            <w:r w:rsidRPr="008A22C3">
              <w:rPr>
                <w:rFonts w:eastAsia="Times New Roman"/>
              </w:rPr>
              <w:t>Carefully use travel-time friction factors (called the modeling K factor) within the model to make reasonable adjustments to the trip distribution patterns within the community and to the trip lengths external to the community.</w:t>
            </w:r>
          </w:p>
        </w:tc>
      </w:tr>
      <w:tr w:rsidR="00225952" w:rsidRPr="00380CF5">
        <w:tc>
          <w:tcPr>
            <w:tcW w:w="2455" w:type="dxa"/>
          </w:tcPr>
          <w:p w:rsidR="00225952" w:rsidRPr="006135BA" w:rsidRDefault="00225952" w:rsidP="00225952">
            <w:pPr>
              <w:pStyle w:val="Heading4"/>
            </w:pPr>
          </w:p>
        </w:tc>
        <w:tc>
          <w:tcPr>
            <w:tcW w:w="7920" w:type="dxa"/>
          </w:tcPr>
          <w:p w:rsidR="00225952" w:rsidRDefault="00225952" w:rsidP="00225952">
            <w:r>
              <w:t xml:space="preserve">While this methodology appears to be a positive step in addressing some of the traditional limitations of travel demand models in determining capture rates, the methodology needs to be tested to gain a better understanding of the sensitivity of the model to the proposed variables.  The use of additional or modified variables must be documented and discussed with reviewing agencies early in the </w:t>
            </w:r>
            <w:r>
              <w:lastRenderedPageBreak/>
              <w:t>methodology development phase.</w:t>
            </w:r>
          </w:p>
          <w:p w:rsidR="00225952" w:rsidRDefault="00225952" w:rsidP="00225952">
            <w:r>
              <w:t>Currently, most standard large-scale travel demand models are not sufficiently detailed to predict internal capture. Unmodified models and their “raw” output are not appropriate tools to be used alone to justify Community Capture values.  When the model is part of the justification for Community Capture values, clear documentation of the model process, including the submittal of all model files, must be provided, so a professional reviewer with reasonable competence in travel demand models can replicate the analysis and conclusions.</w:t>
            </w:r>
          </w:p>
        </w:tc>
      </w:tr>
      <w:tr w:rsidR="00225952" w:rsidRPr="00380CF5" w:rsidTr="00225952">
        <w:trPr>
          <w:trHeight w:val="1080"/>
        </w:trPr>
        <w:tc>
          <w:tcPr>
            <w:tcW w:w="2455" w:type="dxa"/>
          </w:tcPr>
          <w:p w:rsidR="00225952" w:rsidRDefault="00225952" w:rsidP="00225952">
            <w:pPr>
              <w:pStyle w:val="Heading4"/>
            </w:pPr>
            <w:r w:rsidRPr="00EF1B86">
              <w:lastRenderedPageBreak/>
              <w:t xml:space="preserve">Institute of Transportation Engineers (ITE) Multi-Use Development Methodology </w:t>
            </w:r>
          </w:p>
          <w:p w:rsidR="00225952" w:rsidRDefault="00225952" w:rsidP="00225952">
            <w:pPr>
              <w:pStyle w:val="SidebarSentence"/>
            </w:pPr>
          </w:p>
          <w:p w:rsidR="00225952" w:rsidRPr="005862AE" w:rsidRDefault="00225952" w:rsidP="00225952">
            <w:pPr>
              <w:pStyle w:val="SidebarSentence"/>
            </w:pPr>
          </w:p>
        </w:tc>
        <w:tc>
          <w:tcPr>
            <w:tcW w:w="7920" w:type="dxa"/>
          </w:tcPr>
          <w:p w:rsidR="00225952" w:rsidRDefault="00225952" w:rsidP="00225952">
            <w:r>
              <w:t>The ITE multi-use development methodology has been the primary tool used to estimate internal capture since 2000. While the ITE multi-use development methodology does not account for variables such as proximity of on-site land uses and location context, the methodology does provide an organized and professionally accepted manner to evaluate internal capture. If the data needed to support a Community Capture assessment is not available, an internal capture value determined using the ITE methodology could be used. A new national project to update the ITE method is expected to be complete in 2010. This project is expanding the database and refining the method employed in the ITE methodology.</w:t>
            </w:r>
          </w:p>
          <w:p w:rsidR="00225952" w:rsidRDefault="00225952">
            <w:r>
              <w:t>D</w:t>
            </w:r>
            <w:r w:rsidRPr="00BC4F7C">
              <w:t xml:space="preserve">evelopments qualified for the </w:t>
            </w:r>
            <w:r>
              <w:t xml:space="preserve">internal and </w:t>
            </w:r>
            <w:r w:rsidRPr="00BC4F7C">
              <w:t>community capture</w:t>
            </w:r>
            <w:r>
              <w:t xml:space="preserve"> will </w:t>
            </w:r>
            <w:r w:rsidRPr="00BC4F7C">
              <w:t xml:space="preserve">consider </w:t>
            </w:r>
            <w:r>
              <w:t>how the S</w:t>
            </w:r>
            <w:r w:rsidRPr="00BC4F7C">
              <w:t xml:space="preserve">tate roads within the boundaries of the planned development will be treated for impact and mitigation purposes. </w:t>
            </w:r>
            <w:r>
              <w:t xml:space="preserve"> </w:t>
            </w:r>
          </w:p>
        </w:tc>
      </w:tr>
      <w:tr w:rsidR="00225952" w:rsidRPr="00380CF5" w:rsidTr="00225952">
        <w:tc>
          <w:tcPr>
            <w:tcW w:w="10375" w:type="dxa"/>
            <w:gridSpan w:val="2"/>
          </w:tcPr>
          <w:p w:rsidR="00225952" w:rsidDel="00ED242E" w:rsidRDefault="006B7F55" w:rsidP="00225952">
            <w:pPr>
              <w:pStyle w:val="Heading3"/>
            </w:pPr>
            <w:bookmarkStart w:id="72" w:name="_Toc264274087"/>
            <w:r>
              <w:t>2.5</w:t>
            </w:r>
            <w:r w:rsidR="00225952">
              <w:t xml:space="preserve">.6  </w:t>
            </w:r>
            <w:r w:rsidR="00225952" w:rsidRPr="006135BA">
              <w:t>Trip Types</w:t>
            </w:r>
            <w:bookmarkEnd w:id="72"/>
          </w:p>
        </w:tc>
      </w:tr>
      <w:tr w:rsidR="00225952" w:rsidRPr="00380CF5">
        <w:tc>
          <w:tcPr>
            <w:tcW w:w="2455" w:type="dxa"/>
          </w:tcPr>
          <w:p w:rsidR="00225952" w:rsidRPr="006135BA" w:rsidRDefault="0088352E" w:rsidP="0088352E">
            <w:pPr>
              <w:pStyle w:val="HeadSide20"/>
              <w:jc w:val="center"/>
            </w:pPr>
            <w:r w:rsidRPr="0088352E">
              <w:rPr>
                <w:noProof/>
              </w:rPr>
              <w:drawing>
                <wp:inline distT="0" distB="0" distL="0" distR="0">
                  <wp:extent cx="1391920" cy="543560"/>
                  <wp:effectExtent l="19050" t="0" r="0" b="0"/>
                  <wp:docPr id="14" name="Picture 54" descr="button_web.png">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button_web.png"/>
                          <pic:cNvPicPr>
                            <a:picLocks noChangeAspect="1" noChangeArrowheads="1"/>
                          </pic:cNvPicPr>
                        </pic:nvPicPr>
                        <pic:blipFill>
                          <a:blip r:embed="rId26" cstate="print"/>
                          <a:srcRect/>
                          <a:stretch>
                            <a:fillRect/>
                          </a:stretch>
                        </pic:blipFill>
                        <pic:spPr bwMode="auto">
                          <a:xfrm>
                            <a:off x="0" y="0"/>
                            <a:ext cx="1391920" cy="543560"/>
                          </a:xfrm>
                          <a:prstGeom prst="rect">
                            <a:avLst/>
                          </a:prstGeom>
                          <a:noFill/>
                          <a:ln w="9525">
                            <a:noFill/>
                            <a:miter lim="800000"/>
                            <a:headEnd/>
                            <a:tailEnd/>
                          </a:ln>
                        </pic:spPr>
                      </pic:pic>
                    </a:graphicData>
                  </a:graphic>
                </wp:inline>
              </w:drawing>
            </w:r>
            <w:r w:rsidRPr="00D34B6F">
              <w:t>ITE Trip Generation Handbook, Second Edition</w:t>
            </w:r>
          </w:p>
        </w:tc>
        <w:tc>
          <w:tcPr>
            <w:tcW w:w="7920" w:type="dxa"/>
          </w:tcPr>
          <w:p w:rsidR="00225952" w:rsidRDefault="00225952" w:rsidP="0088352E">
            <w:r>
              <w:t xml:space="preserve">After the number of trips has been estimated, the type of trips should also be addressed. The </w:t>
            </w:r>
            <w:r w:rsidRPr="009869F6">
              <w:rPr>
                <w:i/>
              </w:rPr>
              <w:t>Trip Generation Handbook</w:t>
            </w:r>
            <w:r>
              <w:t xml:space="preserve"> defines three basic types of trips generated by a development: primary, pass-by and diverted. </w:t>
            </w:r>
            <w:r w:rsidRPr="00D75D5D">
              <w:t xml:space="preserve">Exhibit </w:t>
            </w:r>
            <w:r w:rsidR="00784F8A">
              <w:t>15</w:t>
            </w:r>
            <w:r w:rsidR="0088352E">
              <w:t xml:space="preserve"> illustrates the types of trips</w:t>
            </w:r>
            <w:r>
              <w:t xml:space="preserve"> from the ITE </w:t>
            </w:r>
            <w:r w:rsidRPr="00341353">
              <w:rPr>
                <w:i/>
              </w:rPr>
              <w:t>Trip Generation Handbook, Second Edition</w:t>
            </w:r>
            <w:r>
              <w:rPr>
                <w:i/>
              </w:rPr>
              <w:t xml:space="preserve"> </w:t>
            </w:r>
            <w:r>
              <w:t>illustrates the trip types</w:t>
            </w:r>
            <w:r>
              <w:rPr>
                <w:i/>
              </w:rPr>
              <w:t>.</w:t>
            </w:r>
          </w:p>
        </w:tc>
      </w:tr>
      <w:tr w:rsidR="00225952" w:rsidRPr="00380CF5">
        <w:tc>
          <w:tcPr>
            <w:tcW w:w="2455" w:type="dxa"/>
          </w:tcPr>
          <w:p w:rsidR="005A3F7B" w:rsidRDefault="005A3F7B" w:rsidP="00225952">
            <w:pPr>
              <w:pStyle w:val="ExhibitNumber"/>
            </w:pPr>
            <w:bookmarkStart w:id="73" w:name="_Toc232341428"/>
            <w:bookmarkStart w:id="74" w:name="_Toc232346641"/>
          </w:p>
          <w:p w:rsidR="005A3F7B" w:rsidRDefault="005A3F7B" w:rsidP="00225952">
            <w:pPr>
              <w:pStyle w:val="ExhibitNumber"/>
            </w:pPr>
          </w:p>
          <w:p w:rsidR="00225952" w:rsidRPr="005862AE" w:rsidRDefault="00225952" w:rsidP="00225952">
            <w:pPr>
              <w:pStyle w:val="ExhibitNumber"/>
            </w:pPr>
            <w:r w:rsidRPr="005862AE">
              <w:t xml:space="preserve">Exhibit </w:t>
            </w:r>
            <w:r w:rsidR="00784F8A">
              <w:t>15</w:t>
            </w:r>
            <w:r w:rsidRPr="005862AE">
              <w:t xml:space="preserve"> </w:t>
            </w:r>
          </w:p>
          <w:p w:rsidR="00225952" w:rsidRDefault="00225952" w:rsidP="0088352E">
            <w:pPr>
              <w:pStyle w:val="ExhibitTitle"/>
            </w:pPr>
            <w:r w:rsidRPr="00B17135">
              <w:t>Types of Trips</w:t>
            </w:r>
            <w:r>
              <w:t xml:space="preserve"> </w:t>
            </w:r>
            <w:r>
              <w:br/>
              <w:t>Source: ITE</w:t>
            </w:r>
            <w:bookmarkEnd w:id="73"/>
            <w:bookmarkEnd w:id="74"/>
          </w:p>
          <w:p w:rsidR="00225952" w:rsidRDefault="00225952" w:rsidP="00225952">
            <w:pPr>
              <w:pStyle w:val="FigureTitle"/>
            </w:pPr>
          </w:p>
          <w:p w:rsidR="00225952" w:rsidRDefault="00225952" w:rsidP="00225952">
            <w:pPr>
              <w:pStyle w:val="FigureTitle"/>
            </w:pPr>
          </w:p>
        </w:tc>
        <w:tc>
          <w:tcPr>
            <w:tcW w:w="7920" w:type="dxa"/>
          </w:tcPr>
          <w:p w:rsidR="00225952" w:rsidRPr="0071581A" w:rsidRDefault="00225952" w:rsidP="00225952">
            <w:pPr>
              <w:spacing w:after="120"/>
              <w:rPr>
                <w:b/>
                <w:color w:val="FF0000"/>
              </w:rPr>
            </w:pPr>
            <w:r>
              <w:rPr>
                <w:noProof/>
              </w:rPr>
              <w:drawing>
                <wp:inline distT="0" distB="0" distL="0" distR="0">
                  <wp:extent cx="4580200" cy="2747407"/>
                  <wp:effectExtent l="19050" t="0" r="0" b="0"/>
                  <wp:docPr id="45" name="Picture 44" descr="Ex2-13TripTypes.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2-13TripTypes.emf"/>
                          <pic:cNvPicPr/>
                        </pic:nvPicPr>
                        <pic:blipFill>
                          <a:blip r:embed="rId88" cstate="print"/>
                          <a:stretch>
                            <a:fillRect/>
                          </a:stretch>
                        </pic:blipFill>
                        <pic:spPr>
                          <a:xfrm>
                            <a:off x="0" y="0"/>
                            <a:ext cx="4580200" cy="2747407"/>
                          </a:xfrm>
                          <a:prstGeom prst="rect">
                            <a:avLst/>
                          </a:prstGeom>
                        </pic:spPr>
                      </pic:pic>
                    </a:graphicData>
                  </a:graphic>
                </wp:inline>
              </w:drawing>
            </w:r>
            <w:r>
              <w:rPr>
                <w:noProof/>
              </w:rPr>
              <w:t xml:space="preserve"> </w:t>
            </w:r>
          </w:p>
        </w:tc>
      </w:tr>
      <w:tr w:rsidR="00225952" w:rsidRPr="00380CF5">
        <w:tc>
          <w:tcPr>
            <w:tcW w:w="2455" w:type="dxa"/>
          </w:tcPr>
          <w:p w:rsidR="00225952" w:rsidRDefault="001B7518" w:rsidP="00225952">
            <w:pPr>
              <w:pStyle w:val="Heading4"/>
              <w:jc w:val="both"/>
            </w:pPr>
            <w:r>
              <w:rPr>
                <w:b w:val="0"/>
                <w:bCs w:val="0"/>
              </w:rPr>
              <w:br w:type="page"/>
            </w:r>
            <w:r w:rsidR="00225952">
              <w:t>Primary Trips</w:t>
            </w:r>
            <w:r w:rsidR="00225952">
              <w:tab/>
            </w:r>
          </w:p>
        </w:tc>
        <w:tc>
          <w:tcPr>
            <w:tcW w:w="7920" w:type="dxa"/>
          </w:tcPr>
          <w:p w:rsidR="00225952" w:rsidRDefault="00225952" w:rsidP="0003540F">
            <w:pPr>
              <w:spacing w:after="120"/>
            </w:pPr>
            <w:r w:rsidRPr="00050494">
              <w:rPr>
                <w:b/>
              </w:rPr>
              <w:t>Primary trips</w:t>
            </w:r>
            <w:r w:rsidRPr="002844C0">
              <w:t xml:space="preserve"> are trips made for the specific purpose of visiting the generator</w:t>
            </w:r>
            <w:r>
              <w:t xml:space="preserve">. </w:t>
            </w:r>
            <w:r w:rsidRPr="002844C0">
              <w:t>The stop at the generator is the primary reason for the trip</w:t>
            </w:r>
            <w:r w:rsidRPr="00D75D5D">
              <w:t xml:space="preserve"> (</w:t>
            </w:r>
            <w:hyperlink r:id="rId89" w:history="1">
              <w:r w:rsidRPr="00D75D5D">
                <w:rPr>
                  <w:rStyle w:val="Hyperlink"/>
                </w:rPr>
                <w:t xml:space="preserve">ITE </w:t>
              </w:r>
              <w:r w:rsidRPr="00D75D5D">
                <w:rPr>
                  <w:rStyle w:val="Hyperlink"/>
                  <w:i/>
                </w:rPr>
                <w:t>Trip Generation Handbook, Second Edition</w:t>
              </w:r>
            </w:hyperlink>
            <w:r w:rsidRPr="00D75D5D">
              <w:t>)</w:t>
            </w:r>
            <w:r>
              <w:t xml:space="preserve">. </w:t>
            </w:r>
            <w:r w:rsidRPr="002844C0">
              <w:t xml:space="preserve"> Primary trips are new trips on the network.</w:t>
            </w:r>
          </w:p>
        </w:tc>
      </w:tr>
      <w:tr w:rsidR="00225952" w:rsidRPr="00380CF5">
        <w:tc>
          <w:tcPr>
            <w:tcW w:w="2455" w:type="dxa"/>
          </w:tcPr>
          <w:p w:rsidR="00225952" w:rsidRDefault="00225952" w:rsidP="00225952">
            <w:pPr>
              <w:pStyle w:val="Heading4"/>
            </w:pPr>
            <w:r w:rsidRPr="00050494">
              <w:t>Pass-by trips</w:t>
            </w:r>
            <w:r w:rsidRPr="00341353">
              <w:t xml:space="preserve"> </w:t>
            </w:r>
          </w:p>
        </w:tc>
        <w:tc>
          <w:tcPr>
            <w:tcW w:w="7920" w:type="dxa"/>
          </w:tcPr>
          <w:p w:rsidR="00225952" w:rsidRPr="00263666" w:rsidRDefault="00225952" w:rsidP="0003540F">
            <w:pPr>
              <w:spacing w:after="120"/>
            </w:pPr>
            <w:r w:rsidRPr="00050494">
              <w:rPr>
                <w:b/>
              </w:rPr>
              <w:t>Pass-by trips</w:t>
            </w:r>
            <w:r w:rsidRPr="00341353">
              <w:t xml:space="preserve"> are trips that are currently on the roadway system and pass directly by a generator on the way to the primary destination. These trips ar</w:t>
            </w:r>
            <w:r>
              <w:t xml:space="preserve">e involved in a “trip chain” of </w:t>
            </w:r>
            <w:r w:rsidRPr="00341353">
              <w:t>destinations with neither the origin nor the final destination of the primary trip being in the development. Pass-by trips are convenience-oriented; for example stopping to refuel a vehicle during a commute from work. Pass-by trips are applied only to retail-oriented land uses and would have traveled on the roadway adjacent to the retail land use even if the retail was not present.</w:t>
            </w:r>
          </w:p>
        </w:tc>
      </w:tr>
      <w:tr w:rsidR="00225952" w:rsidRPr="00380CF5">
        <w:tc>
          <w:tcPr>
            <w:tcW w:w="2455" w:type="dxa"/>
          </w:tcPr>
          <w:p w:rsidR="00225952" w:rsidRDefault="00225952" w:rsidP="00225952">
            <w:pPr>
              <w:pStyle w:val="Heading4"/>
            </w:pPr>
            <w:r>
              <w:rPr>
                <w:i/>
              </w:rPr>
              <w:br w:type="page"/>
            </w:r>
            <w:r w:rsidRPr="00050494">
              <w:t>Diverted trips</w:t>
            </w:r>
            <w:r w:rsidRPr="008A22C3">
              <w:rPr>
                <w:i/>
                <w:noProof/>
              </w:rPr>
              <w:t xml:space="preserve"> </w:t>
            </w:r>
          </w:p>
          <w:p w:rsidR="00225952" w:rsidRDefault="00225952" w:rsidP="00225952">
            <w:pPr>
              <w:pStyle w:val="SidebarSentence"/>
            </w:pPr>
          </w:p>
          <w:p w:rsidR="00225952" w:rsidRDefault="00225952" w:rsidP="00225952">
            <w:pPr>
              <w:pStyle w:val="SidebarSentence"/>
            </w:pPr>
            <w:r w:rsidRPr="005062FF">
              <w:t>With diverted trips, the total driveway volumes are not reduced. Diverted trips are counted as new trips where they travel on segments required to reach the site where they previously did not travel</w:t>
            </w:r>
          </w:p>
          <w:p w:rsidR="0088352E" w:rsidRPr="005062FF" w:rsidRDefault="0088352E" w:rsidP="00225952">
            <w:pPr>
              <w:pStyle w:val="SidebarSentence"/>
            </w:pPr>
          </w:p>
          <w:p w:rsidR="00225952" w:rsidRPr="005D3632" w:rsidRDefault="00225952" w:rsidP="00225952">
            <w:pPr>
              <w:pStyle w:val="SidebarSentence"/>
            </w:pPr>
            <w:r>
              <w:t xml:space="preserve">All rates should be </w:t>
            </w:r>
            <w:r w:rsidRPr="00F05CEC">
              <w:t>approved by</w:t>
            </w:r>
            <w:r>
              <w:t xml:space="preserve"> FDOT </w:t>
            </w:r>
          </w:p>
        </w:tc>
        <w:tc>
          <w:tcPr>
            <w:tcW w:w="7920" w:type="dxa"/>
          </w:tcPr>
          <w:p w:rsidR="00225952" w:rsidRDefault="00225952" w:rsidP="0003540F">
            <w:pPr>
              <w:spacing w:after="120"/>
            </w:pPr>
            <w:r w:rsidRPr="00050494">
              <w:rPr>
                <w:b/>
              </w:rPr>
              <w:t>Diverted trips</w:t>
            </w:r>
            <w:r w:rsidRPr="00050494">
              <w:t>, like pass-by trips, are not new to the system</w:t>
            </w:r>
            <w:r>
              <w:t>.</w:t>
            </w:r>
            <w:r w:rsidRPr="00050494">
              <w:t xml:space="preserve"> </w:t>
            </w:r>
            <w:r>
              <w:t>H</w:t>
            </w:r>
            <w:r w:rsidRPr="00050494">
              <w:t xml:space="preserve">owever, diverted trips are now </w:t>
            </w:r>
            <w:r>
              <w:t>using</w:t>
            </w:r>
            <w:r w:rsidRPr="00050494">
              <w:t xml:space="preserve"> a segment of the </w:t>
            </w:r>
            <w:r>
              <w:t xml:space="preserve">roadway </w:t>
            </w:r>
            <w:r w:rsidRPr="00050494">
              <w:t>system that</w:t>
            </w:r>
            <w:r>
              <w:t xml:space="preserve"> they previously were not. </w:t>
            </w:r>
            <w:r w:rsidRPr="00050494">
              <w:t xml:space="preserve"> Facilities that receive diverted trips may require analysis of the impacts of the development trips.</w:t>
            </w:r>
            <w:r>
              <w:t xml:space="preserve"> </w:t>
            </w:r>
          </w:p>
          <w:p w:rsidR="00225952" w:rsidRDefault="00225952" w:rsidP="0003540F">
            <w:pPr>
              <w:spacing w:after="120"/>
            </w:pPr>
            <w:r w:rsidRPr="00050494">
              <w:t xml:space="preserve">In most situations, no reduction is made for diverted trips because they tend to be difficult to account for. </w:t>
            </w:r>
            <w:r>
              <w:t>FDOT</w:t>
            </w:r>
            <w:r w:rsidRPr="00050494">
              <w:t xml:space="preserve"> may allow consideration of diverted trip impacts on a case-specific basis when there is a clear reason for doing so and the diversion can be reasonably estimated. For example, a reasonable case might be made for considering diverted trips in the analysis of a large commercial development proposed to be located adjacent to an Interstate interchange. If use of diverted trips were to be justified and supported by </w:t>
            </w:r>
            <w:r>
              <w:t>FDOT</w:t>
            </w:r>
            <w:r w:rsidRPr="00050494">
              <w:t xml:space="preserve"> in a situation such as the example above, then the diverted trips would be treated similar to pass-by trips on the segments where they would have existed before the diversion took place.</w:t>
            </w:r>
          </w:p>
          <w:p w:rsidR="00133E34" w:rsidRDefault="00133E34" w:rsidP="0003540F">
            <w:pPr>
              <w:spacing w:after="120"/>
            </w:pPr>
          </w:p>
          <w:p w:rsidR="00225952" w:rsidRPr="005D3632" w:rsidRDefault="00225952" w:rsidP="0003540F">
            <w:pPr>
              <w:spacing w:after="120"/>
              <w:rPr>
                <w:color w:val="000000"/>
              </w:rPr>
            </w:pPr>
            <w:r w:rsidRPr="00F05CEC">
              <w:rPr>
                <w:color w:val="000000"/>
              </w:rPr>
              <w:lastRenderedPageBreak/>
              <w:t xml:space="preserve">In all cases, pass-by and diverted trip rates </w:t>
            </w:r>
            <w:r>
              <w:rPr>
                <w:color w:val="000000"/>
              </w:rPr>
              <w:t>should</w:t>
            </w:r>
            <w:r w:rsidRPr="00F05CEC">
              <w:rPr>
                <w:color w:val="000000"/>
              </w:rPr>
              <w:t xml:space="preserve"> be justified by the applicant</w:t>
            </w:r>
            <w:r>
              <w:rPr>
                <w:color w:val="000000"/>
              </w:rPr>
              <w:t>,</w:t>
            </w:r>
            <w:r w:rsidRPr="00F05CEC">
              <w:rPr>
                <w:color w:val="000000"/>
              </w:rPr>
              <w:t xml:space="preserve"> approved by </w:t>
            </w:r>
            <w:r>
              <w:t>FDOT</w:t>
            </w:r>
            <w:r w:rsidRPr="00F05CEC">
              <w:rPr>
                <w:color w:val="000000"/>
              </w:rPr>
              <w:t xml:space="preserve"> </w:t>
            </w:r>
            <w:r>
              <w:rPr>
                <w:color w:val="000000"/>
              </w:rPr>
              <w:t>before</w:t>
            </w:r>
            <w:r w:rsidRPr="00F05CEC">
              <w:rPr>
                <w:color w:val="000000"/>
              </w:rPr>
              <w:t xml:space="preserve"> use</w:t>
            </w:r>
            <w:r>
              <w:rPr>
                <w:color w:val="000000"/>
              </w:rPr>
              <w:t>, and clearly documented in the analysis</w:t>
            </w:r>
            <w:r w:rsidRPr="00F05CEC">
              <w:rPr>
                <w:color w:val="000000"/>
              </w:rPr>
              <w:t>.</w:t>
            </w:r>
          </w:p>
        </w:tc>
      </w:tr>
      <w:tr w:rsidR="00225952" w:rsidRPr="00380CF5">
        <w:tc>
          <w:tcPr>
            <w:tcW w:w="2455" w:type="dxa"/>
          </w:tcPr>
          <w:p w:rsidR="00225952" w:rsidRPr="006135BA" w:rsidRDefault="00225952" w:rsidP="00225952">
            <w:pPr>
              <w:pStyle w:val="Heading4"/>
            </w:pPr>
            <w:r w:rsidRPr="006135BA">
              <w:lastRenderedPageBreak/>
              <w:t>Estimating the Number of Pass-by &amp; Diverted Trips</w:t>
            </w:r>
          </w:p>
          <w:p w:rsidR="00225952" w:rsidRDefault="00225952" w:rsidP="00225952"/>
          <w:p w:rsidR="00225952" w:rsidRDefault="00225952" w:rsidP="00225952">
            <w:pPr>
              <w:spacing w:after="0"/>
            </w:pPr>
            <w:r>
              <w:rPr>
                <w:noProof/>
              </w:rPr>
              <w:drawing>
                <wp:inline distT="0" distB="0" distL="0" distR="0">
                  <wp:extent cx="1388510" cy="545434"/>
                  <wp:effectExtent l="19050" t="0" r="2140" b="0"/>
                  <wp:docPr id="107" name="Picture 46" descr="button_present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button_presentation.png"/>
                          <pic:cNvPicPr>
                            <a:picLocks noChangeAspect="1" noChangeArrowheads="1"/>
                          </pic:cNvPicPr>
                        </pic:nvPicPr>
                        <pic:blipFill>
                          <a:blip r:embed="rId35" cstate="print"/>
                          <a:srcRect/>
                          <a:stretch>
                            <a:fillRect/>
                          </a:stretch>
                        </pic:blipFill>
                        <pic:spPr bwMode="auto">
                          <a:xfrm>
                            <a:off x="0" y="0"/>
                            <a:ext cx="1392028" cy="546816"/>
                          </a:xfrm>
                          <a:prstGeom prst="rect">
                            <a:avLst/>
                          </a:prstGeom>
                          <a:noFill/>
                          <a:ln w="9525">
                            <a:noFill/>
                            <a:miter lim="800000"/>
                            <a:headEnd/>
                            <a:tailEnd/>
                          </a:ln>
                        </pic:spPr>
                      </pic:pic>
                    </a:graphicData>
                  </a:graphic>
                </wp:inline>
              </w:drawing>
            </w:r>
          </w:p>
          <w:p w:rsidR="00225952" w:rsidRDefault="00225952" w:rsidP="00225952">
            <w:pPr>
              <w:pStyle w:val="HeadSide2"/>
              <w:jc w:val="center"/>
            </w:pPr>
            <w:r>
              <w:t>Pass-by Trips</w:t>
            </w:r>
          </w:p>
        </w:tc>
        <w:tc>
          <w:tcPr>
            <w:tcW w:w="7920" w:type="dxa"/>
          </w:tcPr>
          <w:p w:rsidR="00225952" w:rsidRDefault="00225952" w:rsidP="00225952">
            <w:r>
              <w:t xml:space="preserve">The </w:t>
            </w:r>
            <w:r w:rsidRPr="008B7820">
              <w:rPr>
                <w:i/>
              </w:rPr>
              <w:t>Trip Generation Handbook</w:t>
            </w:r>
            <w:r>
              <w:rPr>
                <w:i/>
              </w:rPr>
              <w:t>, Second Edition</w:t>
            </w:r>
            <w:r>
              <w:t xml:space="preserve"> provides pass by and diverted trip data for several different retail land uses. Guidance provided in the </w:t>
            </w:r>
            <w:r w:rsidRPr="008B7820">
              <w:rPr>
                <w:i/>
              </w:rPr>
              <w:t>Trip Generation Handbook</w:t>
            </w:r>
            <w:r>
              <w:rPr>
                <w:i/>
              </w:rPr>
              <w:t xml:space="preserve">, Second Edition, </w:t>
            </w:r>
            <w:r>
              <w:t xml:space="preserve"> suggests the following process for estimating pass-by trips:</w:t>
            </w:r>
          </w:p>
          <w:p w:rsidR="00225952" w:rsidRPr="00BD649F" w:rsidRDefault="00225952" w:rsidP="00BA4326">
            <w:pPr>
              <w:pStyle w:val="ListParagraph"/>
              <w:numPr>
                <w:ilvl w:val="0"/>
                <w:numId w:val="3"/>
              </w:numPr>
            </w:pPr>
            <w:r w:rsidRPr="001C07A6">
              <w:rPr>
                <w:rFonts w:cs="Book Antiqua"/>
              </w:rPr>
              <w:t>If a regression curve is provided, use the equation</w:t>
            </w:r>
            <w:r w:rsidRPr="001C07A6">
              <w:t xml:space="preserve"> as a starting point for estimating pass-by trips. Consider whether the data scatter at the size of the independent variable in question is representative of the project.</w:t>
            </w:r>
          </w:p>
          <w:p w:rsidR="00225952" w:rsidRPr="00BD649F" w:rsidRDefault="00225952" w:rsidP="00BA4326">
            <w:pPr>
              <w:pStyle w:val="ListParagraph"/>
              <w:numPr>
                <w:ilvl w:val="0"/>
                <w:numId w:val="3"/>
              </w:numPr>
            </w:pPr>
            <w:r w:rsidRPr="001C07A6">
              <w:t>If no regression equation is provided, the average pass-by rate could be used as a starting point for estimating pass-by trips if two criteria are met:</w:t>
            </w:r>
          </w:p>
          <w:p w:rsidR="00225952" w:rsidRPr="00BD649F" w:rsidRDefault="00225952" w:rsidP="00BA4326">
            <w:pPr>
              <w:pStyle w:val="ListParagraph"/>
              <w:numPr>
                <w:ilvl w:val="1"/>
                <w:numId w:val="3"/>
              </w:numPr>
            </w:pPr>
            <w:r w:rsidRPr="001C07A6">
              <w:t>The sample consists of three or more data points; and</w:t>
            </w:r>
          </w:p>
          <w:p w:rsidR="00225952" w:rsidRPr="00BD649F" w:rsidRDefault="00225952" w:rsidP="00BA4326">
            <w:pPr>
              <w:pStyle w:val="ListParagraph"/>
              <w:numPr>
                <w:ilvl w:val="1"/>
                <w:numId w:val="3"/>
              </w:numPr>
            </w:pPr>
            <w:r w:rsidRPr="001C07A6">
              <w:t>The size of the proposed development is within the range of data provided in the table or figure.</w:t>
            </w:r>
          </w:p>
          <w:p w:rsidR="00225952" w:rsidRDefault="00225952" w:rsidP="00225952">
            <w:pPr>
              <w:spacing w:after="120"/>
            </w:pPr>
            <w:r>
              <w:t xml:space="preserve">The decision on whether to use or adjust the average rate will be based on professional judgment.  The </w:t>
            </w:r>
            <w:r w:rsidRPr="008B7820">
              <w:rPr>
                <w:i/>
              </w:rPr>
              <w:t>Trip Generation Handbook, Second Edition</w:t>
            </w:r>
            <w:r>
              <w:rPr>
                <w:i/>
              </w:rPr>
              <w:t>,</w:t>
            </w:r>
            <w:r>
              <w:t xml:space="preserve"> notes that a review of the data or of “</w:t>
            </w:r>
            <w:r w:rsidRPr="008A22C3">
              <w:rPr>
                <w:i/>
              </w:rPr>
              <w:t>the data plot might indicate that the development site in question could be expected to have a slightly higher or lower pass-by rate due to its size, location, or proximity to through-traffic</w:t>
            </w:r>
            <w:r>
              <w:rPr>
                <w:i/>
              </w:rPr>
              <w:t>.</w:t>
            </w:r>
            <w:r>
              <w:t>” If the data does not meet the above criteria, local data should be collected to supplement the existing data.</w:t>
            </w:r>
          </w:p>
        </w:tc>
      </w:tr>
      <w:tr w:rsidR="00225952" w:rsidRPr="00380CF5">
        <w:tc>
          <w:tcPr>
            <w:tcW w:w="2455" w:type="dxa"/>
          </w:tcPr>
          <w:p w:rsidR="00225952" w:rsidRPr="006135BA" w:rsidRDefault="00225952" w:rsidP="00225952">
            <w:pPr>
              <w:pStyle w:val="Heading4"/>
            </w:pPr>
            <w:r w:rsidRPr="006135BA">
              <w:t>Pass-by Trip Impacts</w:t>
            </w:r>
          </w:p>
          <w:p w:rsidR="00225952" w:rsidRPr="006135BA" w:rsidRDefault="00225952" w:rsidP="00225952">
            <w:pPr>
              <w:pStyle w:val="Heading4"/>
            </w:pPr>
          </w:p>
        </w:tc>
        <w:tc>
          <w:tcPr>
            <w:tcW w:w="7920" w:type="dxa"/>
          </w:tcPr>
          <w:p w:rsidR="00225952" w:rsidRDefault="00225952">
            <w:r>
              <w:t>Properly estimating the number of pass-by trips is important because even though they do not add extra trips to the surrounding roadway system, they do impact the traffic at the driveways and all the turning movements expected at these driveways.</w:t>
            </w:r>
          </w:p>
        </w:tc>
      </w:tr>
      <w:tr w:rsidR="00225952" w:rsidRPr="00380CF5">
        <w:tc>
          <w:tcPr>
            <w:tcW w:w="2455" w:type="dxa"/>
          </w:tcPr>
          <w:p w:rsidR="00225952" w:rsidRPr="005D505B" w:rsidRDefault="00225952" w:rsidP="00225952">
            <w:pPr>
              <w:rPr>
                <w:rFonts w:cs="Book Antiqua"/>
                <w:szCs w:val="23"/>
              </w:rPr>
            </w:pPr>
          </w:p>
          <w:p w:rsidR="00225952" w:rsidRPr="005D505B" w:rsidRDefault="00225952" w:rsidP="0088352E">
            <w:pPr>
              <w:pStyle w:val="HeadSide20"/>
            </w:pPr>
            <w:r w:rsidRPr="008A22C3">
              <w:t>The number of pass-by trips is calculated after accounting for internal trips</w:t>
            </w:r>
          </w:p>
        </w:tc>
        <w:tc>
          <w:tcPr>
            <w:tcW w:w="7920" w:type="dxa"/>
          </w:tcPr>
          <w:p w:rsidR="00225952" w:rsidRPr="005D505B" w:rsidRDefault="00225952" w:rsidP="00BA4326">
            <w:pPr>
              <w:pStyle w:val="ListParagraph"/>
              <w:numPr>
                <w:ilvl w:val="0"/>
                <w:numId w:val="4"/>
              </w:numPr>
              <w:rPr>
                <w:szCs w:val="23"/>
              </w:rPr>
            </w:pPr>
            <w:r w:rsidRPr="008A22C3">
              <w:rPr>
                <w:szCs w:val="23"/>
              </w:rPr>
              <w:t>Pass-by trips reduce the number of new trips on the roadway network, however, site driveway volumes are not reduced by pass-by trips;</w:t>
            </w:r>
          </w:p>
          <w:p w:rsidR="00225952" w:rsidRPr="005D505B" w:rsidRDefault="00225952" w:rsidP="00BA4326">
            <w:pPr>
              <w:pStyle w:val="ListParagraph"/>
              <w:numPr>
                <w:ilvl w:val="0"/>
                <w:numId w:val="4"/>
              </w:numPr>
              <w:rPr>
                <w:szCs w:val="23"/>
              </w:rPr>
            </w:pPr>
            <w:r w:rsidRPr="008A22C3">
              <w:rPr>
                <w:szCs w:val="23"/>
              </w:rPr>
              <w:t>The percentage of trips that can be classified as pass-by for a site will vary by the type of land use, time of day, type and volume of traffic carried on the adjacent street, and the size of development;</w:t>
            </w:r>
          </w:p>
          <w:p w:rsidR="00225952" w:rsidRPr="005D505B" w:rsidRDefault="00225952" w:rsidP="00BA4326">
            <w:pPr>
              <w:pStyle w:val="ListParagraph"/>
              <w:numPr>
                <w:ilvl w:val="0"/>
                <w:numId w:val="4"/>
              </w:numPr>
              <w:rPr>
                <w:szCs w:val="23"/>
              </w:rPr>
            </w:pPr>
            <w:r w:rsidRPr="008A22C3">
              <w:rPr>
                <w:szCs w:val="23"/>
              </w:rPr>
              <w:t>Credit for pass-by trips is usually only allowed for retail and some commercial land uses such as fast-food restaurants with drive-through windows, service stations, and drive-in banks; and</w:t>
            </w:r>
          </w:p>
          <w:p w:rsidR="00225952" w:rsidRPr="005D505B" w:rsidRDefault="00225952" w:rsidP="00BA4326">
            <w:pPr>
              <w:pStyle w:val="ListParagraph"/>
              <w:numPr>
                <w:ilvl w:val="0"/>
                <w:numId w:val="4"/>
              </w:numPr>
              <w:rPr>
                <w:szCs w:val="23"/>
              </w:rPr>
            </w:pPr>
            <w:r w:rsidRPr="008A22C3">
              <w:rPr>
                <w:szCs w:val="23"/>
              </w:rPr>
              <w:t xml:space="preserve">The number of pass-by trips is calculated </w:t>
            </w:r>
            <w:r w:rsidRPr="008A22C3">
              <w:rPr>
                <w:b/>
                <w:szCs w:val="23"/>
              </w:rPr>
              <w:t>after</w:t>
            </w:r>
            <w:r w:rsidRPr="008A22C3">
              <w:rPr>
                <w:szCs w:val="23"/>
              </w:rPr>
              <w:t xml:space="preserve"> accounting for internal trips (Total Site Trip Generation – Internal Trips = External Trips; apply pass-by reduction to External Trips).</w:t>
            </w:r>
          </w:p>
        </w:tc>
      </w:tr>
      <w:tr w:rsidR="00225952" w:rsidRPr="00380CF5">
        <w:tc>
          <w:tcPr>
            <w:tcW w:w="2455" w:type="dxa"/>
          </w:tcPr>
          <w:p w:rsidR="00225952" w:rsidRDefault="00225952" w:rsidP="005A3F7B">
            <w:pPr>
              <w:pStyle w:val="SidebarSentence"/>
            </w:pPr>
            <w:r>
              <w:t xml:space="preserve">Pass-by rates should be approved by FDOT </w:t>
            </w:r>
            <w:r>
              <w:lastRenderedPageBreak/>
              <w:t>prior to use</w:t>
            </w:r>
          </w:p>
        </w:tc>
        <w:tc>
          <w:tcPr>
            <w:tcW w:w="7920" w:type="dxa"/>
          </w:tcPr>
          <w:p w:rsidR="00225952" w:rsidRDefault="00225952" w:rsidP="00225952">
            <w:pPr>
              <w:spacing w:after="120"/>
            </w:pPr>
            <w:r>
              <w:lastRenderedPageBreak/>
              <w:t xml:space="preserve">In all cases, pass-by rates should be justified by the applicant and approved by </w:t>
            </w:r>
            <w:r>
              <w:lastRenderedPageBreak/>
              <w:t xml:space="preserve">FDOT prior to use. The pass-by trips estimated in the trip generation step are preliminary. Final pass-by trips are estimated following trip assignment when the number of pass-by trips considered can be compared with the total traffic on the facility. Proper application of pass-by trips requires that the following check for a reasonableness or “common sense” check, involving </w:t>
            </w:r>
            <w:r>
              <w:rPr>
                <w:rFonts w:cs="Book Antiqua"/>
              </w:rPr>
              <w:t xml:space="preserve">a comparison of the </w:t>
            </w:r>
            <w:r w:rsidRPr="005D3632">
              <w:rPr>
                <w:rFonts w:cs="Book Antiqua"/>
              </w:rPr>
              <w:t xml:space="preserve">number of pass-by trips </w:t>
            </w:r>
            <w:r>
              <w:rPr>
                <w:rFonts w:cs="Book Antiqua"/>
              </w:rPr>
              <w:t xml:space="preserve">and assuring that </w:t>
            </w:r>
            <w:r w:rsidRPr="005D3632">
              <w:rPr>
                <w:rFonts w:cs="Book Antiqua"/>
              </w:rPr>
              <w:t>not exceed 10 percent o</w:t>
            </w:r>
            <w:r>
              <w:t>f the adjacent street traffic volume during the peak hour.  This is explained in the next section.</w:t>
            </w:r>
          </w:p>
        </w:tc>
      </w:tr>
      <w:tr w:rsidR="00225952" w:rsidRPr="00380CF5" w:rsidTr="00225952">
        <w:tc>
          <w:tcPr>
            <w:tcW w:w="10375" w:type="dxa"/>
            <w:gridSpan w:val="2"/>
          </w:tcPr>
          <w:p w:rsidR="00225952" w:rsidRDefault="001B7518" w:rsidP="00225952">
            <w:pPr>
              <w:pStyle w:val="Heading3"/>
            </w:pPr>
            <w:r>
              <w:rPr>
                <w:b w:val="0"/>
                <w:bCs w:val="0"/>
              </w:rPr>
              <w:lastRenderedPageBreak/>
              <w:br w:type="page"/>
            </w:r>
            <w:bookmarkStart w:id="75" w:name="_Toc264274088"/>
            <w:r w:rsidR="006B7F55">
              <w:t>2.5</w:t>
            </w:r>
            <w:r w:rsidR="00225952">
              <w:t xml:space="preserve">.7  Explanation of the </w:t>
            </w:r>
            <w:r w:rsidR="00225952" w:rsidRPr="006135BA">
              <w:t>10 Percent of the Adjacent Street Traffic</w:t>
            </w:r>
            <w:bookmarkEnd w:id="75"/>
          </w:p>
        </w:tc>
      </w:tr>
      <w:tr w:rsidR="00225952" w:rsidRPr="00380CF5" w:rsidTr="00225952">
        <w:trPr>
          <w:trHeight w:val="4725"/>
        </w:trPr>
        <w:tc>
          <w:tcPr>
            <w:tcW w:w="2455" w:type="dxa"/>
          </w:tcPr>
          <w:p w:rsidR="00225952" w:rsidRPr="006135BA" w:rsidRDefault="00225952" w:rsidP="00225952">
            <w:pPr>
              <w:pStyle w:val="Heading3"/>
            </w:pPr>
          </w:p>
        </w:tc>
        <w:tc>
          <w:tcPr>
            <w:tcW w:w="7920" w:type="dxa"/>
          </w:tcPr>
          <w:p w:rsidR="00225952" w:rsidRDefault="00225952">
            <w:r>
              <w:t xml:space="preserve">The FDOT-approved methodology for determining the 10 percent, divides the total pass-by trip reduction by the adjacent-street traffic volume and ensures the resulting Pass-by volume is less than 10 percent of the adjacent street traffic.  This calculation would become more complex when the development is served by more than one arterial roadway. Another consideration is the availability of median openings directly serving the property. This 10 percent is a rule-of-thumb and not a statistically studied factor.  It should be used as a measure of reasonableness only. </w:t>
            </w:r>
          </w:p>
          <w:p w:rsidR="00225952" w:rsidRDefault="00225952" w:rsidP="00225952">
            <w:r>
              <w:t>Historically, some applicants and reviewers determined the maximum allowable pass-by trips by taking 10 percent of the adjacent-street traffic and allowing this number of trips to enter and then exit the retail development. FDOT does not accept this method because it results in up to 20 percent of adjacent street traffic to be subtracted from the base trip generation as pass-by trips.</w:t>
            </w:r>
          </w:p>
        </w:tc>
      </w:tr>
      <w:tr w:rsidR="00225952" w:rsidRPr="00380CF5">
        <w:tc>
          <w:tcPr>
            <w:tcW w:w="2455" w:type="dxa"/>
          </w:tcPr>
          <w:p w:rsidR="00225952" w:rsidRDefault="00225952" w:rsidP="00225952">
            <w:pPr>
              <w:pStyle w:val="Heading4"/>
            </w:pPr>
            <w:r w:rsidRPr="006135BA">
              <w:t>Example</w:t>
            </w:r>
          </w:p>
        </w:tc>
        <w:tc>
          <w:tcPr>
            <w:tcW w:w="7920" w:type="dxa"/>
          </w:tcPr>
          <w:p w:rsidR="00225952" w:rsidRPr="00C07DF5" w:rsidRDefault="00225952">
            <w:pPr>
              <w:spacing w:after="120"/>
              <w:rPr>
                <w:szCs w:val="23"/>
              </w:rPr>
            </w:pPr>
            <w:r w:rsidRPr="0088352E">
              <w:rPr>
                <w:i/>
                <w:szCs w:val="23"/>
              </w:rPr>
              <w:t>Proposed:</w:t>
            </w:r>
            <w:r w:rsidRPr="00F902E3">
              <w:rPr>
                <w:szCs w:val="23"/>
              </w:rPr>
              <w:t xml:space="preserve"> 500,000 gross square feet of shopping</w:t>
            </w:r>
          </w:p>
          <w:p w:rsidR="00225952" w:rsidRPr="00C07DF5" w:rsidRDefault="00225952" w:rsidP="0088352E">
            <w:pPr>
              <w:spacing w:after="120"/>
              <w:ind w:left="720"/>
              <w:rPr>
                <w:szCs w:val="23"/>
              </w:rPr>
            </w:pPr>
            <w:r w:rsidRPr="00F902E3">
              <w:rPr>
                <w:szCs w:val="23"/>
              </w:rPr>
              <w:t>1,811 peak-hour generation (</w:t>
            </w:r>
            <w:r w:rsidRPr="00F902E3">
              <w:rPr>
                <w:i/>
                <w:szCs w:val="23"/>
              </w:rPr>
              <w:t>7</w:t>
            </w:r>
            <w:r w:rsidRPr="00F902E3">
              <w:rPr>
                <w:i/>
                <w:szCs w:val="23"/>
                <w:vertAlign w:val="superscript"/>
              </w:rPr>
              <w:t>th</w:t>
            </w:r>
            <w:r w:rsidRPr="00F902E3">
              <w:rPr>
                <w:i/>
                <w:szCs w:val="23"/>
              </w:rPr>
              <w:t xml:space="preserve"> Edition Trip Generation</w:t>
            </w:r>
            <w:r w:rsidRPr="00F902E3">
              <w:rPr>
                <w:szCs w:val="23"/>
              </w:rPr>
              <w:t>)</w:t>
            </w:r>
          </w:p>
          <w:p w:rsidR="00225952" w:rsidRPr="00C07DF5" w:rsidRDefault="00225952" w:rsidP="0088352E">
            <w:pPr>
              <w:spacing w:after="120"/>
              <w:ind w:left="720"/>
              <w:rPr>
                <w:szCs w:val="23"/>
              </w:rPr>
            </w:pPr>
            <w:r w:rsidRPr="00F902E3">
              <w:rPr>
                <w:szCs w:val="23"/>
              </w:rPr>
              <w:t xml:space="preserve">869 entering, 942 exiting (48%/52% split from </w:t>
            </w:r>
            <w:r w:rsidRPr="00F902E3">
              <w:rPr>
                <w:i/>
                <w:szCs w:val="23"/>
              </w:rPr>
              <w:t>Trip Generation</w:t>
            </w:r>
            <w:r w:rsidRPr="00F902E3">
              <w:rPr>
                <w:szCs w:val="23"/>
              </w:rPr>
              <w:t>)</w:t>
            </w:r>
          </w:p>
          <w:p w:rsidR="00225952" w:rsidRPr="00C07DF5" w:rsidRDefault="00225952" w:rsidP="0088352E">
            <w:pPr>
              <w:spacing w:after="120"/>
              <w:ind w:left="720"/>
              <w:rPr>
                <w:szCs w:val="23"/>
              </w:rPr>
            </w:pPr>
            <w:r w:rsidRPr="00F902E3">
              <w:rPr>
                <w:szCs w:val="23"/>
              </w:rPr>
              <w:t>24% pass-by reduction (</w:t>
            </w:r>
            <w:r w:rsidRPr="00F902E3">
              <w:rPr>
                <w:i/>
                <w:szCs w:val="23"/>
              </w:rPr>
              <w:t>Trip Generation Handbook</w:t>
            </w:r>
            <w:r w:rsidRPr="00F902E3">
              <w:rPr>
                <w:szCs w:val="23"/>
              </w:rPr>
              <w:t>)</w:t>
            </w:r>
          </w:p>
          <w:p w:rsidR="00225952" w:rsidRPr="00C07DF5" w:rsidRDefault="00225952" w:rsidP="0088352E">
            <w:pPr>
              <w:spacing w:after="120"/>
              <w:ind w:left="720"/>
              <w:rPr>
                <w:szCs w:val="23"/>
              </w:rPr>
            </w:pPr>
            <w:r w:rsidRPr="00F902E3">
              <w:rPr>
                <w:szCs w:val="23"/>
              </w:rPr>
              <w:t>= 435 pass-by trip ends (209 entering, 226 exiting)</w:t>
            </w:r>
          </w:p>
          <w:p w:rsidR="00225952" w:rsidRPr="00C07DF5" w:rsidRDefault="00225952" w:rsidP="0088352E">
            <w:pPr>
              <w:spacing w:after="120"/>
              <w:ind w:left="720"/>
              <w:rPr>
                <w:szCs w:val="23"/>
              </w:rPr>
            </w:pPr>
            <w:r w:rsidRPr="00F902E3">
              <w:rPr>
                <w:szCs w:val="23"/>
              </w:rPr>
              <w:t>Adjacent street traffic volume (peak-hour two-way): 3,000</w:t>
            </w:r>
          </w:p>
          <w:p w:rsidR="00225952" w:rsidRDefault="00225952" w:rsidP="0088352E">
            <w:pPr>
              <w:spacing w:after="120"/>
              <w:ind w:left="720"/>
            </w:pPr>
            <w:r w:rsidRPr="00F902E3">
              <w:rPr>
                <w:szCs w:val="23"/>
              </w:rPr>
              <w:t>10% of adjacent street traffic = 300</w:t>
            </w:r>
          </w:p>
        </w:tc>
      </w:tr>
      <w:tr w:rsidR="00225952" w:rsidRPr="00380CF5">
        <w:tc>
          <w:tcPr>
            <w:tcW w:w="2455" w:type="dxa"/>
          </w:tcPr>
          <w:p w:rsidR="00225952" w:rsidRPr="006135BA" w:rsidRDefault="00225952" w:rsidP="00225952">
            <w:pPr>
              <w:pStyle w:val="Heading3"/>
            </w:pPr>
          </w:p>
        </w:tc>
        <w:tc>
          <w:tcPr>
            <w:tcW w:w="7920" w:type="dxa"/>
          </w:tcPr>
          <w:p w:rsidR="00225952" w:rsidRDefault="00225952" w:rsidP="00784F8A">
            <w:r>
              <w:t>Because the calculated number of pass-by trips (435) exceeds 10 percent of the adjacent street traffic (300), the number of pass-by trips should be reduced to 300 and the directional split re-applied</w:t>
            </w:r>
            <w:r w:rsidRPr="00D75D5D">
              <w:t xml:space="preserve">. Exhibit </w:t>
            </w:r>
            <w:r w:rsidR="00784F8A">
              <w:t xml:space="preserve">16 </w:t>
            </w:r>
            <w:r>
              <w:t xml:space="preserve"> illustrates the correct methodology.  This same method can be used for more than one roadway, only the calculations will be more complex.</w:t>
            </w:r>
          </w:p>
        </w:tc>
      </w:tr>
      <w:tr w:rsidR="00225952" w:rsidRPr="00380CF5">
        <w:tc>
          <w:tcPr>
            <w:tcW w:w="2455" w:type="dxa"/>
          </w:tcPr>
          <w:p w:rsidR="00225952" w:rsidRPr="005862AE" w:rsidRDefault="00225952" w:rsidP="001B7518">
            <w:pPr>
              <w:pStyle w:val="Exhibit"/>
            </w:pPr>
            <w:r w:rsidRPr="005862AE">
              <w:lastRenderedPageBreak/>
              <w:t xml:space="preserve">Exhibit </w:t>
            </w:r>
            <w:r w:rsidR="00784F8A">
              <w:t>16</w:t>
            </w:r>
          </w:p>
          <w:p w:rsidR="00225952" w:rsidRDefault="00225952" w:rsidP="001B7518">
            <w:pPr>
              <w:pStyle w:val="ExhibitTitle"/>
            </w:pPr>
            <w:r w:rsidRPr="00D75D5D">
              <w:t>Application of 10 Percent Pass-by Trips</w:t>
            </w:r>
          </w:p>
        </w:tc>
        <w:tc>
          <w:tcPr>
            <w:tcW w:w="7920" w:type="dxa"/>
          </w:tcPr>
          <w:p w:rsidR="00225952" w:rsidRDefault="005A3F7B" w:rsidP="00225952">
            <w:r>
              <w:rPr>
                <w:noProof/>
              </w:rPr>
              <w:drawing>
                <wp:inline distT="0" distB="0" distL="0" distR="0">
                  <wp:extent cx="4892040" cy="4723712"/>
                  <wp:effectExtent l="0" t="0" r="0" b="0"/>
                  <wp:docPr id="562" name="Picture 561" descr="Ex16Passby.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16Passby.emf"/>
                          <pic:cNvPicPr/>
                        </pic:nvPicPr>
                        <pic:blipFill>
                          <a:blip r:embed="rId90" cstate="print"/>
                          <a:stretch>
                            <a:fillRect/>
                          </a:stretch>
                        </pic:blipFill>
                        <pic:spPr>
                          <a:xfrm>
                            <a:off x="0" y="0"/>
                            <a:ext cx="4892040" cy="4723712"/>
                          </a:xfrm>
                          <a:prstGeom prst="rect">
                            <a:avLst/>
                          </a:prstGeom>
                        </pic:spPr>
                      </pic:pic>
                    </a:graphicData>
                  </a:graphic>
                </wp:inline>
              </w:drawing>
            </w:r>
          </w:p>
        </w:tc>
      </w:tr>
      <w:tr w:rsidR="00225952" w:rsidRPr="00380CF5">
        <w:tc>
          <w:tcPr>
            <w:tcW w:w="2455" w:type="dxa"/>
          </w:tcPr>
          <w:p w:rsidR="00225952" w:rsidRPr="006135BA" w:rsidRDefault="00225952" w:rsidP="00225952">
            <w:pPr>
              <w:pStyle w:val="Heading4"/>
            </w:pPr>
            <w:r w:rsidRPr="006135BA">
              <w:t>Pass-by Trip Assignment</w:t>
            </w:r>
          </w:p>
          <w:p w:rsidR="00225952" w:rsidRPr="006135BA" w:rsidRDefault="00225952" w:rsidP="00225952">
            <w:pPr>
              <w:pStyle w:val="Heading4"/>
            </w:pPr>
          </w:p>
        </w:tc>
        <w:tc>
          <w:tcPr>
            <w:tcW w:w="7920" w:type="dxa"/>
          </w:tcPr>
          <w:p w:rsidR="00225952" w:rsidRDefault="00225952">
            <w:r>
              <w:t xml:space="preserve">Pass-by trips are assigned to the development’s driveways based on local knowledge of expected trip patterns and traffic volumes. When considering pass-by trips, the distribution of driveway volumes may change and be related to the street traffic. The analysis of pass-by trips should occur in two steps: </w:t>
            </w:r>
          </w:p>
          <w:p w:rsidR="00225952" w:rsidRDefault="00225952" w:rsidP="008D2D1A">
            <w:pPr>
              <w:numPr>
                <w:ilvl w:val="0"/>
                <w:numId w:val="20"/>
              </w:numPr>
              <w:rPr>
                <w:rFonts w:ascii="Georgia" w:hAnsi="Georgia"/>
              </w:rPr>
            </w:pPr>
            <w:r>
              <w:t xml:space="preserve">Determine the number of new trips and pass-by trips for the site, </w:t>
            </w:r>
          </w:p>
          <w:p w:rsidR="00225952" w:rsidRPr="00FB3382" w:rsidRDefault="00225952" w:rsidP="008D2D1A">
            <w:pPr>
              <w:numPr>
                <w:ilvl w:val="0"/>
                <w:numId w:val="20"/>
              </w:numPr>
              <w:rPr>
                <w:rFonts w:ascii="Georgia" w:hAnsi="Georgia"/>
              </w:rPr>
            </w:pPr>
            <w:r>
              <w:t xml:space="preserve">Then assign the pass-by trips in proportion to the street traffic and the driveways, and then assign the new trips in accordance with standard trip distribution procedures. </w:t>
            </w:r>
            <w:r w:rsidRPr="007D498A">
              <w:t>Once the number of pass-by trips is determined, the</w:t>
            </w:r>
            <w:r>
              <w:t>i</w:t>
            </w:r>
            <w:r w:rsidRPr="007D498A">
              <w:t xml:space="preserve">r assignment </w:t>
            </w:r>
            <w:r>
              <w:t>should</w:t>
            </w:r>
            <w:r w:rsidRPr="007D498A">
              <w:t xml:space="preserve"> be prepared in a way that reflects local travel patter</w:t>
            </w:r>
            <w:r>
              <w:t>n</w:t>
            </w:r>
            <w:r w:rsidRPr="007D498A">
              <w:t xml:space="preserve">s. </w:t>
            </w:r>
          </w:p>
          <w:p w:rsidR="00225952" w:rsidRDefault="00225952"/>
          <w:p w:rsidR="00225952" w:rsidRDefault="00225952">
            <w:pPr>
              <w:rPr>
                <w:rFonts w:ascii="Georgia" w:hAnsi="Georgia"/>
              </w:rPr>
            </w:pPr>
          </w:p>
        </w:tc>
      </w:tr>
    </w:tbl>
    <w:p w:rsidR="001B7518" w:rsidRDefault="001B7518">
      <w:r>
        <w:rPr>
          <w:b/>
          <w:bCs/>
        </w:rPr>
        <w:br w:type="page"/>
      </w:r>
    </w:p>
    <w:tbl>
      <w:tblPr>
        <w:tblW w:w="10375" w:type="dxa"/>
        <w:tblLayout w:type="fixed"/>
        <w:tblLook w:val="0000"/>
      </w:tblPr>
      <w:tblGrid>
        <w:gridCol w:w="2455"/>
        <w:gridCol w:w="7920"/>
      </w:tblGrid>
      <w:tr w:rsidR="00225952" w:rsidRPr="00380CF5" w:rsidTr="00225952">
        <w:tc>
          <w:tcPr>
            <w:tcW w:w="10375" w:type="dxa"/>
            <w:gridSpan w:val="2"/>
          </w:tcPr>
          <w:p w:rsidR="00225952" w:rsidRDefault="006B7F55" w:rsidP="00225952">
            <w:pPr>
              <w:pStyle w:val="Heading3"/>
            </w:pPr>
            <w:bookmarkStart w:id="76" w:name="_Toc264274089"/>
            <w:r>
              <w:lastRenderedPageBreak/>
              <w:t>2.5</w:t>
            </w:r>
            <w:r w:rsidR="00225952">
              <w:t xml:space="preserve">.8  </w:t>
            </w:r>
            <w:r w:rsidR="00225952" w:rsidRPr="006135BA">
              <w:t>Pass-by Trips and Model Volumes</w:t>
            </w:r>
            <w:bookmarkEnd w:id="76"/>
          </w:p>
        </w:tc>
      </w:tr>
      <w:tr w:rsidR="00225952" w:rsidRPr="00380CF5">
        <w:tc>
          <w:tcPr>
            <w:tcW w:w="2455" w:type="dxa"/>
          </w:tcPr>
          <w:p w:rsidR="00225952" w:rsidRDefault="00225952" w:rsidP="00225952">
            <w:pPr>
              <w:pStyle w:val="SidebarSentence"/>
            </w:pPr>
          </w:p>
          <w:p w:rsidR="00225952" w:rsidRDefault="00225952" w:rsidP="00225952">
            <w:pPr>
              <w:pStyle w:val="SidebarSentence"/>
            </w:pPr>
          </w:p>
          <w:p w:rsidR="00225952" w:rsidRDefault="00225952" w:rsidP="00225952">
            <w:pPr>
              <w:pStyle w:val="SidebarSentence"/>
            </w:pPr>
            <w:r>
              <w:t>Special generators modeling using FSUTMS should be based on total external trip generation before any pass-by trip reduction</w:t>
            </w:r>
          </w:p>
        </w:tc>
        <w:tc>
          <w:tcPr>
            <w:tcW w:w="7920" w:type="dxa"/>
          </w:tcPr>
          <w:p w:rsidR="00225952" w:rsidRDefault="00225952" w:rsidP="00225952">
            <w:pPr>
              <w:spacing w:after="120"/>
            </w:pPr>
            <w:r>
              <w:t xml:space="preserve">FSUTMS-based travel demand models are sometimes used to develop traffic estimates. Because site trips will tend to displace non-site trips  when comparing a “with and without” site trip modeling process,  special generator modeling using FSUTMS should be based on total external trip generation before any pass-by trip reduction. Trip assignments are run with and without site development (identifying total and development related trips on all links). Pass-by trips can then be deducted from the site development volumes on the highway network links (though the pass-by trips should remain at the site driveways). </w:t>
            </w:r>
            <w:r w:rsidRPr="0079547A">
              <w:t xml:space="preserve">In all cases, pass-by and diverted trip rates </w:t>
            </w:r>
            <w:r>
              <w:t>should</w:t>
            </w:r>
            <w:r w:rsidRPr="0079547A">
              <w:t xml:space="preserve"> be justified by the applicant and approved by </w:t>
            </w:r>
            <w:r>
              <w:t>FDOT</w:t>
            </w:r>
            <w:r w:rsidRPr="0079547A">
              <w:t xml:space="preserve"> prior to use.</w:t>
            </w:r>
          </w:p>
        </w:tc>
      </w:tr>
      <w:tr w:rsidR="00225952" w:rsidRPr="00380CF5">
        <w:tc>
          <w:tcPr>
            <w:tcW w:w="2455" w:type="dxa"/>
          </w:tcPr>
          <w:p w:rsidR="00225952" w:rsidRDefault="00225952" w:rsidP="00225952">
            <w:pPr>
              <w:pStyle w:val="Heading4"/>
            </w:pPr>
            <w:r w:rsidRPr="006135BA">
              <w:t>Model Method of Analysis for Trip Generation</w:t>
            </w:r>
          </w:p>
          <w:p w:rsidR="00225952" w:rsidRDefault="00225952" w:rsidP="00225952">
            <w:pPr>
              <w:pStyle w:val="SidebarSentence"/>
            </w:pPr>
          </w:p>
          <w:p w:rsidR="00225952" w:rsidRDefault="00225952" w:rsidP="00225952">
            <w:pPr>
              <w:pStyle w:val="SidebarSentence"/>
            </w:pPr>
          </w:p>
          <w:p w:rsidR="00225952" w:rsidRPr="00A32381" w:rsidRDefault="00225952" w:rsidP="00225952">
            <w:pPr>
              <w:pStyle w:val="SidebarSentence"/>
            </w:pPr>
          </w:p>
        </w:tc>
        <w:tc>
          <w:tcPr>
            <w:tcW w:w="7920" w:type="dxa"/>
          </w:tcPr>
          <w:p w:rsidR="00225952" w:rsidRDefault="00225952">
            <w:pPr>
              <w:spacing w:after="120"/>
            </w:pPr>
            <w:r w:rsidRPr="0079547A">
              <w:t xml:space="preserve">The model method of site impact analysis typically uses an adopted regional travel demand model </w:t>
            </w:r>
            <w:r>
              <w:t xml:space="preserve">for </w:t>
            </w:r>
            <w:r w:rsidRPr="0079547A">
              <w:t xml:space="preserve">development generated trips. </w:t>
            </w:r>
            <w:r w:rsidRPr="00A32381">
              <w:t xml:space="preserve">Model trip generation estimations </w:t>
            </w:r>
            <w:r>
              <w:t xml:space="preserve">of the site being studied </w:t>
            </w:r>
            <w:r w:rsidRPr="00A32381">
              <w:t>should be adjusted to match estimations from ITE’s</w:t>
            </w:r>
            <w:r w:rsidRPr="0079547A">
              <w:t xml:space="preserve"> </w:t>
            </w:r>
            <w:r>
              <w:t>T</w:t>
            </w:r>
            <w:r w:rsidRPr="0079547A">
              <w:t xml:space="preserve">rip </w:t>
            </w:r>
            <w:r w:rsidRPr="00A32381">
              <w:t>Generation</w:t>
            </w:r>
            <w:r>
              <w:t xml:space="preserve"> or </w:t>
            </w:r>
            <w:r w:rsidRPr="00A32381">
              <w:t>other</w:t>
            </w:r>
            <w:r>
              <w:t xml:space="preserve"> approved method. </w:t>
            </w:r>
            <w:r w:rsidRPr="0079547A">
              <w:t xml:space="preserve">Trip generation should be calculated </w:t>
            </w:r>
            <w:r>
              <w:t xml:space="preserve">off line </w:t>
            </w:r>
            <w:r w:rsidRPr="0079547A">
              <w:t xml:space="preserve">using ITE’s </w:t>
            </w:r>
            <w:r w:rsidRPr="00C35949">
              <w:rPr>
                <w:b/>
                <w:i/>
              </w:rPr>
              <w:t>Trip Generation</w:t>
            </w:r>
            <w:r w:rsidRPr="0079547A">
              <w:rPr>
                <w:i/>
              </w:rPr>
              <w:t xml:space="preserve"> </w:t>
            </w:r>
            <w:r w:rsidRPr="0079547A">
              <w:t xml:space="preserve">or </w:t>
            </w:r>
            <w:r>
              <w:t xml:space="preserve">other approved method. </w:t>
            </w:r>
            <w:r w:rsidRPr="0079547A">
              <w:rPr>
                <w:iCs/>
              </w:rPr>
              <w:t xml:space="preserve">Model trip generation estimations </w:t>
            </w:r>
            <w:r>
              <w:rPr>
                <w:iCs/>
              </w:rPr>
              <w:t>should</w:t>
            </w:r>
            <w:r w:rsidRPr="0079547A">
              <w:rPr>
                <w:iCs/>
              </w:rPr>
              <w:t xml:space="preserve"> be adjusted to match estimations from </w:t>
            </w:r>
            <w:r w:rsidRPr="0079547A">
              <w:t xml:space="preserve">ITE’s </w:t>
            </w:r>
            <w:r w:rsidRPr="0079547A">
              <w:rPr>
                <w:i/>
                <w:iCs/>
              </w:rPr>
              <w:t xml:space="preserve">Trip Generation </w:t>
            </w:r>
            <w:r w:rsidRPr="0079547A">
              <w:rPr>
                <w:iCs/>
              </w:rPr>
              <w:t>or field data</w:t>
            </w:r>
            <w:r w:rsidRPr="0079547A">
              <w:rPr>
                <w:i/>
                <w:iCs/>
              </w:rPr>
              <w:t>.</w:t>
            </w:r>
            <w:r w:rsidRPr="0079547A">
              <w:t xml:space="preserve"> The following summarizes the steps required to estimate trip distribution and internal capture using regional travel demand models</w:t>
            </w:r>
            <w:r w:rsidR="00133E34">
              <w:t>:</w:t>
            </w:r>
          </w:p>
        </w:tc>
      </w:tr>
      <w:tr w:rsidR="00225952" w:rsidRPr="00380CF5">
        <w:tc>
          <w:tcPr>
            <w:tcW w:w="2455" w:type="dxa"/>
          </w:tcPr>
          <w:p w:rsidR="00225952" w:rsidRDefault="00225952" w:rsidP="00225952">
            <w:pPr>
              <w:pStyle w:val="HeadSide2"/>
            </w:pPr>
          </w:p>
          <w:p w:rsidR="00225952" w:rsidRDefault="00225952" w:rsidP="00225952">
            <w:pPr>
              <w:pStyle w:val="HeadSide2"/>
            </w:pPr>
          </w:p>
          <w:p w:rsidR="00225952" w:rsidRDefault="00225952" w:rsidP="00225952">
            <w:pPr>
              <w:pStyle w:val="HeadSide2"/>
            </w:pPr>
          </w:p>
          <w:p w:rsidR="00225952" w:rsidRDefault="00225952" w:rsidP="00225952">
            <w:pPr>
              <w:pStyle w:val="HeadSide2"/>
            </w:pPr>
          </w:p>
          <w:p w:rsidR="00225952" w:rsidRDefault="00225952" w:rsidP="00225952">
            <w:pPr>
              <w:pStyle w:val="HeadSide2"/>
            </w:pPr>
          </w:p>
          <w:p w:rsidR="00225952" w:rsidRDefault="00225952" w:rsidP="00225952">
            <w:pPr>
              <w:pStyle w:val="HeadSide2"/>
            </w:pPr>
          </w:p>
          <w:p w:rsidR="00225952" w:rsidRDefault="00225952" w:rsidP="00225952">
            <w:pPr>
              <w:pStyle w:val="HeadSide2"/>
            </w:pPr>
          </w:p>
          <w:p w:rsidR="00225952" w:rsidRDefault="00225952" w:rsidP="00225952">
            <w:pPr>
              <w:pStyle w:val="HeadSide2"/>
            </w:pPr>
          </w:p>
          <w:p w:rsidR="00225952" w:rsidRDefault="00225952" w:rsidP="00225952">
            <w:pPr>
              <w:pStyle w:val="HeadSide2"/>
            </w:pPr>
          </w:p>
          <w:p w:rsidR="00225952" w:rsidRDefault="00225952" w:rsidP="00225952">
            <w:pPr>
              <w:pStyle w:val="HeadSide2"/>
            </w:pPr>
          </w:p>
          <w:p w:rsidR="00225952" w:rsidRDefault="00225952" w:rsidP="00225952">
            <w:pPr>
              <w:pStyle w:val="HeadSide2"/>
            </w:pPr>
          </w:p>
          <w:p w:rsidR="00225952" w:rsidRDefault="00225952" w:rsidP="00225952">
            <w:pPr>
              <w:pStyle w:val="HeadSide2"/>
            </w:pPr>
          </w:p>
          <w:p w:rsidR="00225952" w:rsidRDefault="00225952" w:rsidP="00225952">
            <w:pPr>
              <w:pStyle w:val="HeadSide2"/>
            </w:pPr>
          </w:p>
          <w:p w:rsidR="00225952" w:rsidRDefault="00225952" w:rsidP="00225952">
            <w:pPr>
              <w:pStyle w:val="HeadSide2"/>
              <w:rPr>
                <w:highlight w:val="red"/>
              </w:rPr>
            </w:pPr>
            <w:r w:rsidRPr="00A32381">
              <w:t xml:space="preserve">Model trip generation estimations </w:t>
            </w:r>
            <w:r>
              <w:t xml:space="preserve">of the site being studied </w:t>
            </w:r>
            <w:r w:rsidRPr="00A32381">
              <w:t xml:space="preserve">should be adjusted to match estimations from ITE’s Trip Generation </w:t>
            </w:r>
            <w:r>
              <w:t>or other approved method</w:t>
            </w:r>
          </w:p>
        </w:tc>
        <w:tc>
          <w:tcPr>
            <w:tcW w:w="7920" w:type="dxa"/>
          </w:tcPr>
          <w:p w:rsidR="00225952" w:rsidRPr="008A22C3" w:rsidRDefault="00225952" w:rsidP="00BA4326">
            <w:pPr>
              <w:pStyle w:val="ListParagraph"/>
              <w:numPr>
                <w:ilvl w:val="0"/>
                <w:numId w:val="5"/>
              </w:numPr>
              <w:ind w:left="425" w:hanging="425"/>
              <w:rPr>
                <w:szCs w:val="23"/>
              </w:rPr>
            </w:pPr>
            <w:r w:rsidRPr="008A22C3">
              <w:rPr>
                <w:b/>
                <w:szCs w:val="23"/>
              </w:rPr>
              <w:t>Develop a new traffic analysis zone(s</w:t>
            </w:r>
            <w:r w:rsidRPr="008A22C3">
              <w:rPr>
                <w:szCs w:val="23"/>
              </w:rPr>
              <w:t xml:space="preserve">)(TAZ) for the development and provide connectors from this zone’s “centroid” to the transportation network. The connectors should be coded consistently with other centroid connectors in the model (facility type, area type and number of lanes). The connections should be made to a facility that is appropriate to the intensity and type of land uses associated with the development and is consistent with the preliminary site access plan. Residential and nonresidential land uses should be modeled in separate TAZs unless they will be located in a single mixed-used site. Socioeconomic data consistent with the development program should be coded within ZDATA 1 and ZDATA 2 files. </w:t>
            </w:r>
          </w:p>
          <w:p w:rsidR="00225952" w:rsidRPr="008A22C3" w:rsidRDefault="00225952" w:rsidP="00BA4326">
            <w:pPr>
              <w:pStyle w:val="ListParagraph"/>
              <w:numPr>
                <w:ilvl w:val="0"/>
                <w:numId w:val="5"/>
              </w:numPr>
              <w:spacing w:after="0"/>
              <w:ind w:left="425" w:hanging="425"/>
              <w:rPr>
                <w:szCs w:val="23"/>
              </w:rPr>
            </w:pPr>
            <w:r w:rsidRPr="008A22C3">
              <w:rPr>
                <w:b/>
                <w:szCs w:val="23"/>
              </w:rPr>
              <w:t>Conduct initial model run</w:t>
            </w:r>
            <w:r w:rsidRPr="008A22C3">
              <w:rPr>
                <w:szCs w:val="23"/>
              </w:rPr>
              <w:t xml:space="preserve"> to:</w:t>
            </w:r>
          </w:p>
          <w:p w:rsidR="00225952" w:rsidRPr="008A22C3" w:rsidRDefault="00225952" w:rsidP="00AD2D7A">
            <w:pPr>
              <w:pStyle w:val="BulletA"/>
              <w:numPr>
                <w:ilvl w:val="0"/>
                <w:numId w:val="133"/>
              </w:numPr>
            </w:pPr>
            <w:r w:rsidRPr="008A22C3">
              <w:t xml:space="preserve">Obtain initial person trip generation outputs to extract the trip purpose percentages. </w:t>
            </w:r>
          </w:p>
          <w:p w:rsidR="00225952" w:rsidRPr="008A22C3" w:rsidRDefault="00225952" w:rsidP="00AD2D7A">
            <w:pPr>
              <w:pStyle w:val="BulletA"/>
              <w:numPr>
                <w:ilvl w:val="0"/>
                <w:numId w:val="133"/>
              </w:numPr>
            </w:pPr>
            <w:r w:rsidRPr="008A22C3">
              <w:t>Extract total vehicle trips from the development zones using the O-D matrix output.</w:t>
            </w:r>
          </w:p>
          <w:p w:rsidR="00225952" w:rsidRPr="008A22C3" w:rsidRDefault="00225952" w:rsidP="00BA4326">
            <w:pPr>
              <w:pStyle w:val="ListParagraph"/>
              <w:numPr>
                <w:ilvl w:val="0"/>
                <w:numId w:val="5"/>
              </w:numPr>
              <w:ind w:left="425" w:hanging="425"/>
              <w:rPr>
                <w:b/>
                <w:color w:val="632423"/>
                <w:szCs w:val="23"/>
              </w:rPr>
            </w:pPr>
            <w:r w:rsidRPr="008A22C3">
              <w:rPr>
                <w:b/>
                <w:szCs w:val="23"/>
              </w:rPr>
              <w:t xml:space="preserve">Estimate site trip generation manually using ITE’s </w:t>
            </w:r>
            <w:r w:rsidRPr="008A22C3">
              <w:rPr>
                <w:b/>
                <w:i/>
                <w:szCs w:val="23"/>
              </w:rPr>
              <w:t>Trip</w:t>
            </w:r>
            <w:r w:rsidRPr="008A22C3">
              <w:rPr>
                <w:i/>
                <w:szCs w:val="23"/>
              </w:rPr>
              <w:t xml:space="preserve"> </w:t>
            </w:r>
            <w:r w:rsidRPr="008A22C3">
              <w:rPr>
                <w:b/>
                <w:i/>
                <w:szCs w:val="23"/>
              </w:rPr>
              <w:t>Generation</w:t>
            </w:r>
            <w:r w:rsidRPr="008A22C3">
              <w:rPr>
                <w:szCs w:val="23"/>
              </w:rPr>
              <w:t xml:space="preserve">. Although preliminary estimates of pass-by and diverted traffic may be estimated using information contained in ITE’s </w:t>
            </w:r>
            <w:r w:rsidRPr="008A22C3">
              <w:rPr>
                <w:i/>
                <w:szCs w:val="23"/>
              </w:rPr>
              <w:t>Trip Generation</w:t>
            </w:r>
            <w:r w:rsidRPr="008A22C3">
              <w:rPr>
                <w:szCs w:val="23"/>
              </w:rPr>
              <w:t xml:space="preserve">, pass-by and diverted trips </w:t>
            </w:r>
            <w:r w:rsidRPr="008A22C3">
              <w:rPr>
                <w:szCs w:val="23"/>
              </w:rPr>
              <w:lastRenderedPageBreak/>
              <w:t>cannot be calculated when using the model method and may therefore be ignored.</w:t>
            </w:r>
            <w:r w:rsidR="00D54EF9">
              <w:rPr>
                <w:szCs w:val="23"/>
              </w:rPr>
              <w:br/>
            </w:r>
          </w:p>
          <w:p w:rsidR="00225952" w:rsidRPr="008A22C3" w:rsidRDefault="00225952" w:rsidP="00BA4326">
            <w:pPr>
              <w:pStyle w:val="ListParagraph"/>
              <w:numPr>
                <w:ilvl w:val="0"/>
                <w:numId w:val="5"/>
              </w:numPr>
              <w:spacing w:after="0"/>
              <w:ind w:left="425" w:hanging="425"/>
              <w:rPr>
                <w:b/>
                <w:color w:val="632423"/>
                <w:szCs w:val="23"/>
              </w:rPr>
            </w:pPr>
            <w:r w:rsidRPr="008A22C3">
              <w:rPr>
                <w:b/>
                <w:szCs w:val="23"/>
              </w:rPr>
              <w:t>Compare vehicle trip generation obtained manually and with the planning model.</w:t>
            </w:r>
            <w:r w:rsidRPr="008A22C3">
              <w:rPr>
                <w:szCs w:val="23"/>
              </w:rPr>
              <w:t xml:space="preserve"> If the difference is greater than 5 percent for any given land use, the total external site trip generation obtained using the planning model should be adjusted until convergence occurs with manually estimated trip generation using the following methodology. Identify any difference in vehicle trips between manual and model calculations.</w:t>
            </w:r>
          </w:p>
          <w:p w:rsidR="00225952" w:rsidRPr="008A22C3" w:rsidRDefault="00225952" w:rsidP="00AD2D7A">
            <w:pPr>
              <w:pStyle w:val="BulletA"/>
              <w:numPr>
                <w:ilvl w:val="0"/>
                <w:numId w:val="134"/>
              </w:numPr>
              <w:rPr>
                <w:b/>
                <w:color w:val="632423"/>
              </w:rPr>
            </w:pPr>
            <w:r w:rsidRPr="008A22C3">
              <w:t xml:space="preserve">Convert vehicle trip difference to person trips by using vehicle occupancy factors coded within the model. </w:t>
            </w:r>
          </w:p>
          <w:p w:rsidR="00225952" w:rsidRPr="008A22C3" w:rsidRDefault="00225952" w:rsidP="00AD2D7A">
            <w:pPr>
              <w:pStyle w:val="BulletA"/>
              <w:numPr>
                <w:ilvl w:val="0"/>
                <w:numId w:val="134"/>
              </w:numPr>
              <w:rPr>
                <w:b/>
                <w:color w:val="632423"/>
              </w:rPr>
            </w:pPr>
            <w:r w:rsidRPr="008A22C3">
              <w:t xml:space="preserve">Insert person trip difference values in the ZDATA3 file. Trip purpose percentages obtained from Step 2 should be assigned to person trips entered into the ZFDATA3 file. </w:t>
            </w:r>
          </w:p>
          <w:p w:rsidR="00225952" w:rsidRPr="008A22C3" w:rsidRDefault="00225952" w:rsidP="00AD2D7A">
            <w:pPr>
              <w:pStyle w:val="BulletA"/>
              <w:numPr>
                <w:ilvl w:val="0"/>
                <w:numId w:val="134"/>
              </w:numPr>
              <w:rPr>
                <w:b/>
                <w:color w:val="632423"/>
              </w:rPr>
            </w:pPr>
            <w:r w:rsidRPr="008A22C3">
              <w:t>Rerun the model and repeat Steps 2 through 4 until convergence is obtained between the manual and model vehicle trip values.</w:t>
            </w:r>
          </w:p>
          <w:p w:rsidR="00225952" w:rsidRDefault="00225952" w:rsidP="00E84C83">
            <w:pPr>
              <w:spacing w:after="60"/>
              <w:ind w:left="1440"/>
              <w:rPr>
                <w:b/>
                <w:color w:val="632423"/>
                <w:szCs w:val="23"/>
              </w:rPr>
            </w:pPr>
            <w:r w:rsidRPr="001C07A6">
              <w:rPr>
                <w:i/>
                <w:szCs w:val="23"/>
              </w:rPr>
              <w:t>Note:</w:t>
            </w:r>
            <w:r w:rsidRPr="001C07A6">
              <w:rPr>
                <w:szCs w:val="23"/>
              </w:rPr>
              <w:t xml:space="preserve"> Subsequent iterations may be required to reach a level of convergence that satisfies FDOT. A rule of thumb of a maximum difference of 5 percent between the manually generated and model generated vehicle trips for the project is commonly used. A table comparing the trip generation based on ITE’s </w:t>
            </w:r>
            <w:r w:rsidRPr="001C07A6">
              <w:rPr>
                <w:i/>
                <w:szCs w:val="23"/>
              </w:rPr>
              <w:t>Trip Generation</w:t>
            </w:r>
            <w:r w:rsidRPr="001C07A6">
              <w:rPr>
                <w:szCs w:val="23"/>
              </w:rPr>
              <w:t xml:space="preserve"> and the model-generated trips should be provided for each development TAZ.</w:t>
            </w:r>
          </w:p>
          <w:p w:rsidR="00225952" w:rsidRDefault="00225952" w:rsidP="00E84C83">
            <w:pPr>
              <w:spacing w:after="60"/>
              <w:ind w:left="1440"/>
              <w:rPr>
                <w:b/>
                <w:color w:val="632423"/>
                <w:szCs w:val="23"/>
              </w:rPr>
            </w:pPr>
            <w:r w:rsidRPr="001C07A6">
              <w:rPr>
                <w:i/>
                <w:szCs w:val="23"/>
              </w:rPr>
              <w:t>Note:</w:t>
            </w:r>
            <w:r w:rsidRPr="001C07A6">
              <w:rPr>
                <w:szCs w:val="23"/>
              </w:rPr>
              <w:t xml:space="preserve"> If the model being used contains transit and highway networks, the total of automobile trip making (single-occupant, and HOV) should be compared to the ITE-based trip generation reduced for the estimated transit usage approved by FDOT.</w:t>
            </w:r>
          </w:p>
          <w:p w:rsidR="00225952" w:rsidRPr="008A22C3" w:rsidRDefault="00225952" w:rsidP="00BA4326">
            <w:pPr>
              <w:pStyle w:val="ListParagraph"/>
              <w:numPr>
                <w:ilvl w:val="0"/>
                <w:numId w:val="5"/>
              </w:numPr>
              <w:ind w:left="425" w:hanging="425"/>
              <w:rPr>
                <w:b/>
                <w:color w:val="632423"/>
                <w:szCs w:val="23"/>
              </w:rPr>
            </w:pPr>
            <w:r w:rsidRPr="008A22C3">
              <w:rPr>
                <w:szCs w:val="23"/>
              </w:rPr>
              <w:t xml:space="preserve">Estimate internal capture using the guidelines contained in ITE’s </w:t>
            </w:r>
            <w:r w:rsidRPr="008A22C3">
              <w:rPr>
                <w:i/>
                <w:szCs w:val="23"/>
              </w:rPr>
              <w:t>Trip Generation Handbook</w:t>
            </w:r>
            <w:r w:rsidRPr="008A22C3">
              <w:rPr>
                <w:szCs w:val="23"/>
              </w:rPr>
              <w:t xml:space="preserve">. </w:t>
            </w:r>
          </w:p>
          <w:p w:rsidR="00225952" w:rsidRPr="008A22C3" w:rsidRDefault="00225952" w:rsidP="00BA4326">
            <w:pPr>
              <w:pStyle w:val="ListParagraph"/>
              <w:numPr>
                <w:ilvl w:val="0"/>
                <w:numId w:val="5"/>
              </w:numPr>
              <w:ind w:left="425" w:hanging="425"/>
              <w:rPr>
                <w:b/>
                <w:color w:val="632423"/>
                <w:szCs w:val="23"/>
              </w:rPr>
            </w:pPr>
            <w:r w:rsidRPr="008A22C3">
              <w:rPr>
                <w:szCs w:val="23"/>
              </w:rPr>
              <w:t>Calculate internal capture using the planning model. Internal capture is estimated by planning models as trips originating and arriving within project TAZs. The inclusion of intrazonal trips (trips that never leave a project TAZ) in internal capture estimations is subject to approval by FDOT. Model internal capture could be conducted based on the calculation methodology presented with FDOT approval.</w:t>
            </w:r>
          </w:p>
          <w:p w:rsidR="00225952" w:rsidRPr="001B7518" w:rsidRDefault="00225952" w:rsidP="00BA4326">
            <w:pPr>
              <w:pStyle w:val="ListParagraph"/>
              <w:numPr>
                <w:ilvl w:val="0"/>
                <w:numId w:val="5"/>
              </w:numPr>
              <w:ind w:left="425" w:hanging="425"/>
              <w:rPr>
                <w:szCs w:val="23"/>
              </w:rPr>
            </w:pPr>
            <w:r w:rsidRPr="008A22C3">
              <w:rPr>
                <w:szCs w:val="23"/>
              </w:rPr>
              <w:t>If trips are anticipated to have an origin or destination external to the model’s study area, ZDATA4 files should be adjusted.</w:t>
            </w:r>
          </w:p>
        </w:tc>
      </w:tr>
    </w:tbl>
    <w:p w:rsidR="001B7518" w:rsidRDefault="001B7518">
      <w:r>
        <w:rPr>
          <w:b/>
          <w:bCs/>
        </w:rPr>
        <w:lastRenderedPageBreak/>
        <w:br w:type="page"/>
      </w:r>
    </w:p>
    <w:tbl>
      <w:tblPr>
        <w:tblW w:w="10375" w:type="dxa"/>
        <w:tblLayout w:type="fixed"/>
        <w:tblLook w:val="0000"/>
      </w:tblPr>
      <w:tblGrid>
        <w:gridCol w:w="2455"/>
        <w:gridCol w:w="7920"/>
      </w:tblGrid>
      <w:tr w:rsidR="00225952" w:rsidRPr="00380CF5">
        <w:tc>
          <w:tcPr>
            <w:tcW w:w="2455" w:type="dxa"/>
          </w:tcPr>
          <w:p w:rsidR="00225952" w:rsidRDefault="00225952" w:rsidP="00225952">
            <w:pPr>
              <w:pStyle w:val="Heading4"/>
            </w:pPr>
            <w:r w:rsidRPr="006135BA">
              <w:lastRenderedPageBreak/>
              <w:t>Redevelopment/</w:t>
            </w:r>
            <w:r>
              <w:br/>
            </w:r>
            <w:r w:rsidRPr="006135BA">
              <w:t>Existing Trips</w:t>
            </w:r>
          </w:p>
          <w:p w:rsidR="00225952" w:rsidRDefault="00225952" w:rsidP="00225952">
            <w:pPr>
              <w:pStyle w:val="SidebarSentence"/>
            </w:pPr>
          </w:p>
          <w:p w:rsidR="00225952" w:rsidRDefault="00E84C83" w:rsidP="00225952">
            <w:pPr>
              <w:pStyle w:val="SidebarSentence"/>
            </w:pPr>
            <w:r>
              <w:t>C</w:t>
            </w:r>
            <w:r w:rsidR="00225952">
              <w:t>onsider the number of trips associated with the existing use</w:t>
            </w:r>
          </w:p>
        </w:tc>
        <w:tc>
          <w:tcPr>
            <w:tcW w:w="7920" w:type="dxa"/>
          </w:tcPr>
          <w:p w:rsidR="00225952" w:rsidRDefault="00225952">
            <w:pPr>
              <w:rPr>
                <w:noProof/>
              </w:rPr>
            </w:pPr>
            <w:r w:rsidRPr="00166DB6">
              <w:t>If a redevelopment project is being analyzed, the</w:t>
            </w:r>
            <w:r>
              <w:t xml:space="preserve"> </w:t>
            </w:r>
            <w:r w:rsidRPr="00166DB6">
              <w:t>analysis should consider the traffic associated with the</w:t>
            </w:r>
            <w:r>
              <w:t xml:space="preserve"> </w:t>
            </w:r>
            <w:r w:rsidRPr="00166DB6">
              <w:t>existing</w:t>
            </w:r>
            <w:r>
              <w:t xml:space="preserve"> (or previously existing)</w:t>
            </w:r>
            <w:r w:rsidRPr="00166DB6">
              <w:t xml:space="preserve"> development for comparison purposes. If trip</w:t>
            </w:r>
            <w:r>
              <w:t xml:space="preserve"> </w:t>
            </w:r>
            <w:r w:rsidRPr="00166DB6">
              <w:t>generation, distribution or assignment of trips</w:t>
            </w:r>
            <w:r>
              <w:t xml:space="preserve"> </w:t>
            </w:r>
            <w:r w:rsidRPr="00166DB6">
              <w:t xml:space="preserve">associated with the new </w:t>
            </w:r>
            <w:r>
              <w:t>d</w:t>
            </w:r>
            <w:r w:rsidRPr="00166DB6">
              <w:t>evelopment is anticipated to</w:t>
            </w:r>
            <w:r>
              <w:t xml:space="preserve"> </w:t>
            </w:r>
            <w:r w:rsidRPr="00166DB6">
              <w:t>be significantly different from the existing</w:t>
            </w:r>
            <w:r>
              <w:t xml:space="preserve"> </w:t>
            </w:r>
            <w:r w:rsidRPr="00166DB6">
              <w:t>development, then existing site traffic data should be</w:t>
            </w:r>
            <w:r>
              <w:t xml:space="preserve"> </w:t>
            </w:r>
            <w:r w:rsidRPr="00166DB6">
              <w:t>carried through the entire</w:t>
            </w:r>
            <w:r>
              <w:t xml:space="preserve"> </w:t>
            </w:r>
            <w:r w:rsidRPr="00166DB6">
              <w:t>analysis in parallel to the new</w:t>
            </w:r>
            <w:r>
              <w:t xml:space="preserve"> </w:t>
            </w:r>
            <w:r w:rsidRPr="00166DB6">
              <w:t>development to determine the resulting traffic impacts</w:t>
            </w:r>
            <w:r>
              <w:t xml:space="preserve"> </w:t>
            </w:r>
            <w:r w:rsidRPr="00166DB6">
              <w:t>created by redevelopment.</w:t>
            </w:r>
            <w:r>
              <w:t xml:space="preserve"> All documentation of development review trip generation estimates should clearly identify both existing and FSUTMS projected future trip generation associated with a particular property. Requirements for how to address urban redevelopment trip generation are </w:t>
            </w:r>
            <w:r w:rsidRPr="00DE19A9">
              <w:t>found in Section 163.3180(8)</w:t>
            </w:r>
            <w:r>
              <w:t>, FS. Local land development regulations should also be consulted.</w:t>
            </w:r>
          </w:p>
        </w:tc>
      </w:tr>
    </w:tbl>
    <w:p w:rsidR="00225952" w:rsidRDefault="00225952" w:rsidP="00225952">
      <w:pPr>
        <w:pStyle w:val="Heading2"/>
        <w:sectPr w:rsidR="00225952" w:rsidSect="00832911">
          <w:headerReference w:type="default" r:id="rId91"/>
          <w:type w:val="continuous"/>
          <w:pgSz w:w="12240" w:h="15840" w:code="1"/>
          <w:pgMar w:top="1440" w:right="720" w:bottom="1440" w:left="1152" w:header="720" w:footer="720" w:gutter="0"/>
          <w:cols w:space="720"/>
          <w:docGrid w:linePitch="313"/>
        </w:sectPr>
      </w:pPr>
    </w:p>
    <w:tbl>
      <w:tblPr>
        <w:tblW w:w="10375" w:type="dxa"/>
        <w:tblLayout w:type="fixed"/>
        <w:tblLook w:val="0000"/>
      </w:tblPr>
      <w:tblGrid>
        <w:gridCol w:w="2455"/>
        <w:gridCol w:w="7920"/>
      </w:tblGrid>
      <w:tr w:rsidR="00225952" w:rsidRPr="00380CF5">
        <w:tc>
          <w:tcPr>
            <w:tcW w:w="10375" w:type="dxa"/>
            <w:gridSpan w:val="2"/>
          </w:tcPr>
          <w:p w:rsidR="00225952" w:rsidRPr="006135BA" w:rsidRDefault="006B7F55" w:rsidP="00225952">
            <w:pPr>
              <w:pStyle w:val="Heading2"/>
              <w:rPr>
                <w:noProof/>
              </w:rPr>
            </w:pPr>
            <w:bookmarkStart w:id="77" w:name="_Toc264274090"/>
            <w:bookmarkStart w:id="78" w:name="_Toc232912655"/>
            <w:r>
              <w:lastRenderedPageBreak/>
              <w:t>2.6</w:t>
            </w:r>
            <w:r w:rsidR="00225952">
              <w:t xml:space="preserve">  </w:t>
            </w:r>
            <w:r w:rsidR="00225952" w:rsidRPr="006135BA">
              <w:t>Trip Distribution</w:t>
            </w:r>
            <w:bookmarkEnd w:id="77"/>
            <w:r w:rsidR="00225952" w:rsidRPr="006135BA">
              <w:t xml:space="preserve"> </w:t>
            </w:r>
            <w:bookmarkEnd w:id="78"/>
          </w:p>
        </w:tc>
      </w:tr>
      <w:tr w:rsidR="00225952" w:rsidRPr="00380CF5">
        <w:tc>
          <w:tcPr>
            <w:tcW w:w="2455" w:type="dxa"/>
          </w:tcPr>
          <w:p w:rsidR="00225952" w:rsidRDefault="00225952" w:rsidP="00225952">
            <w:pPr>
              <w:pStyle w:val="SidebarSentence"/>
            </w:pPr>
            <w:r>
              <w:rPr>
                <w:noProof/>
              </w:rPr>
              <w:drawing>
                <wp:inline distT="0" distB="0" distL="0" distR="0">
                  <wp:extent cx="1260475" cy="1021715"/>
                  <wp:effectExtent l="0" t="0" r="0" b="0"/>
                  <wp:docPr id="66" name="Picture 66" descr="iStep5TripD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Step5TripDist.png"/>
                          <pic:cNvPicPr>
                            <a:picLocks noChangeAspect="1" noChangeArrowheads="1"/>
                          </pic:cNvPicPr>
                        </pic:nvPicPr>
                        <pic:blipFill>
                          <a:blip r:embed="rId92" cstate="print"/>
                          <a:srcRect/>
                          <a:stretch>
                            <a:fillRect/>
                          </a:stretch>
                        </pic:blipFill>
                        <pic:spPr bwMode="auto">
                          <a:xfrm>
                            <a:off x="0" y="0"/>
                            <a:ext cx="1260475" cy="1021715"/>
                          </a:xfrm>
                          <a:prstGeom prst="rect">
                            <a:avLst/>
                          </a:prstGeom>
                          <a:noFill/>
                          <a:ln w="9525">
                            <a:noFill/>
                            <a:miter lim="800000"/>
                            <a:headEnd/>
                            <a:tailEnd/>
                          </a:ln>
                        </pic:spPr>
                      </pic:pic>
                    </a:graphicData>
                  </a:graphic>
                </wp:inline>
              </w:drawing>
            </w:r>
          </w:p>
          <w:p w:rsidR="00225952" w:rsidRDefault="00225952" w:rsidP="00225952">
            <w:pPr>
              <w:pStyle w:val="SidebarSentence"/>
            </w:pPr>
          </w:p>
          <w:p w:rsidR="00225952" w:rsidRDefault="00225952" w:rsidP="00225952">
            <w:pPr>
              <w:pStyle w:val="SidebarSentence"/>
            </w:pPr>
          </w:p>
          <w:p w:rsidR="00784F8A" w:rsidRDefault="00784F8A">
            <w:pPr>
              <w:pStyle w:val="SidebarSentence"/>
            </w:pPr>
          </w:p>
          <w:p w:rsidR="00E84C83" w:rsidRDefault="00E84C83">
            <w:pPr>
              <w:pStyle w:val="SidebarSentence"/>
            </w:pPr>
          </w:p>
          <w:p w:rsidR="00E84C83" w:rsidRDefault="00E84C83">
            <w:pPr>
              <w:pStyle w:val="SidebarSentence"/>
            </w:pPr>
          </w:p>
          <w:p w:rsidR="00784F8A" w:rsidRDefault="00784F8A" w:rsidP="00784F8A">
            <w:pPr>
              <w:pStyle w:val="Exhibit"/>
            </w:pPr>
            <w:r>
              <w:t>Exhibit 17</w:t>
            </w:r>
          </w:p>
          <w:p w:rsidR="00784F8A" w:rsidRDefault="00784F8A" w:rsidP="00784F8A">
            <w:pPr>
              <w:pStyle w:val="ExhibitTitle"/>
            </w:pPr>
            <w:r>
              <w:t>Major Directions of Trip Distribution from site</w:t>
            </w:r>
          </w:p>
          <w:p w:rsidR="00E84C83" w:rsidRDefault="00E84C83" w:rsidP="00E84C83">
            <w:pPr>
              <w:pStyle w:val="SidebarSentence"/>
            </w:pPr>
          </w:p>
          <w:p w:rsidR="00E84C83" w:rsidRDefault="00E84C83" w:rsidP="00133E34">
            <w:pPr>
              <w:pStyle w:val="SidebarSentence"/>
            </w:pPr>
            <w:r>
              <w:t>T</w:t>
            </w:r>
            <w:r w:rsidRPr="00497F64">
              <w:t xml:space="preserve">rip distribution should be summarized in a figure </w:t>
            </w:r>
            <w:r w:rsidR="009F61EC">
              <w:t xml:space="preserve">that </w:t>
            </w:r>
            <w:r w:rsidRPr="00497F64">
              <w:t>clearly show</w:t>
            </w:r>
            <w:r>
              <w:t>s</w:t>
            </w:r>
            <w:r w:rsidRPr="00497F64">
              <w:t xml:space="preserve"> the distribution of external trips from the sit</w:t>
            </w:r>
            <w:r>
              <w:t>e.</w:t>
            </w:r>
          </w:p>
        </w:tc>
        <w:tc>
          <w:tcPr>
            <w:tcW w:w="7920" w:type="dxa"/>
          </w:tcPr>
          <w:p w:rsidR="00225952" w:rsidRDefault="00225952" w:rsidP="00225952">
            <w:pPr>
              <w:spacing w:after="120"/>
            </w:pPr>
            <w:r>
              <w:t xml:space="preserve">The next step in the site impact analysis is trip distribution. The purpose of trip distribution is to determine the final destination and origin traffic analysis zones of the traffic studied in the impact analysis. </w:t>
            </w:r>
          </w:p>
          <w:p w:rsidR="00225952" w:rsidRDefault="00225952" w:rsidP="00225952">
            <w:pPr>
              <w:spacing w:after="120"/>
            </w:pPr>
            <w:r>
              <w:t>Trip distribution can be estimated using a number of different methodologies reflecting either model or manual methods. FDOT and any participating local review agencies should approve of the trip distribution methodology selected.</w:t>
            </w:r>
          </w:p>
          <w:p w:rsidR="00225952" w:rsidRDefault="00225952" w:rsidP="00225952">
            <w:pPr>
              <w:spacing w:after="120"/>
            </w:pPr>
            <w:r>
              <w:t xml:space="preserve"> Whether a manual or modeling method is used, trip distribution should be performed in each analysis year and documented and summarized in a figure that illustrates the percentage of total site trip generation that occurs in each zone. The figure should clearly show that the distribution of external trips from the site adds up to 100%.</w:t>
            </w:r>
          </w:p>
          <w:p w:rsidR="00225952" w:rsidRPr="00133E34" w:rsidRDefault="00225952" w:rsidP="00133E34">
            <w:pPr>
              <w:pStyle w:val="HeadSide2"/>
              <w:spacing w:before="240" w:after="240"/>
            </w:pPr>
            <w:r w:rsidRPr="00B404AD">
              <w:rPr>
                <w:b/>
                <w:noProof/>
                <w:color w:val="FF0000"/>
                <w:sz w:val="40"/>
                <w:szCs w:val="19"/>
              </w:rPr>
              <w:drawing>
                <wp:inline distT="0" distB="0" distL="0" distR="0">
                  <wp:extent cx="4740468" cy="2049649"/>
                  <wp:effectExtent l="19050" t="0" r="2982" b="0"/>
                  <wp:docPr id="10" name="Picture 48" descr="2-5-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bmp"/>
                          <pic:cNvPicPr/>
                        </pic:nvPicPr>
                        <pic:blipFill>
                          <a:blip r:embed="rId93" cstate="print"/>
                          <a:stretch>
                            <a:fillRect/>
                          </a:stretch>
                        </pic:blipFill>
                        <pic:spPr>
                          <a:xfrm>
                            <a:off x="0" y="0"/>
                            <a:ext cx="4738863" cy="2048955"/>
                          </a:xfrm>
                          <a:prstGeom prst="rect">
                            <a:avLst/>
                          </a:prstGeom>
                        </pic:spPr>
                      </pic:pic>
                    </a:graphicData>
                  </a:graphic>
                </wp:inline>
              </w:drawing>
            </w:r>
            <w:r>
              <w:rPr>
                <w:b/>
                <w:color w:val="FF0000"/>
                <w:sz w:val="40"/>
                <w:szCs w:val="19"/>
              </w:rPr>
              <w:br/>
            </w:r>
            <w:r>
              <w:t xml:space="preserve">Source: Kimley Horn </w:t>
            </w:r>
          </w:p>
        </w:tc>
      </w:tr>
      <w:tr w:rsidR="00225952" w:rsidRPr="00380CF5" w:rsidTr="00225952">
        <w:tc>
          <w:tcPr>
            <w:tcW w:w="10375" w:type="dxa"/>
            <w:gridSpan w:val="2"/>
          </w:tcPr>
          <w:p w:rsidR="00225952" w:rsidRDefault="006B7F55" w:rsidP="00225952">
            <w:pPr>
              <w:pStyle w:val="Heading3"/>
            </w:pPr>
            <w:bookmarkStart w:id="79" w:name="_Toc264274091"/>
            <w:r>
              <w:lastRenderedPageBreak/>
              <w:t>2.6</w:t>
            </w:r>
            <w:r w:rsidR="00225952">
              <w:t xml:space="preserve">.1  </w:t>
            </w:r>
            <w:r w:rsidR="00225952" w:rsidRPr="006135BA">
              <w:t>Manual Methods</w:t>
            </w:r>
            <w:bookmarkEnd w:id="79"/>
          </w:p>
        </w:tc>
      </w:tr>
      <w:tr w:rsidR="00225952" w:rsidRPr="00380CF5">
        <w:tc>
          <w:tcPr>
            <w:tcW w:w="2455" w:type="dxa"/>
          </w:tcPr>
          <w:p w:rsidR="00225952" w:rsidRPr="006135BA" w:rsidRDefault="00225952" w:rsidP="00225952">
            <w:pPr>
              <w:pStyle w:val="Heading3"/>
            </w:pPr>
          </w:p>
        </w:tc>
        <w:tc>
          <w:tcPr>
            <w:tcW w:w="7920" w:type="dxa"/>
          </w:tcPr>
          <w:p w:rsidR="00225952" w:rsidRDefault="00225952" w:rsidP="00225952">
            <w:r>
              <w:t>Manual methods of trip distribution provide the analyst with a basic understanding of the travel patterns and market areas  associated with the development. When performing manual methods of traffic distribution, good judgment is essential to conduct a proper evaluation. Key assumptions should be clearly documented for review by</w:t>
            </w:r>
            <w:r w:rsidRPr="003254A1">
              <w:t xml:space="preserve"> </w:t>
            </w:r>
            <w:r>
              <w:t>FDOT and other reviewing agencies.</w:t>
            </w:r>
          </w:p>
        </w:tc>
      </w:tr>
      <w:tr w:rsidR="00225952" w:rsidRPr="00380CF5">
        <w:tc>
          <w:tcPr>
            <w:tcW w:w="2455" w:type="dxa"/>
          </w:tcPr>
          <w:p w:rsidR="00225952" w:rsidRPr="006135BA" w:rsidRDefault="00225952" w:rsidP="00225952">
            <w:pPr>
              <w:pStyle w:val="Heading4"/>
              <w:rPr>
                <w:szCs w:val="19"/>
              </w:rPr>
            </w:pPr>
            <w:r w:rsidRPr="006135BA">
              <w:t>Analogy Method/Origin-Destination Studies</w:t>
            </w:r>
          </w:p>
          <w:p w:rsidR="00225952" w:rsidRDefault="00225952" w:rsidP="00225952">
            <w:pPr>
              <w:pStyle w:val="Heading4"/>
              <w:rPr>
                <w:color w:val="auto"/>
                <w:highlight w:val="red"/>
              </w:rPr>
            </w:pPr>
          </w:p>
          <w:p w:rsidR="00225952" w:rsidRDefault="00225952" w:rsidP="00225952">
            <w:pPr>
              <w:pStyle w:val="Heading4"/>
              <w:rPr>
                <w:color w:val="auto"/>
                <w:highlight w:val="red"/>
              </w:rPr>
            </w:pPr>
          </w:p>
          <w:p w:rsidR="00225952" w:rsidRDefault="00225952" w:rsidP="001C5E19">
            <w:pPr>
              <w:pStyle w:val="HeadSide20"/>
              <w:ind w:right="0"/>
              <w:jc w:val="center"/>
            </w:pPr>
            <w:r>
              <w:rPr>
                <w:noProof/>
              </w:rPr>
              <w:drawing>
                <wp:inline distT="0" distB="0" distL="0" distR="0">
                  <wp:extent cx="1388510" cy="545434"/>
                  <wp:effectExtent l="19050" t="0" r="2140" b="0"/>
                  <wp:docPr id="43" name="Picture 46" descr="button_presentation.png">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button_presentation.png"/>
                          <pic:cNvPicPr>
                            <a:picLocks noChangeAspect="1" noChangeArrowheads="1"/>
                          </pic:cNvPicPr>
                        </pic:nvPicPr>
                        <pic:blipFill>
                          <a:blip r:embed="rId35" cstate="print"/>
                          <a:srcRect/>
                          <a:stretch>
                            <a:fillRect/>
                          </a:stretch>
                        </pic:blipFill>
                        <pic:spPr bwMode="auto">
                          <a:xfrm>
                            <a:off x="0" y="0"/>
                            <a:ext cx="1392028" cy="546816"/>
                          </a:xfrm>
                          <a:prstGeom prst="rect">
                            <a:avLst/>
                          </a:prstGeom>
                          <a:noFill/>
                          <a:ln w="9525">
                            <a:noFill/>
                            <a:miter lim="800000"/>
                            <a:headEnd/>
                            <a:tailEnd/>
                          </a:ln>
                        </pic:spPr>
                      </pic:pic>
                    </a:graphicData>
                  </a:graphic>
                </wp:inline>
              </w:drawing>
            </w:r>
            <w:r w:rsidRPr="001B7518">
              <w:t>Manual Distribution</w:t>
            </w:r>
          </w:p>
        </w:tc>
        <w:tc>
          <w:tcPr>
            <w:tcW w:w="7920" w:type="dxa"/>
          </w:tcPr>
          <w:p w:rsidR="00225952" w:rsidRDefault="00225952">
            <w:r w:rsidRPr="00026F07">
              <w:t>The analogy method derives the trip distribution of a proposed development based on existing data collected at sites that are similar to the subject development. Typically, traffic count</w:t>
            </w:r>
            <w:r>
              <w:t xml:space="preserve"> and</w:t>
            </w:r>
            <w:r w:rsidRPr="00026F07">
              <w:t xml:space="preserve"> turning movement</w:t>
            </w:r>
            <w:r>
              <w:t xml:space="preserve"> </w:t>
            </w:r>
            <w:r w:rsidRPr="00026F07">
              <w:t xml:space="preserve">data are used in the analogy method. Other data sources include conducting a license plate origin-destination survey or a driver response survey, summarizing </w:t>
            </w:r>
            <w:r>
              <w:t>traveler</w:t>
            </w:r>
            <w:r w:rsidRPr="00026F07">
              <w:t xml:space="preserve"> home zip codes (for employment centers), or using other methods defining distribution of travelers to and from the site consistent with procedures described in the latest edition of the </w:t>
            </w:r>
            <w:hyperlink r:id="rId95" w:history="1">
              <w:r w:rsidRPr="00BF32A4">
                <w:rPr>
                  <w:rStyle w:val="Hyperlink"/>
                  <w:i/>
                  <w:szCs w:val="19"/>
                </w:rPr>
                <w:t>Institute of Transportation Engineers Manual of Transportation Engineering Studies</w:t>
              </w:r>
            </w:hyperlink>
            <w:r>
              <w:rPr>
                <w:i/>
              </w:rPr>
              <w:t>.</w:t>
            </w:r>
            <w:r w:rsidRPr="00E26E85">
              <w:t xml:space="preserve"> Applications of the analogy method include (ITE: Transportation and Land Development, p. 54):</w:t>
            </w:r>
          </w:p>
        </w:tc>
      </w:tr>
      <w:tr w:rsidR="00784F8A" w:rsidRPr="00380CF5">
        <w:tc>
          <w:tcPr>
            <w:tcW w:w="2455" w:type="dxa"/>
          </w:tcPr>
          <w:p w:rsidR="00784F8A" w:rsidRDefault="00784F8A" w:rsidP="00225952">
            <w:pPr>
              <w:rPr>
                <w:highlight w:val="red"/>
              </w:rPr>
            </w:pPr>
          </w:p>
        </w:tc>
        <w:tc>
          <w:tcPr>
            <w:tcW w:w="7920" w:type="dxa"/>
          </w:tcPr>
          <w:p w:rsidR="00784F8A" w:rsidRPr="00A52699" w:rsidRDefault="00784F8A" w:rsidP="00BA4326">
            <w:pPr>
              <w:pStyle w:val="ListParagraph"/>
              <w:numPr>
                <w:ilvl w:val="0"/>
                <w:numId w:val="6"/>
              </w:numPr>
              <w:rPr>
                <w:szCs w:val="23"/>
              </w:rPr>
            </w:pPr>
            <w:r w:rsidRPr="008A22C3">
              <w:rPr>
                <w:szCs w:val="23"/>
              </w:rPr>
              <w:t>Fast-food restaurants where a competing establishment is near the site</w:t>
            </w:r>
          </w:p>
          <w:p w:rsidR="00784F8A" w:rsidRPr="00A52699" w:rsidRDefault="00784F8A" w:rsidP="00BA4326">
            <w:pPr>
              <w:pStyle w:val="ListParagraph"/>
              <w:numPr>
                <w:ilvl w:val="0"/>
                <w:numId w:val="6"/>
              </w:numPr>
              <w:rPr>
                <w:szCs w:val="23"/>
              </w:rPr>
            </w:pPr>
            <w:r w:rsidRPr="008A22C3">
              <w:rPr>
                <w:szCs w:val="23"/>
              </w:rPr>
              <w:t>Service stations where traffic volumes on the adjacent streets are similar to those forecasted at the site</w:t>
            </w:r>
          </w:p>
          <w:p w:rsidR="00784F8A" w:rsidRPr="00A52699" w:rsidRDefault="00784F8A" w:rsidP="00BA4326">
            <w:pPr>
              <w:pStyle w:val="ListParagraph"/>
              <w:numPr>
                <w:ilvl w:val="0"/>
                <w:numId w:val="6"/>
              </w:numPr>
              <w:rPr>
                <w:szCs w:val="23"/>
              </w:rPr>
            </w:pPr>
            <w:r w:rsidRPr="008A22C3">
              <w:rPr>
                <w:szCs w:val="23"/>
              </w:rPr>
              <w:t>Motel sites near an existing motel</w:t>
            </w:r>
          </w:p>
          <w:p w:rsidR="00784F8A" w:rsidRPr="00A52699" w:rsidRDefault="00784F8A" w:rsidP="00BA4326">
            <w:pPr>
              <w:pStyle w:val="ListParagraph"/>
              <w:numPr>
                <w:ilvl w:val="0"/>
                <w:numId w:val="6"/>
              </w:numPr>
              <w:rPr>
                <w:szCs w:val="23"/>
              </w:rPr>
            </w:pPr>
            <w:r w:rsidRPr="008A22C3">
              <w:rPr>
                <w:szCs w:val="23"/>
              </w:rPr>
              <w:t>Residential developments on the fringe of an urban area</w:t>
            </w:r>
          </w:p>
          <w:p w:rsidR="00784F8A" w:rsidRPr="00A52699" w:rsidRDefault="00784F8A" w:rsidP="00BA4326">
            <w:pPr>
              <w:pStyle w:val="ListParagraph"/>
              <w:numPr>
                <w:ilvl w:val="0"/>
                <w:numId w:val="6"/>
              </w:numPr>
              <w:rPr>
                <w:szCs w:val="23"/>
              </w:rPr>
            </w:pPr>
            <w:r w:rsidRPr="008A22C3">
              <w:rPr>
                <w:szCs w:val="23"/>
              </w:rPr>
              <w:t>Sites to be developed in residential use where the tract is one of the few vacant parcels in a developed area</w:t>
            </w:r>
          </w:p>
          <w:p w:rsidR="00784F8A" w:rsidRPr="00784F8A" w:rsidRDefault="00784F8A" w:rsidP="00BA4326">
            <w:pPr>
              <w:pStyle w:val="ListParagraph"/>
              <w:numPr>
                <w:ilvl w:val="0"/>
                <w:numId w:val="6"/>
              </w:numPr>
              <w:spacing w:after="120"/>
              <w:rPr>
                <w:spacing w:val="-2"/>
                <w:szCs w:val="23"/>
              </w:rPr>
            </w:pPr>
            <w:r w:rsidRPr="008A22C3">
              <w:rPr>
                <w:spacing w:val="-2"/>
                <w:szCs w:val="23"/>
              </w:rPr>
              <w:t>Occupied buildings located in an office complex being developed by phases</w:t>
            </w:r>
          </w:p>
        </w:tc>
      </w:tr>
      <w:tr w:rsidR="00784F8A" w:rsidRPr="00380CF5">
        <w:tc>
          <w:tcPr>
            <w:tcW w:w="2455" w:type="dxa"/>
          </w:tcPr>
          <w:p w:rsidR="00784F8A" w:rsidRDefault="00784F8A" w:rsidP="00225952">
            <w:pPr>
              <w:rPr>
                <w:highlight w:val="red"/>
              </w:rPr>
            </w:pPr>
          </w:p>
        </w:tc>
        <w:tc>
          <w:tcPr>
            <w:tcW w:w="7920" w:type="dxa"/>
          </w:tcPr>
          <w:p w:rsidR="00784F8A" w:rsidRDefault="00784F8A" w:rsidP="00784F8A">
            <w:pPr>
              <w:spacing w:after="120"/>
              <w:rPr>
                <w:szCs w:val="19"/>
              </w:rPr>
            </w:pPr>
            <w:r w:rsidRPr="00026F07">
              <w:rPr>
                <w:szCs w:val="19"/>
              </w:rPr>
              <w:t xml:space="preserve">Origin and destination studies may also be needed during multiphase projects to verify the assumptions made in the original analysis of impacts. In all cases, the data from the analogous site </w:t>
            </w:r>
            <w:r>
              <w:rPr>
                <w:szCs w:val="19"/>
              </w:rPr>
              <w:t>should</w:t>
            </w:r>
            <w:r w:rsidRPr="00026F07">
              <w:rPr>
                <w:szCs w:val="19"/>
              </w:rPr>
              <w:t xml:space="preserve"> be deemed accurate and defensible and should be approved by </w:t>
            </w:r>
            <w:r>
              <w:t xml:space="preserve">FDOT, </w:t>
            </w:r>
            <w:r w:rsidRPr="00026F07">
              <w:rPr>
                <w:szCs w:val="19"/>
              </w:rPr>
              <w:t>as well as any local review agencies.</w:t>
            </w:r>
          </w:p>
          <w:p w:rsidR="00784F8A" w:rsidRDefault="00784F8A" w:rsidP="00784F8A">
            <w:pPr>
              <w:spacing w:after="120"/>
              <w:rPr>
                <w:szCs w:val="19"/>
              </w:rPr>
            </w:pPr>
            <w:r>
              <w:rPr>
                <w:szCs w:val="19"/>
              </w:rPr>
              <w:t>In many cases, when not using a large scale travel model, this manual trip distribution is simply combined with a manual trip assignment. This does require a good knowledge of the market area of the development and area traffic patterns.</w:t>
            </w:r>
          </w:p>
          <w:p w:rsidR="00784F8A" w:rsidRPr="008A22C3" w:rsidRDefault="00784F8A" w:rsidP="00784F8A">
            <w:r>
              <w:rPr>
                <w:szCs w:val="19"/>
              </w:rPr>
              <w:t>See Exhibit 18.</w:t>
            </w:r>
          </w:p>
        </w:tc>
      </w:tr>
    </w:tbl>
    <w:p w:rsidR="00784F8A" w:rsidRDefault="00784F8A" w:rsidP="00784F8A">
      <w:pPr>
        <w:spacing w:after="200"/>
      </w:pPr>
      <w:r>
        <w:br w:type="page"/>
      </w:r>
    </w:p>
    <w:tbl>
      <w:tblPr>
        <w:tblW w:w="10375" w:type="dxa"/>
        <w:tblLayout w:type="fixed"/>
        <w:tblLook w:val="0000"/>
      </w:tblPr>
      <w:tblGrid>
        <w:gridCol w:w="2455"/>
        <w:gridCol w:w="7920"/>
      </w:tblGrid>
      <w:tr w:rsidR="00225952" w:rsidRPr="00380CF5">
        <w:tc>
          <w:tcPr>
            <w:tcW w:w="2455" w:type="dxa"/>
          </w:tcPr>
          <w:p w:rsidR="00784F8A" w:rsidRDefault="00784F8A" w:rsidP="00784F8A">
            <w:pPr>
              <w:pStyle w:val="Exhibit"/>
            </w:pPr>
          </w:p>
          <w:p w:rsidR="00784F8A" w:rsidRDefault="00784F8A" w:rsidP="00784F8A">
            <w:pPr>
              <w:pStyle w:val="Exhibit"/>
            </w:pPr>
            <w:r w:rsidRPr="00784F8A">
              <w:t xml:space="preserve">Exhibit </w:t>
            </w:r>
            <w:r>
              <w:t>18</w:t>
            </w:r>
          </w:p>
          <w:p w:rsidR="00784F8A" w:rsidRDefault="00784F8A" w:rsidP="00784F8A">
            <w:pPr>
              <w:pStyle w:val="ExhibitTitle"/>
              <w:rPr>
                <w:highlight w:val="red"/>
              </w:rPr>
            </w:pPr>
            <w:r>
              <w:t>Manual Distribution Example</w:t>
            </w:r>
          </w:p>
        </w:tc>
        <w:tc>
          <w:tcPr>
            <w:tcW w:w="7920" w:type="dxa"/>
          </w:tcPr>
          <w:p w:rsidR="00225952" w:rsidRDefault="00225952" w:rsidP="00784F8A">
            <w:pPr>
              <w:spacing w:after="120"/>
              <w:rPr>
                <w:szCs w:val="19"/>
              </w:rPr>
            </w:pPr>
            <w:r>
              <w:rPr>
                <w:szCs w:val="19"/>
              </w:rPr>
              <w:t xml:space="preserve"> </w:t>
            </w:r>
            <w:r>
              <w:rPr>
                <w:noProof/>
                <w:szCs w:val="19"/>
              </w:rPr>
              <w:drawing>
                <wp:inline distT="0" distB="0" distL="0" distR="0">
                  <wp:extent cx="4753917" cy="3098315"/>
                  <wp:effectExtent l="19050" t="0" r="8583" b="0"/>
                  <wp:docPr id="50" name="Picture 49" descr="2-5-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b.jpg"/>
                          <pic:cNvPicPr/>
                        </pic:nvPicPr>
                        <pic:blipFill>
                          <a:blip r:embed="rId96" cstate="print"/>
                          <a:stretch>
                            <a:fillRect/>
                          </a:stretch>
                        </pic:blipFill>
                        <pic:spPr>
                          <a:xfrm>
                            <a:off x="0" y="0"/>
                            <a:ext cx="4758405" cy="3101240"/>
                          </a:xfrm>
                          <a:prstGeom prst="rect">
                            <a:avLst/>
                          </a:prstGeom>
                        </pic:spPr>
                      </pic:pic>
                    </a:graphicData>
                  </a:graphic>
                </wp:inline>
              </w:drawing>
            </w:r>
          </w:p>
          <w:p w:rsidR="00225952" w:rsidRPr="00133E34" w:rsidRDefault="00225952" w:rsidP="00133E34">
            <w:pPr>
              <w:spacing w:after="120"/>
              <w:jc w:val="left"/>
              <w:rPr>
                <w:sz w:val="22"/>
                <w:szCs w:val="19"/>
              </w:rPr>
            </w:pPr>
            <w:r w:rsidRPr="00133E34">
              <w:rPr>
                <w:sz w:val="22"/>
                <w:szCs w:val="19"/>
              </w:rPr>
              <w:t xml:space="preserve">The manual distribution and assignment of trips </w:t>
            </w:r>
            <w:r w:rsidR="005A3F7B" w:rsidRPr="00133E34">
              <w:rPr>
                <w:sz w:val="22"/>
                <w:szCs w:val="19"/>
              </w:rPr>
              <w:br/>
            </w:r>
            <w:r w:rsidRPr="00133E34">
              <w:rPr>
                <w:b/>
                <w:i/>
                <w:sz w:val="20"/>
                <w:szCs w:val="19"/>
              </w:rPr>
              <w:t>Source</w:t>
            </w:r>
            <w:r w:rsidRPr="00133E34">
              <w:rPr>
                <w:i/>
                <w:sz w:val="20"/>
                <w:szCs w:val="19"/>
              </w:rPr>
              <w:t>: Site Impact Evaluation Handbook – FHWA 1985</w:t>
            </w:r>
            <w:r w:rsidRPr="00133E34">
              <w:rPr>
                <w:sz w:val="20"/>
                <w:szCs w:val="19"/>
              </w:rPr>
              <w:t xml:space="preserve"> </w:t>
            </w:r>
          </w:p>
          <w:p w:rsidR="00225952" w:rsidRDefault="00225952" w:rsidP="00225952">
            <w:pPr>
              <w:spacing w:after="120"/>
            </w:pPr>
            <w:r>
              <w:rPr>
                <w:noProof/>
              </w:rPr>
              <w:drawing>
                <wp:inline distT="0" distB="0" distL="0" distR="0">
                  <wp:extent cx="4307290" cy="3794078"/>
                  <wp:effectExtent l="19050" t="0" r="0" b="0"/>
                  <wp:docPr id="100" name="Picture 99" descr="2-5-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c.jpg"/>
                          <pic:cNvPicPr/>
                        </pic:nvPicPr>
                        <pic:blipFill>
                          <a:blip r:embed="rId97" cstate="print"/>
                          <a:srcRect b="3806"/>
                          <a:stretch>
                            <a:fillRect/>
                          </a:stretch>
                        </pic:blipFill>
                        <pic:spPr>
                          <a:xfrm>
                            <a:off x="0" y="0"/>
                            <a:ext cx="4307290" cy="3794078"/>
                          </a:xfrm>
                          <a:prstGeom prst="rect">
                            <a:avLst/>
                          </a:prstGeom>
                        </pic:spPr>
                      </pic:pic>
                    </a:graphicData>
                  </a:graphic>
                </wp:inline>
              </w:drawing>
            </w:r>
          </w:p>
          <w:p w:rsidR="00225952" w:rsidRDefault="00225952" w:rsidP="00133E34">
            <w:pPr>
              <w:spacing w:after="120"/>
              <w:jc w:val="left"/>
            </w:pPr>
            <w:r w:rsidRPr="00133E34">
              <w:rPr>
                <w:sz w:val="22"/>
              </w:rPr>
              <w:t xml:space="preserve">Example of the complexity of manual trip distribution     </w:t>
            </w:r>
            <w:r w:rsidRPr="00133E34">
              <w:rPr>
                <w:sz w:val="20"/>
              </w:rPr>
              <w:br/>
            </w:r>
            <w:r w:rsidRPr="00133E34">
              <w:rPr>
                <w:b/>
                <w:i/>
                <w:sz w:val="20"/>
              </w:rPr>
              <w:t>Source</w:t>
            </w:r>
            <w:r w:rsidRPr="00133E34">
              <w:rPr>
                <w:i/>
                <w:sz w:val="20"/>
              </w:rPr>
              <w:t>: NCHRP 187 – Quick Response Urban Travel Estimation Techniques and Transferable Patterns. TRB 1978</w:t>
            </w:r>
            <w:r w:rsidRPr="00133E34">
              <w:rPr>
                <w:sz w:val="20"/>
              </w:rPr>
              <w:t xml:space="preserve"> </w:t>
            </w:r>
          </w:p>
        </w:tc>
      </w:tr>
      <w:tr w:rsidR="00225952" w:rsidRPr="00380CF5" w:rsidTr="00225952">
        <w:tc>
          <w:tcPr>
            <w:tcW w:w="10375" w:type="dxa"/>
            <w:gridSpan w:val="2"/>
          </w:tcPr>
          <w:p w:rsidR="00225952" w:rsidRPr="006135BA" w:rsidRDefault="006B7F55" w:rsidP="00225952">
            <w:pPr>
              <w:pStyle w:val="Heading3"/>
            </w:pPr>
            <w:bookmarkStart w:id="80" w:name="_Toc264274092"/>
            <w:r>
              <w:lastRenderedPageBreak/>
              <w:t>2.6</w:t>
            </w:r>
            <w:r w:rsidR="00225952">
              <w:t xml:space="preserve">.2  </w:t>
            </w:r>
            <w:r w:rsidR="00225952" w:rsidRPr="006135BA">
              <w:t>Model Method</w:t>
            </w:r>
            <w:r w:rsidR="00225952">
              <w:t xml:space="preserve"> and “Blended” Methods</w:t>
            </w:r>
            <w:bookmarkEnd w:id="80"/>
          </w:p>
        </w:tc>
      </w:tr>
      <w:tr w:rsidR="00225952" w:rsidRPr="00380CF5">
        <w:tc>
          <w:tcPr>
            <w:tcW w:w="2455" w:type="dxa"/>
          </w:tcPr>
          <w:p w:rsidR="00225952" w:rsidRDefault="00225952" w:rsidP="00225952"/>
          <w:p w:rsidR="00225952" w:rsidRDefault="00225952" w:rsidP="00225952"/>
          <w:p w:rsidR="00225952" w:rsidRDefault="00225952" w:rsidP="00225952">
            <w:pPr>
              <w:pStyle w:val="SidebarSentence"/>
            </w:pPr>
            <w:r>
              <w:t>Justification and documentation of all adjustments to the model generated distribution should be included in the traffic analysis</w:t>
            </w:r>
          </w:p>
          <w:p w:rsidR="00243C41" w:rsidRDefault="00243C41" w:rsidP="00D44B2A">
            <w:pPr>
              <w:pStyle w:val="HeadSide20"/>
              <w:jc w:val="center"/>
            </w:pPr>
          </w:p>
          <w:p w:rsidR="00225952" w:rsidRDefault="00225952" w:rsidP="001C5E19">
            <w:pPr>
              <w:pStyle w:val="HeadSide20"/>
              <w:ind w:right="0"/>
              <w:jc w:val="center"/>
            </w:pPr>
            <w:r>
              <w:rPr>
                <w:noProof/>
              </w:rPr>
              <w:drawing>
                <wp:inline distT="0" distB="0" distL="0" distR="0">
                  <wp:extent cx="1388510" cy="545434"/>
                  <wp:effectExtent l="19050" t="0" r="2140" b="0"/>
                  <wp:docPr id="44" name="Picture 46" descr="button_presentation.png">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button_presentation.png"/>
                          <pic:cNvPicPr>
                            <a:picLocks noChangeAspect="1" noChangeArrowheads="1"/>
                          </pic:cNvPicPr>
                        </pic:nvPicPr>
                        <pic:blipFill>
                          <a:blip r:embed="rId35" cstate="print"/>
                          <a:srcRect/>
                          <a:stretch>
                            <a:fillRect/>
                          </a:stretch>
                        </pic:blipFill>
                        <pic:spPr bwMode="auto">
                          <a:xfrm>
                            <a:off x="0" y="0"/>
                            <a:ext cx="1392028" cy="546816"/>
                          </a:xfrm>
                          <a:prstGeom prst="rect">
                            <a:avLst/>
                          </a:prstGeom>
                          <a:noFill/>
                          <a:ln w="9525">
                            <a:noFill/>
                            <a:miter lim="800000"/>
                            <a:headEnd/>
                            <a:tailEnd/>
                          </a:ln>
                        </pic:spPr>
                      </pic:pic>
                    </a:graphicData>
                  </a:graphic>
                </wp:inline>
              </w:drawing>
            </w:r>
            <w:r w:rsidRPr="00D44B2A">
              <w:t>Model Distribution</w:t>
            </w:r>
          </w:p>
        </w:tc>
        <w:tc>
          <w:tcPr>
            <w:tcW w:w="7920" w:type="dxa"/>
          </w:tcPr>
          <w:p w:rsidR="00225952" w:rsidRDefault="00225952" w:rsidP="00225952">
            <w:r>
              <w:t>Model methods are generally preferred for developing trip distribution for large scale developments for two reasons: (1) most manual distribution and assignment techniques include numerous subjective inputs, and (2) Models typically can provide trip distribution projections for a base year and future years that can be used for estimating a proposed development’s trip distribution with some modifications. The base year and future year models should be reviewed to ensure the inherent network and socio-economic data are appropriate for the intended application. For example, the capacities of current and planned transportation improvements and land uses should be properly incorporated into the model to reflect the future roadway network at the time of completion of the proposed development.</w:t>
            </w:r>
          </w:p>
          <w:p w:rsidR="00225952" w:rsidRDefault="00225952" w:rsidP="00225952">
            <w:pPr>
              <w:spacing w:after="120"/>
            </w:pPr>
            <w:r>
              <w:t>The use of model methods to determine distribution percentages of vehicles is common in combination with manual assignment processes. However, for large networks, model assignments may be a more desirable method for determining the minimum time path between traffic analysis zones. A blended methodology should be approved by FDOT prior to use.</w:t>
            </w:r>
          </w:p>
          <w:p w:rsidR="00225952" w:rsidRDefault="00225952" w:rsidP="00225952">
            <w:pPr>
              <w:spacing w:after="120"/>
            </w:pPr>
            <w:r>
              <w:t>Manual trip distribution results and model outputs can be compared to provide reasonableness checks. Model methods may be used to determine an initial trip distribution and then manual adjustments may be made based on engineering judgment and familiarity with the transportation network. Justification and documentation of all adjustments to the model generated distribution should be included in the traffic analysis. Sufficient justification and explanation of the method used is needed, if the model assignment is manually adjusted. The original model plot  should be included in addition to the figure showing the adjusted distribution.</w:t>
            </w:r>
          </w:p>
        </w:tc>
      </w:tr>
    </w:tbl>
    <w:p w:rsidR="00225952" w:rsidRDefault="00225952" w:rsidP="00225952">
      <w:pPr>
        <w:pStyle w:val="Heading2"/>
        <w:sectPr w:rsidR="00225952" w:rsidSect="00832911">
          <w:headerReference w:type="default" r:id="rId98"/>
          <w:type w:val="continuous"/>
          <w:pgSz w:w="12240" w:h="15840" w:code="1"/>
          <w:pgMar w:top="1440" w:right="720" w:bottom="1440" w:left="1152" w:header="720" w:footer="720" w:gutter="0"/>
          <w:cols w:space="720"/>
          <w:docGrid w:linePitch="313"/>
        </w:sectPr>
      </w:pPr>
      <w:bookmarkStart w:id="81" w:name="_Toc232912658"/>
    </w:p>
    <w:p w:rsidR="00225952" w:rsidRDefault="00225952">
      <w:r>
        <w:rPr>
          <w:b/>
          <w:bCs/>
        </w:rPr>
        <w:lastRenderedPageBreak/>
        <w:br w:type="page"/>
      </w:r>
    </w:p>
    <w:tbl>
      <w:tblPr>
        <w:tblW w:w="10375" w:type="dxa"/>
        <w:tblLayout w:type="fixed"/>
        <w:tblLook w:val="0000"/>
      </w:tblPr>
      <w:tblGrid>
        <w:gridCol w:w="2455"/>
        <w:gridCol w:w="7920"/>
      </w:tblGrid>
      <w:tr w:rsidR="00225952" w:rsidRPr="00380CF5">
        <w:tc>
          <w:tcPr>
            <w:tcW w:w="10375" w:type="dxa"/>
            <w:gridSpan w:val="2"/>
          </w:tcPr>
          <w:p w:rsidR="00225952" w:rsidRPr="006135BA" w:rsidRDefault="006B7F55" w:rsidP="00225952">
            <w:pPr>
              <w:pStyle w:val="Heading2"/>
              <w:rPr>
                <w:noProof/>
              </w:rPr>
            </w:pPr>
            <w:bookmarkStart w:id="82" w:name="_Toc264274093"/>
            <w:r>
              <w:lastRenderedPageBreak/>
              <w:t>2.7</w:t>
            </w:r>
            <w:r w:rsidR="00225952">
              <w:t xml:space="preserve">  </w:t>
            </w:r>
            <w:r w:rsidR="00225952" w:rsidRPr="006135BA">
              <w:t xml:space="preserve">Mode Split/Alternative </w:t>
            </w:r>
            <w:r w:rsidR="00225952">
              <w:t>T</w:t>
            </w:r>
            <w:r w:rsidR="00225952" w:rsidRPr="006135BA">
              <w:t xml:space="preserve">ravel </w:t>
            </w:r>
            <w:r w:rsidR="00225952">
              <w:t>Forecasts</w:t>
            </w:r>
            <w:bookmarkEnd w:id="82"/>
            <w:r w:rsidR="00225952">
              <w:t xml:space="preserve"> </w:t>
            </w:r>
            <w:bookmarkEnd w:id="81"/>
          </w:p>
        </w:tc>
      </w:tr>
      <w:tr w:rsidR="00225952" w:rsidRPr="00380CF5">
        <w:tc>
          <w:tcPr>
            <w:tcW w:w="2455" w:type="dxa"/>
          </w:tcPr>
          <w:p w:rsidR="00225952" w:rsidRDefault="00225952" w:rsidP="00225952">
            <w:pPr>
              <w:pStyle w:val="SidebarSentence"/>
            </w:pPr>
          </w:p>
          <w:p w:rsidR="00225952" w:rsidRDefault="00225952" w:rsidP="00225952">
            <w:pPr>
              <w:pStyle w:val="SidebarSentence"/>
            </w:pPr>
            <w:r>
              <w:rPr>
                <w:noProof/>
              </w:rPr>
              <w:drawing>
                <wp:inline distT="0" distB="0" distL="0" distR="0">
                  <wp:extent cx="1054735" cy="1054735"/>
                  <wp:effectExtent l="19050" t="0" r="0" b="0"/>
                  <wp:docPr id="72" name="Picture 72" descr="iStep6ModeSpl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iStep6ModeSplit.png"/>
                          <pic:cNvPicPr>
                            <a:picLocks noChangeAspect="1" noChangeArrowheads="1"/>
                          </pic:cNvPicPr>
                        </pic:nvPicPr>
                        <pic:blipFill>
                          <a:blip r:embed="rId99" cstate="print"/>
                          <a:srcRect/>
                          <a:stretch>
                            <a:fillRect/>
                          </a:stretch>
                        </pic:blipFill>
                        <pic:spPr bwMode="auto">
                          <a:xfrm>
                            <a:off x="0" y="0"/>
                            <a:ext cx="1054735" cy="1054735"/>
                          </a:xfrm>
                          <a:prstGeom prst="rect">
                            <a:avLst/>
                          </a:prstGeom>
                          <a:noFill/>
                          <a:ln w="9525">
                            <a:noFill/>
                            <a:miter lim="800000"/>
                            <a:headEnd/>
                            <a:tailEnd/>
                          </a:ln>
                        </pic:spPr>
                      </pic:pic>
                    </a:graphicData>
                  </a:graphic>
                </wp:inline>
              </w:drawing>
            </w:r>
          </w:p>
          <w:p w:rsidR="00225952" w:rsidRDefault="00225952" w:rsidP="00225952">
            <w:pPr>
              <w:pStyle w:val="SidebarSentence"/>
            </w:pPr>
          </w:p>
          <w:p w:rsidR="00225952" w:rsidRPr="0078275C" w:rsidRDefault="00225952" w:rsidP="001E7D52">
            <w:pPr>
              <w:pStyle w:val="SidebarSentence"/>
            </w:pPr>
            <w:r>
              <w:br/>
              <w:t>The level of analysis will be made with FDOT and local agencies, including transit providers</w:t>
            </w:r>
          </w:p>
        </w:tc>
        <w:tc>
          <w:tcPr>
            <w:tcW w:w="7920" w:type="dxa"/>
          </w:tcPr>
          <w:p w:rsidR="00225952" w:rsidRDefault="00225952" w:rsidP="00225952">
            <w:r>
              <w:t xml:space="preserve">Mode split is the process of estimating the number of travelers between zones that are anticipated to use modes other than automobiles in site impact analysis. This process estimates how many people travel to and from a site by auto, transit, and other modes such as by bicycle or walking. </w:t>
            </w:r>
          </w:p>
          <w:p w:rsidR="00225952" w:rsidRDefault="00225952" w:rsidP="00225952">
            <w:r>
              <w:t xml:space="preserve">As Florida moves towards more emphasis on transit and some automobile trips are replaced with transit and ridesharing trips, it becomes more necessary to consider the inherent insensitivities of the typical mode split model to account for new and increased transit services, cycling and walking. </w:t>
            </w:r>
          </w:p>
          <w:p w:rsidR="00225952" w:rsidRDefault="00225952">
            <w:r>
              <w:t xml:space="preserve">The level of mode split analysis necessary can be determined on local conditions and should be made in coordination with FDOT and local agencies, including transit providers where applicable. In many instances, the Mode Split portion of the typical four-step modeling process will not be sufficient for corridor or site specific transit forecasting. </w:t>
            </w:r>
          </w:p>
          <w:p w:rsidR="00225952" w:rsidRDefault="00225952" w:rsidP="00225952">
            <w:r>
              <w:t xml:space="preserve">For example, a Multimodal Transportation District (MMTD),  or a Transportation Concurrency Exception Area (TCEA),  or a Transit Oriented Development (TOD),  is an area that requires special modal study based on more detailed  considerations. </w:t>
            </w:r>
          </w:p>
        </w:tc>
      </w:tr>
      <w:tr w:rsidR="00225952" w:rsidRPr="00380CF5">
        <w:tc>
          <w:tcPr>
            <w:tcW w:w="2455" w:type="dxa"/>
          </w:tcPr>
          <w:p w:rsidR="00225952" w:rsidRDefault="00225952">
            <w:pPr>
              <w:pStyle w:val="Heading4"/>
              <w:spacing w:after="240"/>
              <w:rPr>
                <w:highlight w:val="red"/>
              </w:rPr>
            </w:pPr>
            <w:r w:rsidRPr="006135BA">
              <w:t>Transit Mode Split Assessment Methods</w:t>
            </w:r>
          </w:p>
          <w:p w:rsidR="00225952" w:rsidRDefault="00225952" w:rsidP="00225952">
            <w:pPr>
              <w:pStyle w:val="SidebarSentence"/>
              <w:rPr>
                <w:highlight w:val="red"/>
              </w:rPr>
            </w:pPr>
          </w:p>
        </w:tc>
        <w:tc>
          <w:tcPr>
            <w:tcW w:w="7920" w:type="dxa"/>
          </w:tcPr>
          <w:p w:rsidR="00225952" w:rsidRDefault="00225952">
            <w:r>
              <w:t xml:space="preserve">The applicant will be required to provide justification on any transit bicycle, or pedestrian adjustment reducing vehicle trips. The justification will usually consist of a special study prepared to better understand the impact of existing or proposed transit service, levels of walking and bicycling and necessary commitments to needed infrastructure, or funding to support the existing or planned transit service in the area. </w:t>
            </w:r>
          </w:p>
          <w:p w:rsidR="00225952" w:rsidRDefault="00225952">
            <w:r w:rsidRPr="008323D4">
              <w:t xml:space="preserve">The applicable model mode split </w:t>
            </w:r>
            <w:r>
              <w:t xml:space="preserve">or transit forecast </w:t>
            </w:r>
            <w:r w:rsidRPr="008323D4">
              <w:t>needs to be reviewed to determine whether the transit routes, headways, and ridership rates are calibrated adequately prior to its acceptance in proposing additional transit alternatives in mitigating a proposed site’s impacts.</w:t>
            </w:r>
          </w:p>
        </w:tc>
      </w:tr>
      <w:tr w:rsidR="00225952" w:rsidRPr="00380CF5">
        <w:tc>
          <w:tcPr>
            <w:tcW w:w="2455" w:type="dxa"/>
          </w:tcPr>
          <w:p w:rsidR="00225952" w:rsidRDefault="00225952" w:rsidP="00225952">
            <w:pPr>
              <w:pStyle w:val="Heading4"/>
              <w:rPr>
                <w:rFonts w:ascii="Tahoma" w:eastAsia="Times New Roman" w:hAnsi="Tahoma"/>
              </w:rPr>
            </w:pPr>
            <w:r>
              <w:t xml:space="preserve">The </w:t>
            </w:r>
            <w:r w:rsidRPr="006135BA">
              <w:t>Transit</w:t>
            </w:r>
            <w:r>
              <w:t xml:space="preserve"> Boardings Estimation Tool (TBEST) </w:t>
            </w:r>
          </w:p>
          <w:p w:rsidR="00225952" w:rsidRPr="006135BA" w:rsidRDefault="00225952" w:rsidP="00225952">
            <w:pPr>
              <w:pStyle w:val="Heading3"/>
            </w:pPr>
          </w:p>
        </w:tc>
        <w:tc>
          <w:tcPr>
            <w:tcW w:w="7920" w:type="dxa"/>
          </w:tcPr>
          <w:p w:rsidR="00225952" w:rsidRDefault="00225952" w:rsidP="00225952">
            <w:bookmarkStart w:id="83" w:name="_Toc232912659"/>
            <w:r>
              <w:t xml:space="preserve">The FDOT’s Public Transit Office has developed the transit analysis tool TBEST (The Transit Boardings Estimation and Simulation Tool) that may be used in transit assessments. </w:t>
            </w:r>
          </w:p>
          <w:p w:rsidR="00225952" w:rsidRDefault="00225952" w:rsidP="00225952">
            <w:r>
              <w:t xml:space="preserve">TBEST is a comprehensive transit analysis and ridership forecasting model that is capable of simulating transit  travel demand at the individual stop-level while accounting for factors such as sidewalk coverage, network connectivity, bus headways, transfers, time-of-day variations, and route competition. TBEST </w:t>
            </w:r>
            <w:r>
              <w:lastRenderedPageBreak/>
              <w:t xml:space="preserve">simulates transit ridership in a way that allows it to provide detailed information regarding ridership estimates at individual stops. TBEST can also be used to obtain route level, segment level, location-based, or system level measures through the  stop-level outputs. By simulating ridership at the level of the individual stop, the model can provide a strong framework for modeling transit ridership. </w:t>
            </w:r>
          </w:p>
          <w:p w:rsidR="00225952" w:rsidRDefault="00225952" w:rsidP="00225952">
            <w:r>
              <w:t>The use of TBEST for impact assessments should be discussed by the applicant and review agencies (including transit agencies) and a clear methodology should be defined. It  is recognized that TBEST it may not be applicable in all case.  TBEST provides users with a specialized transit planning model to supplement or to replace the use of the more standard travel tools.</w:t>
            </w:r>
            <w:bookmarkEnd w:id="83"/>
          </w:p>
        </w:tc>
      </w:tr>
      <w:tr w:rsidR="00225952" w:rsidRPr="00380CF5">
        <w:tc>
          <w:tcPr>
            <w:tcW w:w="2455" w:type="dxa"/>
          </w:tcPr>
          <w:p w:rsidR="00221BB9" w:rsidRDefault="00221BB9" w:rsidP="00221BB9">
            <w:pPr>
              <w:spacing w:after="0"/>
            </w:pPr>
            <w:r>
              <w:rPr>
                <w:noProof/>
              </w:rPr>
              <w:lastRenderedPageBreak/>
              <w:drawing>
                <wp:inline distT="0" distB="0" distL="0" distR="0">
                  <wp:extent cx="1391920" cy="543560"/>
                  <wp:effectExtent l="19050" t="0" r="0" b="0"/>
                  <wp:docPr id="62" name="Picture 54" descr="button_web.png">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button_web.png"/>
                          <pic:cNvPicPr>
                            <a:picLocks noChangeAspect="1" noChangeArrowheads="1"/>
                          </pic:cNvPicPr>
                        </pic:nvPicPr>
                        <pic:blipFill>
                          <a:blip r:embed="rId26" cstate="print"/>
                          <a:srcRect/>
                          <a:stretch>
                            <a:fillRect/>
                          </a:stretch>
                        </pic:blipFill>
                        <pic:spPr bwMode="auto">
                          <a:xfrm>
                            <a:off x="0" y="0"/>
                            <a:ext cx="1391920" cy="543560"/>
                          </a:xfrm>
                          <a:prstGeom prst="rect">
                            <a:avLst/>
                          </a:prstGeom>
                          <a:noFill/>
                          <a:ln w="9525">
                            <a:noFill/>
                            <a:miter lim="800000"/>
                            <a:headEnd/>
                            <a:tailEnd/>
                          </a:ln>
                        </pic:spPr>
                      </pic:pic>
                    </a:graphicData>
                  </a:graphic>
                </wp:inline>
              </w:drawing>
            </w:r>
          </w:p>
          <w:p w:rsidR="001E7D52" w:rsidRPr="001E7D52" w:rsidRDefault="001E7D52" w:rsidP="001E7D52">
            <w:pPr>
              <w:pStyle w:val="HeadSide20"/>
              <w:jc w:val="center"/>
            </w:pPr>
            <w:r>
              <w:t>www.tbest.org</w:t>
            </w:r>
          </w:p>
        </w:tc>
        <w:tc>
          <w:tcPr>
            <w:tcW w:w="7920" w:type="dxa"/>
          </w:tcPr>
          <w:p w:rsidR="00225952" w:rsidRDefault="00225952" w:rsidP="00225952">
            <w:r>
              <w:t xml:space="preserve">More detailed information about TBEST and its use can be reviewed on-line at </w:t>
            </w:r>
            <w:hyperlink r:id="rId101" w:history="1">
              <w:r w:rsidRPr="003A4063">
                <w:rPr>
                  <w:rStyle w:val="Hyperlink"/>
                </w:rPr>
                <w:t>http://www.tbest.org/</w:t>
              </w:r>
            </w:hyperlink>
          </w:p>
        </w:tc>
      </w:tr>
      <w:tr w:rsidR="00225952" w:rsidRPr="00380CF5">
        <w:tc>
          <w:tcPr>
            <w:tcW w:w="2455" w:type="dxa"/>
          </w:tcPr>
          <w:p w:rsidR="00225952" w:rsidRDefault="00225952" w:rsidP="00225952">
            <w:pPr>
              <w:pStyle w:val="Heading4"/>
              <w:rPr>
                <w:rFonts w:ascii="Tahoma" w:hAnsi="Tahoma"/>
              </w:rPr>
            </w:pPr>
            <w:r w:rsidRPr="006135BA">
              <w:t>FSUTMS</w:t>
            </w:r>
            <w:r>
              <w:t xml:space="preserve"> and Transit Modeling </w:t>
            </w:r>
          </w:p>
          <w:p w:rsidR="00225952" w:rsidRPr="006135BA" w:rsidRDefault="00225952" w:rsidP="00225952">
            <w:pPr>
              <w:pStyle w:val="Heading3"/>
            </w:pPr>
          </w:p>
        </w:tc>
        <w:tc>
          <w:tcPr>
            <w:tcW w:w="7920" w:type="dxa"/>
          </w:tcPr>
          <w:p w:rsidR="00225952" w:rsidRDefault="00225952" w:rsidP="00225952">
            <w:r>
              <w:t>Large scale travel models, such as FSUTMS  provide mode split data. The model applies vehicle occupancy factors or transit usage equations to convert person-trips to vehicle-trips. The vehicle occupancies differ by trip purpose. For example, work trips generally have fewer passengers than recreational trips. Information from a FSUTMS model should be reviewed carefully to understand the level of transit sensitivity in the base model and to understand how the development and proposed network changes were coded.</w:t>
            </w:r>
          </w:p>
        </w:tc>
      </w:tr>
    </w:tbl>
    <w:p w:rsidR="00225952" w:rsidRDefault="00225952" w:rsidP="00225952">
      <w:pPr>
        <w:sectPr w:rsidR="00225952" w:rsidSect="00832911">
          <w:headerReference w:type="default" r:id="rId102"/>
          <w:type w:val="continuous"/>
          <w:pgSz w:w="12240" w:h="15840"/>
          <w:pgMar w:top="1440" w:right="720" w:bottom="1440" w:left="1152" w:header="720" w:footer="720" w:gutter="0"/>
          <w:cols w:space="720"/>
          <w:docGrid w:linePitch="360"/>
        </w:sectPr>
      </w:pPr>
      <w:bookmarkStart w:id="84" w:name="_Toc232912661"/>
    </w:p>
    <w:p w:rsidR="00225952" w:rsidRDefault="00225952" w:rsidP="00225952">
      <w:pPr>
        <w:pStyle w:val="Heading2"/>
        <w:sectPr w:rsidR="00225952" w:rsidSect="00832911">
          <w:type w:val="continuous"/>
          <w:pgSz w:w="12240" w:h="15840"/>
          <w:pgMar w:top="1440" w:right="720" w:bottom="1440" w:left="1152" w:header="720" w:footer="720" w:gutter="0"/>
          <w:cols w:space="720"/>
          <w:docGrid w:linePitch="360"/>
        </w:sectPr>
      </w:pPr>
    </w:p>
    <w:tbl>
      <w:tblPr>
        <w:tblW w:w="10375" w:type="dxa"/>
        <w:tblLayout w:type="fixed"/>
        <w:tblLook w:val="0000"/>
      </w:tblPr>
      <w:tblGrid>
        <w:gridCol w:w="2455"/>
        <w:gridCol w:w="7920"/>
      </w:tblGrid>
      <w:tr w:rsidR="00225952" w:rsidRPr="00380CF5">
        <w:tc>
          <w:tcPr>
            <w:tcW w:w="10375" w:type="dxa"/>
            <w:gridSpan w:val="2"/>
          </w:tcPr>
          <w:p w:rsidR="00225952" w:rsidRDefault="006B7F55">
            <w:pPr>
              <w:pStyle w:val="Heading2"/>
            </w:pPr>
            <w:bookmarkStart w:id="85" w:name="_Toc264274094"/>
            <w:r>
              <w:lastRenderedPageBreak/>
              <w:t>2.8</w:t>
            </w:r>
            <w:r w:rsidR="00225952" w:rsidRPr="001C07A6">
              <w:t xml:space="preserve">  Trip Assignment</w:t>
            </w:r>
            <w:bookmarkEnd w:id="85"/>
            <w:r w:rsidR="00225952" w:rsidRPr="001C07A6">
              <w:t xml:space="preserve"> </w:t>
            </w:r>
            <w:bookmarkEnd w:id="84"/>
          </w:p>
        </w:tc>
      </w:tr>
      <w:tr w:rsidR="00225952" w:rsidRPr="00380CF5">
        <w:tc>
          <w:tcPr>
            <w:tcW w:w="2455" w:type="dxa"/>
          </w:tcPr>
          <w:p w:rsidR="00225952" w:rsidRDefault="00225952" w:rsidP="00221BB9">
            <w:pPr>
              <w:pStyle w:val="SidebarSentence"/>
              <w:jc w:val="center"/>
            </w:pPr>
            <w:r>
              <w:rPr>
                <w:noProof/>
              </w:rPr>
              <w:drawing>
                <wp:inline distT="0" distB="0" distL="0" distR="0">
                  <wp:extent cx="1161415" cy="1144905"/>
                  <wp:effectExtent l="19050" t="0" r="635" b="0"/>
                  <wp:docPr id="73" name="Picture 73" descr="iStep7Assig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iStep7Assign.png"/>
                          <pic:cNvPicPr>
                            <a:picLocks noChangeAspect="1" noChangeArrowheads="1"/>
                          </pic:cNvPicPr>
                        </pic:nvPicPr>
                        <pic:blipFill>
                          <a:blip r:embed="rId103" cstate="print"/>
                          <a:srcRect/>
                          <a:stretch>
                            <a:fillRect/>
                          </a:stretch>
                        </pic:blipFill>
                        <pic:spPr bwMode="auto">
                          <a:xfrm>
                            <a:off x="0" y="0"/>
                            <a:ext cx="1161415" cy="1144905"/>
                          </a:xfrm>
                          <a:prstGeom prst="rect">
                            <a:avLst/>
                          </a:prstGeom>
                          <a:noFill/>
                          <a:ln w="9525">
                            <a:noFill/>
                            <a:miter lim="800000"/>
                            <a:headEnd/>
                            <a:tailEnd/>
                          </a:ln>
                        </pic:spPr>
                      </pic:pic>
                    </a:graphicData>
                  </a:graphic>
                </wp:inline>
              </w:drawing>
            </w:r>
          </w:p>
          <w:p w:rsidR="00225952" w:rsidRDefault="00225952" w:rsidP="00225952">
            <w:pPr>
              <w:pStyle w:val="SidebarSentence"/>
            </w:pPr>
          </w:p>
          <w:p w:rsidR="00225952" w:rsidRDefault="00225952" w:rsidP="00225952">
            <w:pPr>
              <w:pStyle w:val="SidebarSentence"/>
            </w:pPr>
            <w:r>
              <w:t>Trip distribution and assignment are two related but distinct activities</w:t>
            </w:r>
          </w:p>
          <w:p w:rsidR="00221BB9" w:rsidRDefault="00221BB9"/>
          <w:p w:rsidR="001C5E19" w:rsidRDefault="001C5E19" w:rsidP="001C5E19"/>
          <w:p w:rsidR="001C5E19" w:rsidRDefault="001C5E19" w:rsidP="001C5E19"/>
          <w:p w:rsidR="001C5E19" w:rsidRDefault="001C5E19" w:rsidP="001C5E19">
            <w:pPr>
              <w:spacing w:after="0"/>
            </w:pPr>
            <w:r w:rsidRPr="001C5E19">
              <w:rPr>
                <w:noProof/>
              </w:rPr>
              <w:drawing>
                <wp:inline distT="0" distB="0" distL="0" distR="0">
                  <wp:extent cx="1408430" cy="543560"/>
                  <wp:effectExtent l="19050" t="0" r="0" b="0"/>
                  <wp:docPr id="545" name="Picture 8" descr="button_PDFlink.png">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utton_PDFlink.png"/>
                          <pic:cNvPicPr>
                            <a:picLocks noChangeAspect="1" noChangeArrowheads="1"/>
                          </pic:cNvPicPr>
                        </pic:nvPicPr>
                        <pic:blipFill>
                          <a:blip r:embed="rId15" cstate="print"/>
                          <a:srcRect/>
                          <a:stretch>
                            <a:fillRect/>
                          </a:stretch>
                        </pic:blipFill>
                        <pic:spPr bwMode="auto">
                          <a:xfrm>
                            <a:off x="0" y="0"/>
                            <a:ext cx="1408430" cy="543560"/>
                          </a:xfrm>
                          <a:prstGeom prst="rect">
                            <a:avLst/>
                          </a:prstGeom>
                          <a:noFill/>
                          <a:ln w="9525">
                            <a:noFill/>
                            <a:miter lim="800000"/>
                            <a:headEnd/>
                            <a:tailEnd/>
                          </a:ln>
                        </pic:spPr>
                      </pic:pic>
                    </a:graphicData>
                  </a:graphic>
                </wp:inline>
              </w:drawing>
            </w:r>
          </w:p>
          <w:p w:rsidR="001C5E19" w:rsidRPr="001C5E19" w:rsidRDefault="001C5E19" w:rsidP="001C5E19">
            <w:pPr>
              <w:pStyle w:val="HeadSide20"/>
              <w:jc w:val="center"/>
            </w:pPr>
            <w:r>
              <w:t>Project Traffic Forecasting Handbook</w:t>
            </w:r>
          </w:p>
        </w:tc>
        <w:tc>
          <w:tcPr>
            <w:tcW w:w="7920" w:type="dxa"/>
          </w:tcPr>
          <w:p w:rsidR="00225952" w:rsidRDefault="00225952" w:rsidP="00225952">
            <w:r>
              <w:t>Trip assignment involves determining the amount of traffic that will use each access point and route on the roadway network. Trip assignment determines the number of site-generated turning and through movements at each intersection and roadway segment of the study area network.</w:t>
            </w:r>
          </w:p>
          <w:p w:rsidR="00225952" w:rsidRDefault="00225952" w:rsidP="00225952">
            <w:r>
              <w:t>Trip distribution and assignment are two related but distinct activities. Trip distribution is the step in determining where trips wish to go. Assignment is the subsequent step in which the trips are placed on the network to reach the desired destination.</w:t>
            </w:r>
          </w:p>
          <w:p w:rsidR="00225952" w:rsidRDefault="00225952" w:rsidP="001C5E19">
            <w:r w:rsidRPr="00296178">
              <w:t>The product</w:t>
            </w:r>
            <w:r>
              <w:t>s</w:t>
            </w:r>
            <w:r w:rsidRPr="00296178">
              <w:t xml:space="preserve"> of the assignment step </w:t>
            </w:r>
            <w:r>
              <w:t xml:space="preserve"> are traffic </w:t>
            </w:r>
            <w:r w:rsidRPr="00296178">
              <w:t xml:space="preserve">volumes appropriate for use in the analysis of  operating conditions. It is important to note that traffic factors will usually need to be applied to both field collected data and model derived volumes. </w:t>
            </w:r>
            <w:r>
              <w:t xml:space="preserve">For example, </w:t>
            </w:r>
            <w:r w:rsidRPr="00180CD3">
              <w:rPr>
                <w:b/>
              </w:rPr>
              <w:t>Model Output Conversion Factors</w:t>
            </w:r>
            <w:r>
              <w:t xml:space="preserve"> (MOCF) by the FDOT are used to convert peak season weekday average daily traffic (PSWADT) volumes assigned by travel demand forecasting models to estimated AADT volumes. </w:t>
            </w:r>
            <w:r w:rsidRPr="00296178">
              <w:t xml:space="preserve">The use of traffic factors is summarized in the </w:t>
            </w:r>
            <w:r w:rsidRPr="00633F01">
              <w:rPr>
                <w:b/>
              </w:rPr>
              <w:t>FDOT Quality/LOS Handbook</w:t>
            </w:r>
            <w:r>
              <w:t xml:space="preserve">. Even when using FDOT approved adjustments, care must be taken to see if the output is reasonable.  A full description of the MOCF as well as other adjustments is found in the </w:t>
            </w:r>
            <w:r w:rsidRPr="005A3F7B">
              <w:rPr>
                <w:b/>
              </w:rPr>
              <w:t xml:space="preserve">Project Traffic Forecasting Handbook </w:t>
            </w:r>
            <w:r w:rsidR="001C5E19">
              <w:t>.</w:t>
            </w:r>
          </w:p>
        </w:tc>
      </w:tr>
    </w:tbl>
    <w:p w:rsidR="00225952" w:rsidRDefault="00225952" w:rsidP="00225952">
      <w:pPr>
        <w:pStyle w:val="Heading3"/>
        <w:sectPr w:rsidR="00225952" w:rsidSect="00832911">
          <w:headerReference w:type="default" r:id="rId104"/>
          <w:pgSz w:w="12240" w:h="15840"/>
          <w:pgMar w:top="1440" w:right="720" w:bottom="1440" w:left="1152" w:header="720" w:footer="720" w:gutter="0"/>
          <w:cols w:space="720"/>
          <w:docGrid w:linePitch="360"/>
        </w:sectPr>
      </w:pPr>
    </w:p>
    <w:tbl>
      <w:tblPr>
        <w:tblW w:w="10375" w:type="dxa"/>
        <w:tblLayout w:type="fixed"/>
        <w:tblLook w:val="0000"/>
      </w:tblPr>
      <w:tblGrid>
        <w:gridCol w:w="2455"/>
        <w:gridCol w:w="7920"/>
      </w:tblGrid>
      <w:tr w:rsidR="00225952" w:rsidRPr="00380CF5" w:rsidTr="00225952">
        <w:tc>
          <w:tcPr>
            <w:tcW w:w="10375" w:type="dxa"/>
            <w:gridSpan w:val="2"/>
          </w:tcPr>
          <w:p w:rsidR="00225952" w:rsidRDefault="006B7F55" w:rsidP="00225952">
            <w:pPr>
              <w:pStyle w:val="Heading3"/>
            </w:pPr>
            <w:bookmarkStart w:id="86" w:name="_Toc264274095"/>
            <w:r>
              <w:lastRenderedPageBreak/>
              <w:t>2.8</w:t>
            </w:r>
            <w:r w:rsidR="00225952">
              <w:t>.1  G</w:t>
            </w:r>
            <w:r w:rsidR="00225952" w:rsidRPr="006135BA">
              <w:t>eneral Considerations</w:t>
            </w:r>
            <w:bookmarkEnd w:id="86"/>
          </w:p>
        </w:tc>
      </w:tr>
      <w:tr w:rsidR="00225952" w:rsidRPr="00380CF5">
        <w:tc>
          <w:tcPr>
            <w:tcW w:w="2455" w:type="dxa"/>
          </w:tcPr>
          <w:p w:rsidR="00225952" w:rsidRDefault="00225952" w:rsidP="00225952">
            <w:pPr>
              <w:pStyle w:val="SidebarSentence"/>
              <w:rPr>
                <w:noProof/>
              </w:rPr>
            </w:pPr>
          </w:p>
        </w:tc>
        <w:tc>
          <w:tcPr>
            <w:tcW w:w="7920" w:type="dxa"/>
          </w:tcPr>
          <w:p w:rsidR="00225952" w:rsidRDefault="00225952" w:rsidP="00225952">
            <w:r>
              <w:t>Several important general considerations are involved in preparing trip assignment. These considerations are highlighted below, followed by detailed discussion of specific modeling techniques and analysis procedures.</w:t>
            </w:r>
          </w:p>
          <w:p w:rsidR="00225952" w:rsidRDefault="00225952" w:rsidP="00225952">
            <w:r>
              <w:t>Trip assignment should begin by identifying multiple paths between origins and destinations. The potential for using these paths can then be evaluated on a comparative basis considering:</w:t>
            </w:r>
          </w:p>
        </w:tc>
      </w:tr>
      <w:tr w:rsidR="00225952" w:rsidRPr="00380CF5" w:rsidTr="002436BF">
        <w:tc>
          <w:tcPr>
            <w:tcW w:w="2455" w:type="dxa"/>
          </w:tcPr>
          <w:p w:rsidR="00225952" w:rsidRDefault="00225952" w:rsidP="00225952">
            <w:pPr>
              <w:pStyle w:val="SidebarSentence"/>
              <w:rPr>
                <w:noProof/>
              </w:rPr>
            </w:pPr>
          </w:p>
        </w:tc>
        <w:tc>
          <w:tcPr>
            <w:tcW w:w="7920" w:type="dxa"/>
          </w:tcPr>
          <w:p w:rsidR="00225952" w:rsidRPr="00A52699" w:rsidRDefault="00225952" w:rsidP="00AD2D7A">
            <w:pPr>
              <w:pStyle w:val="BulletA"/>
              <w:numPr>
                <w:ilvl w:val="0"/>
                <w:numId w:val="135"/>
              </w:numPr>
              <w:ind w:left="720"/>
            </w:pPr>
            <w:r w:rsidRPr="008A22C3">
              <w:t xml:space="preserve">Driver tendencies and local patterns in developing logical travel routes. </w:t>
            </w:r>
          </w:p>
          <w:p w:rsidR="00225952" w:rsidRPr="00A52699" w:rsidRDefault="00225952" w:rsidP="002436BF">
            <w:pPr>
              <w:pStyle w:val="ListParagraph"/>
              <w:numPr>
                <w:ilvl w:val="1"/>
                <w:numId w:val="7"/>
              </w:numPr>
              <w:rPr>
                <w:szCs w:val="23"/>
              </w:rPr>
            </w:pPr>
            <w:r w:rsidRPr="008A22C3">
              <w:rPr>
                <w:rFonts w:eastAsia="Times New Roman"/>
                <w:szCs w:val="23"/>
              </w:rPr>
              <w:t>For example, drivers often will use the first convenient driveway they reach to access a site with multiple driveways.</w:t>
            </w:r>
          </w:p>
          <w:p w:rsidR="00225952" w:rsidRDefault="00225952" w:rsidP="002436BF">
            <w:pPr>
              <w:pStyle w:val="ListParagraph"/>
              <w:numPr>
                <w:ilvl w:val="1"/>
                <w:numId w:val="7"/>
              </w:numPr>
            </w:pPr>
            <w:r w:rsidRPr="008A22C3">
              <w:rPr>
                <w:rFonts w:eastAsia="Times New Roman"/>
                <w:szCs w:val="23"/>
              </w:rPr>
              <w:t>Driver characteristics reflecting the proposed land use (will drivers tend to use back roads/local connections or are they new to the area and will tend towards major travel routes that are well signed).</w:t>
            </w:r>
          </w:p>
        </w:tc>
      </w:tr>
      <w:tr w:rsidR="00225952" w:rsidRPr="00380CF5" w:rsidTr="002436BF">
        <w:tc>
          <w:tcPr>
            <w:tcW w:w="2455" w:type="dxa"/>
          </w:tcPr>
          <w:p w:rsidR="00225952" w:rsidRPr="006135BA" w:rsidRDefault="00225952" w:rsidP="00225952">
            <w:pPr>
              <w:pStyle w:val="Heading3"/>
            </w:pPr>
          </w:p>
        </w:tc>
        <w:tc>
          <w:tcPr>
            <w:tcW w:w="7920" w:type="dxa"/>
          </w:tcPr>
          <w:p w:rsidR="00225952" w:rsidRDefault="00225952" w:rsidP="002436BF">
            <w:pPr>
              <w:pStyle w:val="ListParagraph"/>
              <w:numPr>
                <w:ilvl w:val="0"/>
                <w:numId w:val="7"/>
              </w:numPr>
              <w:rPr>
                <w:szCs w:val="23"/>
              </w:rPr>
            </w:pPr>
            <w:r w:rsidRPr="008A22C3">
              <w:rPr>
                <w:rFonts w:eastAsia="Times New Roman"/>
                <w:szCs w:val="23"/>
              </w:rPr>
              <w:t>The design of the internal circulation systems and the location of residential land uses;</w:t>
            </w:r>
          </w:p>
          <w:p w:rsidR="00225952" w:rsidRDefault="00225952" w:rsidP="00BA4326">
            <w:pPr>
              <w:pStyle w:val="ListParagraph"/>
              <w:numPr>
                <w:ilvl w:val="1"/>
                <w:numId w:val="7"/>
              </w:numPr>
              <w:rPr>
                <w:szCs w:val="23"/>
              </w:rPr>
            </w:pPr>
            <w:r w:rsidRPr="008A22C3">
              <w:rPr>
                <w:rFonts w:eastAsia="Times New Roman"/>
                <w:szCs w:val="23"/>
              </w:rPr>
              <w:t>The outbound trips tend to be more evenly distributed among multiple exits than the inbound trips;</w:t>
            </w:r>
          </w:p>
          <w:p w:rsidR="00225952" w:rsidRPr="00A52699" w:rsidRDefault="00225952" w:rsidP="00BA4326">
            <w:pPr>
              <w:pStyle w:val="ListParagraph"/>
              <w:numPr>
                <w:ilvl w:val="0"/>
                <w:numId w:val="7"/>
              </w:numPr>
              <w:rPr>
                <w:szCs w:val="23"/>
              </w:rPr>
            </w:pPr>
            <w:r w:rsidRPr="008A22C3">
              <w:rPr>
                <w:rFonts w:eastAsia="Times New Roman"/>
                <w:szCs w:val="23"/>
              </w:rPr>
              <w:t>Available roadway capacities</w:t>
            </w:r>
          </w:p>
          <w:p w:rsidR="00225952" w:rsidRPr="00A52699" w:rsidRDefault="00225952" w:rsidP="00BA4326">
            <w:pPr>
              <w:pStyle w:val="ListParagraph"/>
              <w:numPr>
                <w:ilvl w:val="1"/>
                <w:numId w:val="7"/>
              </w:numPr>
              <w:rPr>
                <w:szCs w:val="23"/>
              </w:rPr>
            </w:pPr>
            <w:r w:rsidRPr="008A22C3">
              <w:rPr>
                <w:rFonts w:eastAsia="Times New Roman"/>
                <w:szCs w:val="23"/>
              </w:rPr>
              <w:t>Identify known capacity constraints and assess how constraints may impact alternative evaluation/routing.</w:t>
            </w:r>
          </w:p>
          <w:p w:rsidR="00225952" w:rsidRPr="00A52699" w:rsidRDefault="00225952" w:rsidP="00BA4326">
            <w:pPr>
              <w:pStyle w:val="ListParagraph"/>
              <w:numPr>
                <w:ilvl w:val="1"/>
                <w:numId w:val="7"/>
              </w:numPr>
              <w:rPr>
                <w:spacing w:val="-6"/>
                <w:szCs w:val="23"/>
              </w:rPr>
            </w:pPr>
            <w:r w:rsidRPr="008A22C3">
              <w:rPr>
                <w:rFonts w:eastAsia="Times New Roman"/>
                <w:spacing w:val="-6"/>
                <w:szCs w:val="23"/>
              </w:rPr>
              <w:t>Turn movement capacity and restrictions; particularly for left-turns.</w:t>
            </w:r>
          </w:p>
          <w:p w:rsidR="00225952" w:rsidRPr="00A52699" w:rsidRDefault="00225952" w:rsidP="00BA4326">
            <w:pPr>
              <w:pStyle w:val="ListParagraph"/>
              <w:numPr>
                <w:ilvl w:val="0"/>
                <w:numId w:val="7"/>
              </w:numPr>
              <w:rPr>
                <w:szCs w:val="23"/>
              </w:rPr>
            </w:pPr>
            <w:r w:rsidRPr="008A22C3">
              <w:rPr>
                <w:rFonts w:eastAsia="Times New Roman"/>
                <w:szCs w:val="23"/>
              </w:rPr>
              <w:t>Relative travel times.</w:t>
            </w:r>
          </w:p>
          <w:p w:rsidR="00225952" w:rsidRPr="00A52699" w:rsidRDefault="00225952" w:rsidP="00BA4326">
            <w:pPr>
              <w:pStyle w:val="ListParagraph"/>
              <w:numPr>
                <w:ilvl w:val="1"/>
                <w:numId w:val="7"/>
              </w:numPr>
              <w:rPr>
                <w:szCs w:val="23"/>
              </w:rPr>
            </w:pPr>
            <w:r w:rsidRPr="008A22C3">
              <w:rPr>
                <w:rFonts w:eastAsia="Times New Roman"/>
                <w:szCs w:val="23"/>
              </w:rPr>
              <w:t>The proposed land use may impact driver needs and tendencies – for example, the differences between a daily commute trip and a recreational tourist exploration trip.</w:t>
            </w:r>
          </w:p>
          <w:p w:rsidR="00225952" w:rsidRPr="00A52699" w:rsidRDefault="00225952" w:rsidP="00BA4326">
            <w:pPr>
              <w:pStyle w:val="ListParagraph"/>
              <w:numPr>
                <w:ilvl w:val="1"/>
                <w:numId w:val="7"/>
              </w:numPr>
              <w:rPr>
                <w:szCs w:val="23"/>
              </w:rPr>
            </w:pPr>
            <w:r w:rsidRPr="008A22C3">
              <w:rPr>
                <w:rFonts w:eastAsia="Times New Roman"/>
                <w:szCs w:val="23"/>
              </w:rPr>
              <w:t>Horizon years and corresponding conditions at the time.</w:t>
            </w:r>
          </w:p>
          <w:p w:rsidR="00225952" w:rsidRPr="00A52699" w:rsidRDefault="00225952" w:rsidP="00BA4326">
            <w:pPr>
              <w:pStyle w:val="ListParagraph"/>
              <w:numPr>
                <w:ilvl w:val="1"/>
                <w:numId w:val="7"/>
              </w:numPr>
              <w:rPr>
                <w:szCs w:val="23"/>
              </w:rPr>
            </w:pPr>
            <w:r w:rsidRPr="008A22C3">
              <w:rPr>
                <w:rFonts w:eastAsia="Times New Roman"/>
                <w:szCs w:val="23"/>
              </w:rPr>
              <w:t>Planned improvements or network changes could result in changes to trip assignment compared to current conditions or when evaluating multiple horizon years.</w:t>
            </w:r>
          </w:p>
          <w:p w:rsidR="00225952" w:rsidRPr="00A52699" w:rsidRDefault="00225952" w:rsidP="00BA4326">
            <w:pPr>
              <w:pStyle w:val="ListParagraph"/>
              <w:numPr>
                <w:ilvl w:val="1"/>
                <w:numId w:val="7"/>
              </w:numPr>
              <w:rPr>
                <w:szCs w:val="23"/>
              </w:rPr>
            </w:pPr>
            <w:r w:rsidRPr="008A22C3">
              <w:rPr>
                <w:rFonts w:eastAsia="Times New Roman"/>
                <w:szCs w:val="23"/>
              </w:rPr>
              <w:t>Travel paths may vary by time of day.</w:t>
            </w:r>
          </w:p>
          <w:p w:rsidR="00225952" w:rsidRPr="00A52699" w:rsidRDefault="00225952" w:rsidP="00BA4326">
            <w:pPr>
              <w:pStyle w:val="ListParagraph"/>
              <w:numPr>
                <w:ilvl w:val="0"/>
                <w:numId w:val="7"/>
              </w:numPr>
              <w:rPr>
                <w:szCs w:val="23"/>
              </w:rPr>
            </w:pPr>
            <w:r w:rsidRPr="008A22C3">
              <w:rPr>
                <w:rFonts w:eastAsia="Times New Roman"/>
                <w:szCs w:val="23"/>
              </w:rPr>
              <w:t>Assignment percentages typically apply to two-way trips (arriving and departing).</w:t>
            </w:r>
          </w:p>
          <w:p w:rsidR="00225952" w:rsidRPr="00A52699" w:rsidRDefault="00225952" w:rsidP="00BA4326">
            <w:pPr>
              <w:pStyle w:val="ListParagraph"/>
              <w:numPr>
                <w:ilvl w:val="1"/>
                <w:numId w:val="7"/>
              </w:numPr>
              <w:rPr>
                <w:szCs w:val="23"/>
              </w:rPr>
            </w:pPr>
            <w:r w:rsidRPr="008A22C3">
              <w:rPr>
                <w:rFonts w:eastAsia="Times New Roman"/>
                <w:szCs w:val="23"/>
              </w:rPr>
              <w:t>While generally oriented the same way, individual routes may defer to reflect multiple access and egress options and turn movements will likely be different or reversed between an entering and exiting trip.</w:t>
            </w:r>
          </w:p>
          <w:p w:rsidR="00225952" w:rsidRPr="00A52699" w:rsidRDefault="00225952" w:rsidP="00BA4326">
            <w:pPr>
              <w:pStyle w:val="ListParagraph"/>
              <w:numPr>
                <w:ilvl w:val="1"/>
                <w:numId w:val="7"/>
              </w:numPr>
              <w:rPr>
                <w:szCs w:val="23"/>
              </w:rPr>
            </w:pPr>
            <w:r w:rsidRPr="008A22C3">
              <w:rPr>
                <w:rFonts w:eastAsia="Times New Roman"/>
                <w:szCs w:val="23"/>
              </w:rPr>
              <w:t>One-way streets may influence assignment patterns.</w:t>
            </w:r>
          </w:p>
          <w:p w:rsidR="00225952" w:rsidRPr="00A52699" w:rsidRDefault="00225952" w:rsidP="00BA4326">
            <w:pPr>
              <w:pStyle w:val="ListParagraph"/>
              <w:numPr>
                <w:ilvl w:val="0"/>
                <w:numId w:val="7"/>
              </w:numPr>
              <w:rPr>
                <w:szCs w:val="23"/>
              </w:rPr>
            </w:pPr>
            <w:r w:rsidRPr="008A22C3">
              <w:rPr>
                <w:rFonts w:eastAsia="Times New Roman"/>
                <w:szCs w:val="23"/>
              </w:rPr>
              <w:t>The presence of on/off ramps at interchanges.</w:t>
            </w:r>
          </w:p>
          <w:p w:rsidR="00225952" w:rsidRPr="00A52699" w:rsidRDefault="00225952" w:rsidP="00BA4326">
            <w:pPr>
              <w:pStyle w:val="ListParagraph"/>
              <w:numPr>
                <w:ilvl w:val="1"/>
                <w:numId w:val="7"/>
              </w:numPr>
              <w:rPr>
                <w:szCs w:val="23"/>
              </w:rPr>
            </w:pPr>
            <w:r w:rsidRPr="008A22C3">
              <w:rPr>
                <w:rFonts w:eastAsia="Times New Roman"/>
                <w:szCs w:val="23"/>
              </w:rPr>
              <w:t>Pass-by trips enter from adjacent streets and typically exit to the same street to continue on their original path.</w:t>
            </w:r>
          </w:p>
          <w:p w:rsidR="00225952" w:rsidRDefault="00225952" w:rsidP="00225952">
            <w:pPr>
              <w:pStyle w:val="ListParagraph"/>
              <w:ind w:left="360"/>
            </w:pPr>
            <w:r w:rsidRPr="00B54EB8">
              <w:rPr>
                <w:b/>
                <w:szCs w:val="23"/>
              </w:rPr>
              <w:t>Adapted from</w:t>
            </w:r>
            <w:r w:rsidRPr="00B54EB8">
              <w:rPr>
                <w:szCs w:val="23"/>
              </w:rPr>
              <w:t xml:space="preserve">: </w:t>
            </w:r>
            <w:hyperlink r:id="rId105" w:history="1">
              <w:r w:rsidRPr="00C60799">
                <w:rPr>
                  <w:rStyle w:val="Hyperlink"/>
                  <w:rFonts w:cstheme="minorBidi"/>
                  <w:szCs w:val="23"/>
                </w:rPr>
                <w:t>Transportation Impact Analyses for Site Development</w:t>
              </w:r>
            </w:hyperlink>
            <w:r w:rsidRPr="00B54EB8">
              <w:rPr>
                <w:szCs w:val="23"/>
              </w:rPr>
              <w:t>, ITE 2005</w:t>
            </w:r>
          </w:p>
        </w:tc>
      </w:tr>
      <w:tr w:rsidR="00225952" w:rsidRPr="00380CF5" w:rsidTr="00225952">
        <w:tc>
          <w:tcPr>
            <w:tcW w:w="10375" w:type="dxa"/>
            <w:gridSpan w:val="2"/>
          </w:tcPr>
          <w:p w:rsidR="00225952" w:rsidRDefault="006B7F55" w:rsidP="00225952">
            <w:pPr>
              <w:pStyle w:val="Heading3"/>
            </w:pPr>
            <w:bookmarkStart w:id="87" w:name="_Toc264274096"/>
            <w:r>
              <w:t>2.8</w:t>
            </w:r>
            <w:r w:rsidR="00225952">
              <w:t xml:space="preserve">.2  </w:t>
            </w:r>
            <w:r w:rsidR="00225952" w:rsidRPr="006135BA">
              <w:t>Traffic Attenuation</w:t>
            </w:r>
            <w:bookmarkEnd w:id="87"/>
          </w:p>
        </w:tc>
      </w:tr>
      <w:tr w:rsidR="00225952" w:rsidRPr="00380CF5">
        <w:tc>
          <w:tcPr>
            <w:tcW w:w="2455" w:type="dxa"/>
          </w:tcPr>
          <w:p w:rsidR="00221BB9" w:rsidRDefault="00221BB9"/>
          <w:p w:rsidR="00225952" w:rsidRDefault="00225952" w:rsidP="00225952"/>
          <w:p w:rsidR="00225952" w:rsidRDefault="00225952" w:rsidP="00225952"/>
          <w:p w:rsidR="00225952" w:rsidRDefault="00225952" w:rsidP="00225952"/>
          <w:p w:rsidR="00225952" w:rsidRDefault="00225952" w:rsidP="00225952"/>
          <w:p w:rsidR="00225952" w:rsidRDefault="00225952" w:rsidP="00225952"/>
          <w:p w:rsidR="00225952" w:rsidRDefault="00225952" w:rsidP="00225952"/>
          <w:p w:rsidR="00225952" w:rsidRDefault="00784F8A" w:rsidP="00784F8A">
            <w:pPr>
              <w:pStyle w:val="Exhibit"/>
            </w:pPr>
            <w:r>
              <w:t>Exhibit 19</w:t>
            </w:r>
          </w:p>
          <w:p w:rsidR="00784F8A" w:rsidRDefault="00784F8A" w:rsidP="00784F8A">
            <w:pPr>
              <w:pStyle w:val="ExhibitTitle"/>
            </w:pPr>
            <w:r>
              <w:t>Traffic Attenuation Example</w:t>
            </w:r>
          </w:p>
          <w:p w:rsidR="002436BF" w:rsidRDefault="002436BF" w:rsidP="002436BF">
            <w:pPr>
              <w:pStyle w:val="HeadSide20"/>
              <w:spacing w:before="240"/>
            </w:pPr>
            <w:r>
              <w:t xml:space="preserve">View presentation describing this method </w:t>
            </w:r>
          </w:p>
          <w:p w:rsidR="00225952" w:rsidRDefault="00225952" w:rsidP="002436BF">
            <w:pPr>
              <w:spacing w:before="240" w:after="0"/>
            </w:pPr>
            <w:r>
              <w:rPr>
                <w:noProof/>
              </w:rPr>
              <w:drawing>
                <wp:inline distT="0" distB="0" distL="0" distR="0">
                  <wp:extent cx="1416685" cy="560070"/>
                  <wp:effectExtent l="19050" t="0" r="0" b="0"/>
                  <wp:docPr id="75" name="Picture 75" descr="button_presentation.png">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button_presentation.png"/>
                          <pic:cNvPicPr>
                            <a:picLocks noChangeAspect="1" noChangeArrowheads="1"/>
                          </pic:cNvPicPr>
                        </pic:nvPicPr>
                        <pic:blipFill>
                          <a:blip r:embed="rId35" cstate="print"/>
                          <a:srcRect/>
                          <a:stretch>
                            <a:fillRect/>
                          </a:stretch>
                        </pic:blipFill>
                        <pic:spPr bwMode="auto">
                          <a:xfrm>
                            <a:off x="0" y="0"/>
                            <a:ext cx="1416685" cy="560070"/>
                          </a:xfrm>
                          <a:prstGeom prst="rect">
                            <a:avLst/>
                          </a:prstGeom>
                          <a:noFill/>
                          <a:ln w="9525">
                            <a:noFill/>
                            <a:miter lim="800000"/>
                            <a:headEnd/>
                            <a:tailEnd/>
                          </a:ln>
                        </pic:spPr>
                      </pic:pic>
                    </a:graphicData>
                  </a:graphic>
                </wp:inline>
              </w:drawing>
            </w:r>
          </w:p>
          <w:p w:rsidR="00B54EB8" w:rsidRDefault="00B54EB8" w:rsidP="00B54EB8">
            <w:pPr>
              <w:pStyle w:val="HeadSide20"/>
              <w:jc w:val="center"/>
            </w:pPr>
            <w:r>
              <w:t>Traffic Attenuation</w:t>
            </w:r>
          </w:p>
          <w:p w:rsidR="00B54EB8" w:rsidRPr="00263666" w:rsidRDefault="00B54EB8" w:rsidP="002436BF">
            <w:pPr>
              <w:pStyle w:val="HeadSide20"/>
            </w:pPr>
          </w:p>
        </w:tc>
        <w:tc>
          <w:tcPr>
            <w:tcW w:w="7920" w:type="dxa"/>
          </w:tcPr>
          <w:p w:rsidR="00225952" w:rsidRDefault="00225952">
            <w:r w:rsidRPr="00296178">
              <w:lastRenderedPageBreak/>
              <w:t>In evaluating trip assignment alternatives, a common</w:t>
            </w:r>
            <w:r>
              <w:t>ly used guideline</w:t>
            </w:r>
            <w:r w:rsidRPr="00296178">
              <w:t xml:space="preserve"> of </w:t>
            </w:r>
            <w:r>
              <w:t>FDOT</w:t>
            </w:r>
            <w:r w:rsidRPr="00296178">
              <w:t xml:space="preserve"> is that no more than 10 percent of trips should dissipate</w:t>
            </w:r>
            <w:r>
              <w:t xml:space="preserve"> (or attenuate) </w:t>
            </w:r>
            <w:r w:rsidRPr="00296178">
              <w:t xml:space="preserve"> per study segment </w:t>
            </w:r>
            <w:r>
              <w:t xml:space="preserve">of roadway under study </w:t>
            </w:r>
            <w:r w:rsidRPr="00296178">
              <w:t xml:space="preserve">unless there is a cross street or some </w:t>
            </w:r>
            <w:r>
              <w:t>major land use that could attract major trips from the usual flow</w:t>
            </w:r>
            <w:r w:rsidRPr="00296178">
              <w:t>.</w:t>
            </w:r>
          </w:p>
          <w:p w:rsidR="00225952" w:rsidRDefault="00225952" w:rsidP="00225952">
            <w:pPr>
              <w:rPr>
                <w:szCs w:val="19"/>
              </w:rPr>
            </w:pPr>
            <w:r>
              <w:rPr>
                <w:szCs w:val="19"/>
              </w:rPr>
              <w:t>Another method for establishing traffic attenuation is the use of the trip length frequency curves of the urban area or a similar area.</w:t>
            </w:r>
          </w:p>
          <w:p w:rsidR="00225952" w:rsidRDefault="00225952" w:rsidP="00225952">
            <w:pPr>
              <w:rPr>
                <w:szCs w:val="19"/>
              </w:rPr>
            </w:pPr>
            <w:r>
              <w:rPr>
                <w:noProof/>
                <w:szCs w:val="19"/>
              </w:rPr>
              <w:lastRenderedPageBreak/>
              <w:drawing>
                <wp:inline distT="0" distB="0" distL="0" distR="0">
                  <wp:extent cx="3427095" cy="2743200"/>
                  <wp:effectExtent l="19050" t="19050" r="20955" b="1905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6" cstate="print"/>
                          <a:srcRect/>
                          <a:stretch>
                            <a:fillRect/>
                          </a:stretch>
                        </pic:blipFill>
                        <pic:spPr bwMode="auto">
                          <a:xfrm>
                            <a:off x="0" y="0"/>
                            <a:ext cx="3427095" cy="2743200"/>
                          </a:xfrm>
                          <a:prstGeom prst="rect">
                            <a:avLst/>
                          </a:prstGeom>
                          <a:noFill/>
                          <a:ln w="6350" cmpd="sng">
                            <a:solidFill>
                              <a:srgbClr val="000000"/>
                            </a:solidFill>
                            <a:miter lim="800000"/>
                            <a:headEnd/>
                            <a:tailEnd/>
                          </a:ln>
                          <a:effectLst/>
                        </pic:spPr>
                      </pic:pic>
                    </a:graphicData>
                  </a:graphic>
                </wp:inline>
              </w:drawing>
            </w:r>
          </w:p>
          <w:p w:rsidR="00225952" w:rsidRPr="00474C35" w:rsidRDefault="00225952" w:rsidP="00225952">
            <w:pPr>
              <w:rPr>
                <w:b/>
                <w:szCs w:val="19"/>
              </w:rPr>
            </w:pPr>
            <w:r>
              <w:rPr>
                <w:b/>
                <w:noProof/>
                <w:szCs w:val="19"/>
              </w:rPr>
              <w:drawing>
                <wp:inline distT="0" distB="0" distL="0" distR="0">
                  <wp:extent cx="3451860" cy="2907665"/>
                  <wp:effectExtent l="1905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7" cstate="print"/>
                          <a:srcRect/>
                          <a:stretch>
                            <a:fillRect/>
                          </a:stretch>
                        </pic:blipFill>
                        <pic:spPr bwMode="auto">
                          <a:xfrm>
                            <a:off x="0" y="0"/>
                            <a:ext cx="3451860" cy="2907665"/>
                          </a:xfrm>
                          <a:prstGeom prst="rect">
                            <a:avLst/>
                          </a:prstGeom>
                          <a:noFill/>
                          <a:ln w="9525">
                            <a:noFill/>
                            <a:miter lim="800000"/>
                            <a:headEnd/>
                            <a:tailEnd/>
                          </a:ln>
                        </pic:spPr>
                      </pic:pic>
                    </a:graphicData>
                  </a:graphic>
                </wp:inline>
              </w:drawing>
            </w:r>
          </w:p>
        </w:tc>
      </w:tr>
      <w:tr w:rsidR="00225952" w:rsidRPr="00380CF5" w:rsidTr="00225952">
        <w:tc>
          <w:tcPr>
            <w:tcW w:w="10375" w:type="dxa"/>
            <w:gridSpan w:val="2"/>
          </w:tcPr>
          <w:p w:rsidR="00225952" w:rsidRPr="006135BA" w:rsidDel="009A2359" w:rsidRDefault="006B7F55" w:rsidP="00225952">
            <w:pPr>
              <w:pStyle w:val="Heading3"/>
            </w:pPr>
            <w:bookmarkStart w:id="88" w:name="_Toc264274097"/>
            <w:r>
              <w:lastRenderedPageBreak/>
              <w:t>2.8</w:t>
            </w:r>
            <w:r w:rsidR="00225952">
              <w:t xml:space="preserve">.3  </w:t>
            </w:r>
            <w:r w:rsidR="00225952" w:rsidRPr="006135BA">
              <w:t>Documentation</w:t>
            </w:r>
            <w:bookmarkEnd w:id="88"/>
          </w:p>
        </w:tc>
      </w:tr>
      <w:tr w:rsidR="00225952" w:rsidRPr="00380CF5">
        <w:tc>
          <w:tcPr>
            <w:tcW w:w="2455" w:type="dxa"/>
          </w:tcPr>
          <w:p w:rsidR="00225952" w:rsidRDefault="00225952" w:rsidP="00225952">
            <w:pPr>
              <w:pStyle w:val="Heading4"/>
            </w:pPr>
          </w:p>
          <w:p w:rsidR="00225952" w:rsidRDefault="00225952" w:rsidP="00225952">
            <w:pPr>
              <w:pStyle w:val="SidebarSentence"/>
            </w:pPr>
          </w:p>
          <w:p w:rsidR="00225952" w:rsidRPr="002C6EF3" w:rsidRDefault="00225952" w:rsidP="00225952">
            <w:pPr>
              <w:pStyle w:val="SidebarSentence"/>
            </w:pPr>
            <w:r>
              <w:t>Proper documentation will allow for careful and thoughtful review of the assignment</w:t>
            </w:r>
          </w:p>
        </w:tc>
        <w:tc>
          <w:tcPr>
            <w:tcW w:w="7920" w:type="dxa"/>
          </w:tcPr>
          <w:p w:rsidR="00225952" w:rsidRDefault="00225952">
            <w:r>
              <w:t xml:space="preserve">Trip assignment, by its nature, will reflect driver tendencies behavior, and thus in part becomes a case study of human factors and preferences. Because the process can reflect a complex decision process, it is important to document the basis for making an assumed trip assignment. Proper documentation of the assumptions and decisions made in developing the trip assignment will allow for careful and thoughtful review of the assignment. </w:t>
            </w:r>
            <w:r w:rsidRPr="00296178">
              <w:t xml:space="preserve">Applicants are encouraged to work proactively with </w:t>
            </w:r>
            <w:r>
              <w:t>FDOT</w:t>
            </w:r>
            <w:r w:rsidRPr="00296178">
              <w:t xml:space="preserve"> and other local agencies to ensure trip assignment assumptions are reasonable and reflective of local conditions.</w:t>
            </w:r>
          </w:p>
        </w:tc>
      </w:tr>
      <w:tr w:rsidR="00225952" w:rsidRPr="00380CF5" w:rsidTr="00225952">
        <w:tc>
          <w:tcPr>
            <w:tcW w:w="10375" w:type="dxa"/>
            <w:gridSpan w:val="2"/>
          </w:tcPr>
          <w:p w:rsidR="00225952" w:rsidRPr="006135BA" w:rsidRDefault="006B7F55" w:rsidP="00225952">
            <w:pPr>
              <w:pStyle w:val="Heading3"/>
            </w:pPr>
            <w:bookmarkStart w:id="89" w:name="_Toc264274098"/>
            <w:r>
              <w:lastRenderedPageBreak/>
              <w:t>2.8</w:t>
            </w:r>
            <w:r w:rsidR="00225952">
              <w:t xml:space="preserve">.4  </w:t>
            </w:r>
            <w:r w:rsidR="00225952" w:rsidRPr="006135BA">
              <w:t>Manual Methods of Trip Assignment</w:t>
            </w:r>
            <w:bookmarkEnd w:id="89"/>
          </w:p>
        </w:tc>
      </w:tr>
      <w:tr w:rsidR="00225952" w:rsidRPr="00380CF5">
        <w:tc>
          <w:tcPr>
            <w:tcW w:w="2455" w:type="dxa"/>
          </w:tcPr>
          <w:p w:rsidR="00225952" w:rsidRDefault="00225952" w:rsidP="00225952"/>
          <w:p w:rsidR="00225952" w:rsidRDefault="00225952" w:rsidP="00225952"/>
          <w:p w:rsidR="00225952" w:rsidRPr="005735CC" w:rsidRDefault="00225952" w:rsidP="00225952">
            <w:pPr>
              <w:pStyle w:val="SidebarSentence"/>
            </w:pPr>
            <w:r w:rsidRPr="00296178">
              <w:t>If the access plan is modified, the assignment process may have to be repeated until a logical assignment is achieved for the network</w:t>
            </w:r>
          </w:p>
        </w:tc>
        <w:tc>
          <w:tcPr>
            <w:tcW w:w="7920" w:type="dxa"/>
          </w:tcPr>
          <w:p w:rsidR="00225952" w:rsidRDefault="00225952" w:rsidP="00133E34">
            <w:pPr>
              <w:spacing w:after="120"/>
            </w:pPr>
            <w:r>
              <w:t xml:space="preserve">Manual trip assignment often assigns site traffic based on existing or anticipated future turning and through movement percentages. The assignment may reduce site volumes along roadway segments using attenuation factors to account for “intervening opportunities” for the trip to end. In simple terms, this means trips may be added and subtracted to the roadway network between major intersections and corridors to reflect local area origins and destinations. </w:t>
            </w:r>
            <w:r w:rsidRPr="00296178">
              <w:t>Manual assignments for each analysis period should</w:t>
            </w:r>
            <w:r>
              <w:t xml:space="preserve"> be made for each analysis year</w:t>
            </w:r>
            <w:r w:rsidRPr="00296178">
              <w:t>. Multiple paths should be assigned between origins and destinations based on experience and judgment to achieve realistic estimates.</w:t>
            </w:r>
            <w:r>
              <w:t xml:space="preserve"> </w:t>
            </w:r>
          </w:p>
          <w:p w:rsidR="00225952" w:rsidRPr="00C446A2" w:rsidRDefault="00225952" w:rsidP="00225952">
            <w:pPr>
              <w:rPr>
                <w:i/>
              </w:rPr>
            </w:pPr>
            <w:r w:rsidRPr="00296178">
              <w:t>The assignment process may be performed a number of times during a typical analysis based on the number of site access and internal circulation alternatives and traffic impact mitigation alternatives considered. If the access plan is modified during subsequent reviews or permitting, the assignment process may have to be repeated and alternative site access and circulation plans considered until a logical assignment is achieved for the network.</w:t>
            </w:r>
          </w:p>
        </w:tc>
      </w:tr>
      <w:tr w:rsidR="00225952" w:rsidRPr="00380CF5">
        <w:tc>
          <w:tcPr>
            <w:tcW w:w="2455" w:type="dxa"/>
          </w:tcPr>
          <w:p w:rsidR="00784F8A" w:rsidRDefault="00784F8A" w:rsidP="00784F8A">
            <w:pPr>
              <w:pStyle w:val="Exhibit"/>
            </w:pPr>
            <w:r>
              <w:t>Exhibit 20</w:t>
            </w:r>
          </w:p>
          <w:p w:rsidR="00225952" w:rsidRDefault="00225952" w:rsidP="00225952">
            <w:pPr>
              <w:pStyle w:val="ExhibitTitle"/>
            </w:pPr>
            <w:r>
              <w:t>Manual Assignment Example</w:t>
            </w:r>
          </w:p>
        </w:tc>
        <w:tc>
          <w:tcPr>
            <w:tcW w:w="7920" w:type="dxa"/>
          </w:tcPr>
          <w:p w:rsidR="00225952" w:rsidRDefault="00225952">
            <w:pPr>
              <w:rPr>
                <w:i/>
              </w:rPr>
            </w:pPr>
            <w:r w:rsidRPr="00691C02">
              <w:rPr>
                <w:i/>
                <w:noProof/>
              </w:rPr>
              <w:drawing>
                <wp:inline distT="0" distB="0" distL="0" distR="0">
                  <wp:extent cx="3679493" cy="2129642"/>
                  <wp:effectExtent l="19050" t="0" r="0" b="0"/>
                  <wp:docPr id="129" name="Picture 107" descr="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4.jpg"/>
                          <pic:cNvPicPr/>
                        </pic:nvPicPr>
                        <pic:blipFill>
                          <a:blip r:embed="rId108" cstate="print"/>
                          <a:srcRect t="10902" b="4837"/>
                          <a:stretch>
                            <a:fillRect/>
                          </a:stretch>
                        </pic:blipFill>
                        <pic:spPr>
                          <a:xfrm>
                            <a:off x="0" y="0"/>
                            <a:ext cx="3679493" cy="2129642"/>
                          </a:xfrm>
                          <a:prstGeom prst="rect">
                            <a:avLst/>
                          </a:prstGeom>
                        </pic:spPr>
                      </pic:pic>
                    </a:graphicData>
                  </a:graphic>
                </wp:inline>
              </w:drawing>
            </w:r>
          </w:p>
          <w:p w:rsidR="00225952" w:rsidRDefault="00225952" w:rsidP="00133E34">
            <w:pPr>
              <w:spacing w:after="120"/>
            </w:pPr>
            <w:r w:rsidRPr="008A22C3">
              <w:rPr>
                <w:i/>
              </w:rPr>
              <w:t>Source: NCHRP 187 – Quick Response Urban Travel Estimation Techniques and Transferable Patterns. TRB 1978</w:t>
            </w:r>
          </w:p>
        </w:tc>
      </w:tr>
      <w:tr w:rsidR="00225952" w:rsidRPr="00380CF5">
        <w:tc>
          <w:tcPr>
            <w:tcW w:w="2455" w:type="dxa"/>
          </w:tcPr>
          <w:p w:rsidR="00225952" w:rsidRPr="006135BA" w:rsidRDefault="00225952" w:rsidP="00225952">
            <w:pPr>
              <w:pStyle w:val="Heading4"/>
            </w:pPr>
            <w:r w:rsidRPr="006135BA">
              <w:t>Recommended Procedure for Manual Trip Assignment When Pass-by Trips are Present</w:t>
            </w:r>
          </w:p>
          <w:p w:rsidR="00225952" w:rsidRPr="006135BA" w:rsidRDefault="00225952" w:rsidP="00225952">
            <w:pPr>
              <w:pStyle w:val="Heading4"/>
            </w:pPr>
          </w:p>
        </w:tc>
        <w:tc>
          <w:tcPr>
            <w:tcW w:w="7920" w:type="dxa"/>
          </w:tcPr>
          <w:p w:rsidR="00225952" w:rsidRDefault="00225952" w:rsidP="00133E34">
            <w:pPr>
              <w:spacing w:after="120"/>
            </w:pPr>
            <w:r>
              <w:t xml:space="preserve">Pass-by trips should be analyzed in the network carefully. The following procedure is based, in part, on the recommendations of ITE’s </w:t>
            </w:r>
            <w:hyperlink r:id="rId109" w:history="1">
              <w:r w:rsidRPr="00C60799">
                <w:rPr>
                  <w:rStyle w:val="Hyperlink"/>
                  <w:rFonts w:cstheme="minorBidi"/>
                </w:rPr>
                <w:t>Transportation Impact Analyses for Site Development</w:t>
              </w:r>
            </w:hyperlink>
            <w:r>
              <w:t xml:space="preserve"> when pass-by trips are involved in the assignment.</w:t>
            </w:r>
          </w:p>
          <w:p w:rsidR="00225952" w:rsidRDefault="00225952" w:rsidP="00BA4326">
            <w:pPr>
              <w:pStyle w:val="ListParagraph"/>
              <w:numPr>
                <w:ilvl w:val="0"/>
                <w:numId w:val="8"/>
              </w:numPr>
              <w:spacing w:after="120"/>
              <w:ind w:left="425" w:hanging="425"/>
              <w:rPr>
                <w:szCs w:val="23"/>
              </w:rPr>
            </w:pPr>
            <w:r w:rsidRPr="008A22C3">
              <w:rPr>
                <w:szCs w:val="23"/>
              </w:rPr>
              <w:t>Apply the trip reduction factors for internal capture and pass-by traffic, and then assign volumes to each roadway segment. Illustrate in a map the assignment of development trips and provide a corresponding table.</w:t>
            </w:r>
          </w:p>
          <w:p w:rsidR="00225952" w:rsidRDefault="00225952" w:rsidP="00BA4326">
            <w:pPr>
              <w:pStyle w:val="ListParagraph"/>
              <w:numPr>
                <w:ilvl w:val="0"/>
                <w:numId w:val="8"/>
              </w:numPr>
              <w:spacing w:after="120"/>
              <w:ind w:left="425" w:hanging="425"/>
              <w:rPr>
                <w:szCs w:val="23"/>
              </w:rPr>
            </w:pPr>
            <w:r w:rsidRPr="008A22C3">
              <w:rPr>
                <w:szCs w:val="23"/>
              </w:rPr>
              <w:t>In addition to estimating a normal distribution, estimate a trip distribution for pass-by and diverted trips.</w:t>
            </w:r>
          </w:p>
        </w:tc>
      </w:tr>
      <w:tr w:rsidR="00225952" w:rsidRPr="00380CF5">
        <w:tc>
          <w:tcPr>
            <w:tcW w:w="2455" w:type="dxa"/>
          </w:tcPr>
          <w:p w:rsidR="00225952" w:rsidRPr="006135BA" w:rsidRDefault="00225952" w:rsidP="00225952">
            <w:pPr>
              <w:pStyle w:val="Heading4"/>
            </w:pPr>
          </w:p>
        </w:tc>
        <w:tc>
          <w:tcPr>
            <w:tcW w:w="7920" w:type="dxa"/>
          </w:tcPr>
          <w:p w:rsidR="00225952" w:rsidRPr="008A22C3" w:rsidRDefault="00225952" w:rsidP="00225952">
            <w:pPr>
              <w:pStyle w:val="ListParagraph"/>
              <w:ind w:left="360"/>
              <w:rPr>
                <w:szCs w:val="23"/>
              </w:rPr>
            </w:pPr>
            <w:r w:rsidRPr="008A22C3">
              <w:rPr>
                <w:szCs w:val="23"/>
              </w:rPr>
              <w:t>Perform separate trip assignments using the individual distribution patterns for primary, pass-by and diverted trips. Pass-by trips and diverted trips should be evaluated carefully considering the location of the driveway and the total traffic on the adjacent roadway links. The assignment should consider the unique turn movement patterns of pass-by and diverted trips and should account for the subtraction of existing turn movements related to the pass-by trip that are no longer made.</w:t>
            </w:r>
          </w:p>
          <w:p w:rsidR="00225952" w:rsidRPr="008A22C3" w:rsidRDefault="00225952" w:rsidP="008D2D1A">
            <w:pPr>
              <w:pStyle w:val="ListParagraph"/>
              <w:numPr>
                <w:ilvl w:val="0"/>
                <w:numId w:val="21"/>
              </w:numPr>
              <w:rPr>
                <w:szCs w:val="23"/>
              </w:rPr>
            </w:pPr>
            <w:r w:rsidRPr="008A22C3">
              <w:rPr>
                <w:szCs w:val="23"/>
              </w:rPr>
              <w:t>For example, a pass-by trip assignment might require that an eastbound through trip be removed and replaced with an eastbound right-turn and companion northbound right-turn at a site driveway.</w:t>
            </w:r>
          </w:p>
          <w:p w:rsidR="00225952" w:rsidRPr="008A22C3" w:rsidRDefault="00225952" w:rsidP="008D2D1A">
            <w:pPr>
              <w:pStyle w:val="ListParagraph"/>
              <w:numPr>
                <w:ilvl w:val="0"/>
                <w:numId w:val="21"/>
              </w:numPr>
              <w:rPr>
                <w:szCs w:val="23"/>
              </w:rPr>
            </w:pPr>
            <w:r w:rsidRPr="008A22C3">
              <w:rPr>
                <w:szCs w:val="23"/>
              </w:rPr>
              <w:t>Diverted trips are not subtracted from the roadways and access points they are added to. They are new trips on the roads they divert to.</w:t>
            </w:r>
          </w:p>
          <w:p w:rsidR="00225952" w:rsidRDefault="00225952" w:rsidP="008D2D1A">
            <w:pPr>
              <w:pStyle w:val="ListParagraph"/>
              <w:numPr>
                <w:ilvl w:val="0"/>
                <w:numId w:val="21"/>
              </w:numPr>
              <w:spacing w:after="120"/>
            </w:pPr>
            <w:r w:rsidRPr="008A22C3">
              <w:rPr>
                <w:rFonts w:eastAsia="Times New Roman"/>
                <w:szCs w:val="23"/>
              </w:rPr>
              <w:t xml:space="preserve"> </w:t>
            </w:r>
            <w:r w:rsidRPr="008A22C3">
              <w:rPr>
                <w:szCs w:val="23"/>
              </w:rPr>
              <w:t>Applicants should assign trips to the network such that the primary, pass-by and diverted trips are distinguishable and can be easily reviewed.</w:t>
            </w:r>
          </w:p>
        </w:tc>
      </w:tr>
      <w:tr w:rsidR="00225952" w:rsidRPr="00380CF5">
        <w:tc>
          <w:tcPr>
            <w:tcW w:w="2455" w:type="dxa"/>
          </w:tcPr>
          <w:p w:rsidR="00225952" w:rsidRPr="006135BA" w:rsidRDefault="00225952" w:rsidP="00225952">
            <w:pPr>
              <w:pStyle w:val="Heading4"/>
            </w:pPr>
          </w:p>
        </w:tc>
        <w:tc>
          <w:tcPr>
            <w:tcW w:w="7920" w:type="dxa"/>
          </w:tcPr>
          <w:p w:rsidR="00225952" w:rsidRDefault="00225952" w:rsidP="00BA4326">
            <w:pPr>
              <w:pStyle w:val="ListParagraph"/>
              <w:numPr>
                <w:ilvl w:val="0"/>
                <w:numId w:val="8"/>
              </w:numPr>
              <w:spacing w:after="120"/>
              <w:ind w:left="425" w:hanging="425"/>
              <w:rPr>
                <w:szCs w:val="23"/>
              </w:rPr>
            </w:pPr>
            <w:r w:rsidRPr="008A22C3">
              <w:rPr>
                <w:szCs w:val="23"/>
              </w:rPr>
              <w:t>Consider the effects of traffic diversion by existing traffic to other facilities as result of the site-generated traffic, if appropriate.</w:t>
            </w:r>
          </w:p>
          <w:p w:rsidR="00225952" w:rsidRDefault="00225952" w:rsidP="00BA4326">
            <w:pPr>
              <w:pStyle w:val="ListParagraph"/>
              <w:numPr>
                <w:ilvl w:val="0"/>
                <w:numId w:val="8"/>
              </w:numPr>
              <w:spacing w:after="120"/>
              <w:ind w:left="425" w:hanging="425"/>
              <w:rPr>
                <w:szCs w:val="23"/>
              </w:rPr>
            </w:pPr>
            <w:r w:rsidRPr="001C07A6">
              <w:rPr>
                <w:szCs w:val="23"/>
              </w:rPr>
              <w:t>Check the assignment for reasonableness. Generally, pass-by traffic should not exceed 10 percent of traffic on adjacent streets.</w:t>
            </w:r>
          </w:p>
        </w:tc>
      </w:tr>
      <w:tr w:rsidR="00225952" w:rsidRPr="00A52699" w:rsidTr="00225952">
        <w:tc>
          <w:tcPr>
            <w:tcW w:w="10375" w:type="dxa"/>
            <w:gridSpan w:val="2"/>
          </w:tcPr>
          <w:p w:rsidR="00225952" w:rsidRDefault="006B7F55" w:rsidP="00225952">
            <w:pPr>
              <w:pStyle w:val="Heading3"/>
            </w:pPr>
            <w:bookmarkStart w:id="90" w:name="_Toc264274099"/>
            <w:r>
              <w:t>2.8</w:t>
            </w:r>
            <w:r w:rsidR="00225952">
              <w:t>.5  Model Methods of Trip Assignment</w:t>
            </w:r>
            <w:bookmarkEnd w:id="90"/>
          </w:p>
        </w:tc>
      </w:tr>
      <w:tr w:rsidR="00225952" w:rsidRPr="00380CF5">
        <w:tc>
          <w:tcPr>
            <w:tcW w:w="2455" w:type="dxa"/>
          </w:tcPr>
          <w:p w:rsidR="00225952" w:rsidRPr="006135BA" w:rsidRDefault="00225952" w:rsidP="00225952">
            <w:pPr>
              <w:pStyle w:val="Heading3"/>
            </w:pPr>
          </w:p>
        </w:tc>
        <w:tc>
          <w:tcPr>
            <w:tcW w:w="7920" w:type="dxa"/>
          </w:tcPr>
          <w:p w:rsidR="00225952" w:rsidRPr="00A52699" w:rsidRDefault="00225952">
            <w:pPr>
              <w:rPr>
                <w:highlight w:val="yellow"/>
              </w:rPr>
            </w:pPr>
            <w:r>
              <w:t xml:space="preserve"> FSUTMS uses a capacity restrained routine, known as user equilibrium,  to perform the final highway assignment. Capacities are used in this routine so that congestion can be accounted for. FSUTMS decreases speeds on congested roadways and shifts traffic between routes after each iteration of the assignment until equilibrium is achieved. At that point, all trips in the model area have found the least congested, shortest-time path to their destination such that no other adjustment can be made to traffic without increasing travel times.</w:t>
            </w:r>
          </w:p>
        </w:tc>
      </w:tr>
      <w:tr w:rsidR="00225952" w:rsidRPr="00380CF5" w:rsidTr="00225952">
        <w:trPr>
          <w:trHeight w:val="981"/>
        </w:trPr>
        <w:tc>
          <w:tcPr>
            <w:tcW w:w="2455" w:type="dxa"/>
          </w:tcPr>
          <w:p w:rsidR="00225952" w:rsidRPr="006135BA" w:rsidRDefault="00225952" w:rsidP="00225952">
            <w:pPr>
              <w:pStyle w:val="Heading4"/>
            </w:pPr>
            <w:r>
              <w:rPr>
                <w:b w:val="0"/>
                <w:bCs w:val="0"/>
              </w:rPr>
              <w:br w:type="page"/>
            </w:r>
            <w:r w:rsidRPr="006135BA">
              <w:t>Selected Zone Analysis</w:t>
            </w:r>
          </w:p>
          <w:p w:rsidR="00225952" w:rsidRDefault="00225952" w:rsidP="00225952"/>
          <w:p w:rsidR="00225952" w:rsidRPr="005735CC" w:rsidRDefault="00225952" w:rsidP="00225952">
            <w:pPr>
              <w:pStyle w:val="SidebarSentence"/>
            </w:pPr>
            <w:r>
              <w:t>The preferred technique is the Selected Zone Analysis tool</w:t>
            </w:r>
          </w:p>
        </w:tc>
        <w:tc>
          <w:tcPr>
            <w:tcW w:w="7920" w:type="dxa"/>
          </w:tcPr>
          <w:p w:rsidR="00225952" w:rsidRPr="00A52699" w:rsidRDefault="00225952" w:rsidP="00133E34">
            <w:pPr>
              <w:spacing w:after="360"/>
              <w:rPr>
                <w:highlight w:val="yellow"/>
              </w:rPr>
            </w:pPr>
            <w:r>
              <w:t xml:space="preserve">The preferred technique for site impact analysis trip assignment is called selected zone analysis. Selected Zone Analysis allows for review of network-wide trip assignment associated with a single Transportation Analysis Zone (TAZ). Owing to a peculiarity in the software used to run FSUTMS models, selected zone analyses should be run by enabling a feature in the highway assignment called Selected Link Analysis. This analysis should be done on node numbers corresponding to the TAZ zone number. Analysts are encouraged to confer with existing model development documents and user’s guides for models they are currently working with to determine the appropriate way for conducting a Selected Link Analysis.  </w:t>
            </w:r>
          </w:p>
        </w:tc>
      </w:tr>
      <w:tr w:rsidR="00225952" w:rsidRPr="00380CF5">
        <w:tc>
          <w:tcPr>
            <w:tcW w:w="2455" w:type="dxa"/>
          </w:tcPr>
          <w:p w:rsidR="00225952" w:rsidRPr="006135BA" w:rsidRDefault="00225952" w:rsidP="00225952">
            <w:pPr>
              <w:pStyle w:val="Heading4"/>
            </w:pPr>
          </w:p>
        </w:tc>
        <w:tc>
          <w:tcPr>
            <w:tcW w:w="7920" w:type="dxa"/>
          </w:tcPr>
          <w:p w:rsidR="00225952" w:rsidRPr="00E37691" w:rsidDel="00E37691" w:rsidRDefault="00225952" w:rsidP="00225952">
            <w:r>
              <w:t xml:space="preserve">Should a model not currently be set up to perform Selected Link Analyses, the analyst may need to modify the model’s highway assignment script. The preferred method is to have the model create a path file with data restricted to just the nodes and links being analyzed. The proper syntax for this process may be found in the Cube Voyager Reference Guide. This reference guide is typically found as a PDF file at C:\Program Files\Citilabs\Cube as a file named RG_CubeVoyager.pdf. This information is also found in the Cube interactive help. The analyst should coordinate with staff at the agency responsible for maintaining the model, typically someone at either the Florida DOT district office or the Metropolitan Planning Organization, to ensure that any modifications made to the model in order to perform Selected Link Analyses are acceptable. </w:t>
            </w:r>
          </w:p>
        </w:tc>
      </w:tr>
      <w:tr w:rsidR="00225952" w:rsidRPr="00380CF5">
        <w:tc>
          <w:tcPr>
            <w:tcW w:w="2455" w:type="dxa"/>
          </w:tcPr>
          <w:p w:rsidR="00225952" w:rsidRPr="006135BA" w:rsidRDefault="00225952" w:rsidP="00225952">
            <w:pPr>
              <w:pStyle w:val="Heading4"/>
            </w:pPr>
          </w:p>
        </w:tc>
        <w:tc>
          <w:tcPr>
            <w:tcW w:w="7920" w:type="dxa"/>
          </w:tcPr>
          <w:p w:rsidR="00225952" w:rsidRPr="00E37691" w:rsidDel="00E37691" w:rsidRDefault="00225952" w:rsidP="00225952">
            <w:r>
              <w:rPr>
                <w:szCs w:val="23"/>
              </w:rPr>
              <w:t xml:space="preserve">Analysts should </w:t>
            </w:r>
            <w:r>
              <w:rPr>
                <w:i/>
                <w:szCs w:val="23"/>
              </w:rPr>
              <w:t>NOT</w:t>
            </w:r>
            <w:r>
              <w:rPr>
                <w:szCs w:val="23"/>
              </w:rPr>
              <w:t xml:space="preserve"> attempt to evaluate traffic by running two separate model scenarios in which one scenario has the data corresponding to the development included and the other scenario has had the data corresponding to the development removed. </w:t>
            </w:r>
            <w:r>
              <w:t xml:space="preserve">The resulting estimate derived from subtracting the volumes of the scenario with the development data from the scenario without the development data, a technique commonly known as the “Net Impact” or the “With and Without” method, </w:t>
            </w:r>
            <w:r w:rsidRPr="006B221A">
              <w:rPr>
                <w:i/>
              </w:rPr>
              <w:t>DOES NOT</w:t>
            </w:r>
            <w:r>
              <w:t xml:space="preserve"> directly represent the site-generated trip assignment impact. This is because the equilibrium highway assignment process that drives the model diverts trips, often resulting in virtually no change in traffic volumes. This is a subtle but critical point. Judicial precedent in Florida has established that the DRI process must account for ALL trips caused by development, NOT the net impact resulting from displacing existing trips to other roadways (</w:t>
            </w:r>
            <w:r w:rsidRPr="005A3F7B">
              <w:rPr>
                <w:i/>
              </w:rPr>
              <w:t>Reference</w:t>
            </w:r>
            <w:r>
              <w:t xml:space="preserve">: </w:t>
            </w:r>
            <w:r w:rsidRPr="005A3F7B">
              <w:rPr>
                <w:rFonts w:cs="Times New Roman"/>
              </w:rPr>
              <w:t>Westinghouse Gateway Communities, et al. v. Lee County Board of County Commissioners Case</w:t>
            </w:r>
            <w:r w:rsidRPr="002D5086">
              <w:t>).</w:t>
            </w:r>
            <w:r>
              <w:t xml:space="preserve"> The rationale for this decision was that, if all applicants used the argument that trips are diverted and net impact is negligible, no applicant would be responsible for any mitigation.</w:t>
            </w:r>
          </w:p>
        </w:tc>
      </w:tr>
      <w:tr w:rsidR="00225952" w:rsidRPr="00380CF5">
        <w:tc>
          <w:tcPr>
            <w:tcW w:w="2455" w:type="dxa"/>
          </w:tcPr>
          <w:p w:rsidR="00225952" w:rsidRPr="006135BA" w:rsidRDefault="00225952" w:rsidP="00225952">
            <w:pPr>
              <w:pStyle w:val="Heading4"/>
            </w:pPr>
          </w:p>
        </w:tc>
        <w:tc>
          <w:tcPr>
            <w:tcW w:w="7920" w:type="dxa"/>
          </w:tcPr>
          <w:p w:rsidR="00225952" w:rsidRPr="00F825A4" w:rsidRDefault="00225952" w:rsidP="00426621">
            <w:pPr>
              <w:spacing w:after="120"/>
            </w:pPr>
            <w:r w:rsidRPr="00F825A4">
              <w:t xml:space="preserve">The appropriate use of the selected link assignment is to identify the pattern of site trip assignment by roadway link and, in turn, use that pattern to prepare the actual assignment of site-generated traffic using other model or manual methods. The model assignment should </w:t>
            </w:r>
            <w:r w:rsidRPr="00F825A4">
              <w:rPr>
                <w:i/>
              </w:rPr>
              <w:t>NOT</w:t>
            </w:r>
            <w:r w:rsidRPr="00F825A4">
              <w:t xml:space="preserve"> be used to calculate internal capture, background traffic, or turning movements. There are two appropriate methods for using travel demand models for traffic impact analysis:</w:t>
            </w:r>
          </w:p>
          <w:p w:rsidR="00225952" w:rsidRPr="00F825A4" w:rsidRDefault="00225952" w:rsidP="00AD2D7A">
            <w:pPr>
              <w:pStyle w:val="BulletA"/>
              <w:numPr>
                <w:ilvl w:val="0"/>
                <w:numId w:val="136"/>
              </w:numPr>
            </w:pPr>
            <w:r w:rsidRPr="00F825A4">
              <w:t>Special Generator Method</w:t>
            </w:r>
          </w:p>
          <w:p w:rsidR="00225952" w:rsidRPr="00F825A4" w:rsidRDefault="00225952" w:rsidP="00AD2D7A">
            <w:pPr>
              <w:pStyle w:val="BulletA"/>
              <w:numPr>
                <w:ilvl w:val="0"/>
                <w:numId w:val="136"/>
              </w:numPr>
              <w:spacing w:after="240"/>
            </w:pPr>
            <w:r w:rsidRPr="00F825A4">
              <w:t>Link Volume Factor Method</w:t>
            </w:r>
          </w:p>
          <w:p w:rsidR="00225952" w:rsidRDefault="00225952" w:rsidP="00133E34">
            <w:pPr>
              <w:jc w:val="left"/>
              <w:rPr>
                <w:szCs w:val="23"/>
              </w:rPr>
            </w:pPr>
            <w:r w:rsidRPr="00F825A4">
              <w:t xml:space="preserve">These methods are discussed </w:t>
            </w:r>
            <w:r>
              <w:t xml:space="preserve">in </w:t>
            </w:r>
            <w:r w:rsidR="002274C7">
              <w:t>SECTION</w:t>
            </w:r>
            <w:r w:rsidR="005A3F7B">
              <w:t xml:space="preserve"> </w:t>
            </w:r>
            <w:hyperlink w:anchor="s234" w:history="1">
              <w:r w:rsidR="006B7F55">
                <w:rPr>
                  <w:rStyle w:val="Hyperlink"/>
                  <w:rFonts w:cstheme="minorBidi"/>
                  <w:b/>
                </w:rPr>
                <w:t>2.4</w:t>
              </w:r>
              <w:r w:rsidR="00B70CA8" w:rsidRPr="00B70CA8">
                <w:rPr>
                  <w:rStyle w:val="Hyperlink"/>
                  <w:rFonts w:cstheme="minorBidi"/>
                  <w:b/>
                </w:rPr>
                <w:t>.4</w:t>
              </w:r>
              <w:r w:rsidR="00B70CA8" w:rsidRPr="00B70CA8">
                <w:rPr>
                  <w:rStyle w:val="Hyperlink"/>
                  <w:rFonts w:cstheme="minorBidi"/>
                </w:rPr>
                <w:t xml:space="preserve"> </w:t>
              </w:r>
              <w:r w:rsidRPr="00B70CA8">
                <w:rPr>
                  <w:rStyle w:val="Hyperlink"/>
                  <w:rFonts w:cstheme="minorBidi"/>
                  <w:b/>
                </w:rPr>
                <w:t>Large Scale Transportation Model Methods</w:t>
              </w:r>
            </w:hyperlink>
            <w:r>
              <w:t xml:space="preserve"> </w:t>
            </w:r>
          </w:p>
        </w:tc>
      </w:tr>
      <w:tr w:rsidR="00225952" w:rsidRPr="00380CF5">
        <w:tc>
          <w:tcPr>
            <w:tcW w:w="2455" w:type="dxa"/>
          </w:tcPr>
          <w:p w:rsidR="00225952" w:rsidRPr="006135BA" w:rsidRDefault="00225952" w:rsidP="00225952">
            <w:pPr>
              <w:pStyle w:val="Heading4"/>
            </w:pPr>
            <w:r w:rsidRPr="006135BA">
              <w:lastRenderedPageBreak/>
              <w:t>FSUTMS Modeling of Assignment</w:t>
            </w:r>
          </w:p>
          <w:p w:rsidR="00225952" w:rsidRDefault="00225952" w:rsidP="00225952">
            <w:pPr>
              <w:pStyle w:val="Heading4"/>
            </w:pPr>
          </w:p>
          <w:p w:rsidR="00225952" w:rsidRDefault="00225952" w:rsidP="00225952">
            <w:pPr>
              <w:pStyle w:val="Heading4"/>
            </w:pPr>
          </w:p>
          <w:p w:rsidR="00225952" w:rsidRDefault="00225952" w:rsidP="00225952">
            <w:pPr>
              <w:pStyle w:val="Heading4"/>
            </w:pPr>
            <w:r>
              <w:rPr>
                <w:noProof/>
              </w:rPr>
              <w:drawing>
                <wp:inline distT="0" distB="0" distL="0" distR="0">
                  <wp:extent cx="1391920" cy="543560"/>
                  <wp:effectExtent l="19050" t="0" r="0" b="0"/>
                  <wp:docPr id="119" name="Picture 90" descr="button_PDFlink.png">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button_PDFlink.png"/>
                          <pic:cNvPicPr>
                            <a:picLocks noChangeAspect="1" noChangeArrowheads="1"/>
                          </pic:cNvPicPr>
                        </pic:nvPicPr>
                        <pic:blipFill>
                          <a:blip r:embed="rId15" cstate="print"/>
                          <a:srcRect/>
                          <a:stretch>
                            <a:fillRect/>
                          </a:stretch>
                        </pic:blipFill>
                        <pic:spPr bwMode="auto">
                          <a:xfrm>
                            <a:off x="0" y="0"/>
                            <a:ext cx="1391920" cy="543560"/>
                          </a:xfrm>
                          <a:prstGeom prst="rect">
                            <a:avLst/>
                          </a:prstGeom>
                          <a:noFill/>
                          <a:ln w="9525">
                            <a:noFill/>
                            <a:miter lim="800000"/>
                            <a:headEnd/>
                            <a:tailEnd/>
                          </a:ln>
                        </pic:spPr>
                      </pic:pic>
                    </a:graphicData>
                  </a:graphic>
                </wp:inline>
              </w:drawing>
            </w:r>
          </w:p>
          <w:p w:rsidR="00225952" w:rsidRDefault="00225952" w:rsidP="00D54EF9">
            <w:pPr>
              <w:pStyle w:val="HeadSide20"/>
              <w:jc w:val="center"/>
            </w:pPr>
            <w:r>
              <w:t>NCHRP Report 255</w:t>
            </w:r>
          </w:p>
          <w:p w:rsidR="00225952" w:rsidRDefault="00225952" w:rsidP="00225952"/>
          <w:p w:rsidR="00225952" w:rsidRDefault="00133E34" w:rsidP="00133E34">
            <w:pPr>
              <w:pStyle w:val="HeadSide20"/>
            </w:pPr>
            <w:r>
              <w:t>NCHRP 255 should be used by the applicant unless another procedure has been approved by FDOT.</w:t>
            </w:r>
          </w:p>
        </w:tc>
        <w:tc>
          <w:tcPr>
            <w:tcW w:w="7920" w:type="dxa"/>
          </w:tcPr>
          <w:p w:rsidR="00225952" w:rsidRDefault="00225952" w:rsidP="00133E34">
            <w:pPr>
              <w:spacing w:after="0"/>
            </w:pPr>
            <w:r>
              <w:t>At a conceptual level, five key steps are taken to perform a trip assignment.</w:t>
            </w:r>
          </w:p>
          <w:p w:rsidR="00225952" w:rsidRPr="00633F01" w:rsidRDefault="00225952" w:rsidP="005A3F7B">
            <w:pPr>
              <w:pStyle w:val="BulletA"/>
              <w:numPr>
                <w:ilvl w:val="0"/>
                <w:numId w:val="174"/>
              </w:numPr>
            </w:pPr>
            <w:r w:rsidRPr="00633F01">
              <w:t>Input proposed development’s land use into zonal data and/or adjust the model’s special generators</w:t>
            </w:r>
          </w:p>
          <w:p w:rsidR="00225952" w:rsidRPr="00633F01" w:rsidRDefault="00225952" w:rsidP="005A3F7B">
            <w:pPr>
              <w:pStyle w:val="BulletA"/>
              <w:numPr>
                <w:ilvl w:val="0"/>
                <w:numId w:val="174"/>
              </w:numPr>
            </w:pPr>
            <w:r w:rsidRPr="00633F01">
              <w:t>Run FSUTMS</w:t>
            </w:r>
          </w:p>
          <w:p w:rsidR="00225952" w:rsidRPr="00633F01" w:rsidRDefault="00225952" w:rsidP="005A3F7B">
            <w:pPr>
              <w:pStyle w:val="BulletA"/>
              <w:numPr>
                <w:ilvl w:val="0"/>
                <w:numId w:val="174"/>
              </w:numPr>
            </w:pPr>
            <w:r w:rsidRPr="00633F01">
              <w:t>Display traffic that enters/exits development zone(s) on the loaded network using the traffic assignment path file</w:t>
            </w:r>
          </w:p>
          <w:p w:rsidR="00225952" w:rsidRPr="00835D35" w:rsidRDefault="00225952" w:rsidP="005A3F7B">
            <w:pPr>
              <w:pStyle w:val="BulletA"/>
              <w:numPr>
                <w:ilvl w:val="0"/>
                <w:numId w:val="174"/>
              </w:numPr>
              <w:rPr>
                <w:sz w:val="22"/>
              </w:rPr>
            </w:pPr>
            <w:r w:rsidRPr="00633F01">
              <w:t xml:space="preserve">Save development traffic as a new link attribute for further </w:t>
            </w:r>
            <w:r w:rsidRPr="00835D35">
              <w:rPr>
                <w:sz w:val="22"/>
              </w:rPr>
              <w:t>analysis (a new attribute may need to be created in the network for this purpose if one does not already exist)</w:t>
            </w:r>
          </w:p>
          <w:p w:rsidR="00225952" w:rsidRPr="00633F01" w:rsidRDefault="00225952" w:rsidP="005A3F7B">
            <w:pPr>
              <w:pStyle w:val="BulletA"/>
              <w:numPr>
                <w:ilvl w:val="0"/>
                <w:numId w:val="174"/>
              </w:numPr>
            </w:pPr>
            <w:r w:rsidRPr="00633F01">
              <w:t>Check for reasonableness</w:t>
            </w:r>
          </w:p>
          <w:p w:rsidR="00225952" w:rsidRDefault="00225952" w:rsidP="00133E34">
            <w:pPr>
              <w:spacing w:after="120"/>
              <w:rPr>
                <w:color w:val="17365D"/>
                <w:sz w:val="24"/>
                <w:highlight w:val="yellow"/>
              </w:rPr>
            </w:pPr>
            <w:r>
              <w:t xml:space="preserve">In some circumstances, such as at the fringe of a model, manual adjustments may be necessary. If post assignment adjustments are made, the process should be clearly justified and documented. </w:t>
            </w:r>
            <w:r w:rsidRPr="006B221A">
              <w:rPr>
                <w:i/>
              </w:rPr>
              <w:t>National Cooperative Highway Research Program (NCHRP) Report No. 255</w:t>
            </w:r>
            <w:r>
              <w:rPr>
                <w:i/>
              </w:rPr>
              <w:t xml:space="preserve">, </w:t>
            </w:r>
            <w:r w:rsidRPr="00DD1881">
              <w:rPr>
                <w:i/>
              </w:rPr>
              <w:t>Highway Traffic Data For Urbanized Area Project Planning And Design</w:t>
            </w:r>
            <w:r>
              <w:rPr>
                <w:i/>
              </w:rPr>
              <w:t xml:space="preserve">, </w:t>
            </w:r>
            <w:r>
              <w:t xml:space="preserve"> identifies the procedure for adjusting link volumes and arriving at design traffic and turn movements. </w:t>
            </w:r>
          </w:p>
        </w:tc>
      </w:tr>
      <w:tr w:rsidR="00225952" w:rsidRPr="00380CF5">
        <w:tc>
          <w:tcPr>
            <w:tcW w:w="2455" w:type="dxa"/>
          </w:tcPr>
          <w:p w:rsidR="00225952" w:rsidRDefault="00225952" w:rsidP="00225952">
            <w:pPr>
              <w:pStyle w:val="HeadSide2"/>
            </w:pPr>
            <w:r>
              <w:rPr>
                <w:bCs w:val="0"/>
                <w:noProof/>
                <w:color w:val="auto"/>
                <w:sz w:val="23"/>
              </w:rPr>
              <w:drawing>
                <wp:inline distT="0" distB="0" distL="0" distR="0">
                  <wp:extent cx="1416685" cy="560070"/>
                  <wp:effectExtent l="19050" t="0" r="0" b="0"/>
                  <wp:docPr id="125" name="Picture 75" descr="button_presentation.png">
                    <a:hlinkClick xmlns:a="http://schemas.openxmlformats.org/drawingml/2006/main" r:id="rId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button_presentation.png"/>
                          <pic:cNvPicPr>
                            <a:picLocks noChangeAspect="1" noChangeArrowheads="1"/>
                          </pic:cNvPicPr>
                        </pic:nvPicPr>
                        <pic:blipFill>
                          <a:blip r:embed="rId35" cstate="print"/>
                          <a:srcRect/>
                          <a:stretch>
                            <a:fillRect/>
                          </a:stretch>
                        </pic:blipFill>
                        <pic:spPr bwMode="auto">
                          <a:xfrm>
                            <a:off x="0" y="0"/>
                            <a:ext cx="1416685" cy="560070"/>
                          </a:xfrm>
                          <a:prstGeom prst="rect">
                            <a:avLst/>
                          </a:prstGeom>
                          <a:noFill/>
                          <a:ln w="9525">
                            <a:noFill/>
                            <a:miter lim="800000"/>
                            <a:headEnd/>
                            <a:tailEnd/>
                          </a:ln>
                        </pic:spPr>
                      </pic:pic>
                    </a:graphicData>
                  </a:graphic>
                </wp:inline>
              </w:drawing>
            </w:r>
            <w:r>
              <w:t xml:space="preserve">Webinar </w:t>
            </w:r>
            <w:r w:rsidRPr="008A22C3">
              <w:t>with an entire segment on the use of NCHRP 255</w:t>
            </w:r>
            <w:r>
              <w:br/>
            </w:r>
            <w:r w:rsidRPr="007942D4">
              <w:t>–</w:t>
            </w:r>
            <w:r>
              <w:t xml:space="preserve"> </w:t>
            </w:r>
            <w:r w:rsidRPr="007942D4">
              <w:t xml:space="preserve">September 2008 </w:t>
            </w:r>
          </w:p>
        </w:tc>
        <w:tc>
          <w:tcPr>
            <w:tcW w:w="7920" w:type="dxa"/>
          </w:tcPr>
          <w:p w:rsidR="00225952" w:rsidRDefault="00225952" w:rsidP="00133E34">
            <w:pPr>
              <w:spacing w:after="0"/>
            </w:pPr>
            <w:r>
              <w:t xml:space="preserve">The model output volumes from FSUTMS typically represent the peak season weekday average daily traffic (PSWADT) condition. These volumes must be converted to AADT and then to peak hour volumes using conversion factors. This process is described in the </w:t>
            </w:r>
            <w:r w:rsidRPr="00F902E3">
              <w:t xml:space="preserve">FDOT </w:t>
            </w:r>
            <w:hyperlink r:id="rId112" w:history="1">
              <w:r w:rsidRPr="00F902E3">
                <w:rPr>
                  <w:rStyle w:val="Hyperlink"/>
                  <w:b/>
                </w:rPr>
                <w:t>Project Traffic  Forecasting Handbook</w:t>
              </w:r>
            </w:hyperlink>
            <w:r>
              <w:rPr>
                <w:i/>
              </w:rPr>
              <w:t>.</w:t>
            </w:r>
            <w:r>
              <w:t xml:space="preserve"> </w:t>
            </w:r>
            <w:r w:rsidRPr="006B221A">
              <w:t xml:space="preserve">All adjustments and conversion factors </w:t>
            </w:r>
            <w:r>
              <w:t>should</w:t>
            </w:r>
            <w:r w:rsidRPr="006B221A">
              <w:t xml:space="preserve"> be documented, reviewed and approved by</w:t>
            </w:r>
            <w:r w:rsidRPr="00287EC4">
              <w:t xml:space="preserve"> </w:t>
            </w:r>
            <w:r>
              <w:t>FDOT</w:t>
            </w:r>
            <w:r w:rsidRPr="006B221A">
              <w:t>.</w:t>
            </w:r>
            <w:r>
              <w:t xml:space="preserve"> Some models may represent AADT by default or may automatically convert model PSWADT to AADT during the model process. The analyst is encouraged to reference all available model documentation and coordinate with the appropriate FDOT or MPO staff if there is a question concerning the units of the model output volumes.</w:t>
            </w:r>
          </w:p>
        </w:tc>
      </w:tr>
      <w:tr w:rsidR="00225952" w:rsidRPr="00380CF5" w:rsidTr="00225952">
        <w:tc>
          <w:tcPr>
            <w:tcW w:w="10375" w:type="dxa"/>
            <w:gridSpan w:val="2"/>
          </w:tcPr>
          <w:p w:rsidR="00225952" w:rsidRPr="006135BA" w:rsidRDefault="006B7F55" w:rsidP="00225952">
            <w:pPr>
              <w:pStyle w:val="Heading3"/>
            </w:pPr>
            <w:bookmarkStart w:id="91" w:name="_Toc264274100"/>
            <w:r>
              <w:t>2.8</w:t>
            </w:r>
            <w:r w:rsidR="00225952">
              <w:t xml:space="preserve">.6  </w:t>
            </w:r>
            <w:r w:rsidR="00225952" w:rsidRPr="006135BA">
              <w:t>Trip Assignment at Intersections</w:t>
            </w:r>
            <w:bookmarkEnd w:id="91"/>
          </w:p>
        </w:tc>
      </w:tr>
      <w:tr w:rsidR="00225952" w:rsidRPr="00380CF5">
        <w:tc>
          <w:tcPr>
            <w:tcW w:w="2455" w:type="dxa"/>
          </w:tcPr>
          <w:p w:rsidR="00221BB9" w:rsidRDefault="00221BB9"/>
          <w:p w:rsidR="00221BB9" w:rsidRDefault="00225952">
            <w:pPr>
              <w:spacing w:after="0"/>
            </w:pPr>
            <w:r>
              <w:rPr>
                <w:noProof/>
              </w:rPr>
              <w:drawing>
                <wp:inline distT="0" distB="0" distL="0" distR="0">
                  <wp:extent cx="1391920" cy="543560"/>
                  <wp:effectExtent l="19050" t="0" r="0" b="0"/>
                  <wp:docPr id="117" name="Picture 34" descr="button_exel.png">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button_exel.png"/>
                          <pic:cNvPicPr>
                            <a:picLocks noChangeAspect="1" noChangeArrowheads="1"/>
                          </pic:cNvPicPr>
                        </pic:nvPicPr>
                        <pic:blipFill>
                          <a:blip r:embed="rId67" cstate="print"/>
                          <a:srcRect/>
                          <a:stretch>
                            <a:fillRect/>
                          </a:stretch>
                        </pic:blipFill>
                        <pic:spPr bwMode="auto">
                          <a:xfrm>
                            <a:off x="0" y="0"/>
                            <a:ext cx="1391920" cy="543560"/>
                          </a:xfrm>
                          <a:prstGeom prst="rect">
                            <a:avLst/>
                          </a:prstGeom>
                          <a:noFill/>
                          <a:ln w="9525">
                            <a:noFill/>
                            <a:miter lim="800000"/>
                            <a:headEnd/>
                            <a:tailEnd/>
                          </a:ln>
                        </pic:spPr>
                      </pic:pic>
                    </a:graphicData>
                  </a:graphic>
                </wp:inline>
              </w:drawing>
            </w:r>
          </w:p>
          <w:p w:rsidR="00D54EF9" w:rsidRPr="00D54EF9" w:rsidRDefault="00225952" w:rsidP="00D54EF9">
            <w:pPr>
              <w:pStyle w:val="HeadSide2"/>
              <w:spacing w:after="240"/>
              <w:jc w:val="center"/>
              <w:rPr>
                <w:b/>
              </w:rPr>
            </w:pPr>
            <w:r>
              <w:t>Turns 5</w:t>
            </w:r>
          </w:p>
          <w:p w:rsidR="00221BB9" w:rsidRDefault="00D54EF9">
            <w:pPr>
              <w:spacing w:after="0"/>
            </w:pPr>
            <w:r w:rsidRPr="00D54EF9">
              <w:rPr>
                <w:noProof/>
              </w:rPr>
              <w:drawing>
                <wp:inline distT="0" distB="0" distL="0" distR="0">
                  <wp:extent cx="1391920" cy="543560"/>
                  <wp:effectExtent l="19050" t="0" r="0" b="0"/>
                  <wp:docPr id="227" name="Picture 90" descr="button_PDFlink.png">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button_PDFlink.png"/>
                          <pic:cNvPicPr>
                            <a:picLocks noChangeAspect="1" noChangeArrowheads="1"/>
                          </pic:cNvPicPr>
                        </pic:nvPicPr>
                        <pic:blipFill>
                          <a:blip r:embed="rId15" cstate="print"/>
                          <a:srcRect/>
                          <a:stretch>
                            <a:fillRect/>
                          </a:stretch>
                        </pic:blipFill>
                        <pic:spPr bwMode="auto">
                          <a:xfrm>
                            <a:off x="0" y="0"/>
                            <a:ext cx="1391920" cy="543560"/>
                          </a:xfrm>
                          <a:prstGeom prst="rect">
                            <a:avLst/>
                          </a:prstGeom>
                          <a:noFill/>
                          <a:ln w="9525">
                            <a:noFill/>
                            <a:miter lim="800000"/>
                            <a:headEnd/>
                            <a:tailEnd/>
                          </a:ln>
                        </pic:spPr>
                      </pic:pic>
                    </a:graphicData>
                  </a:graphic>
                </wp:inline>
              </w:drawing>
            </w:r>
          </w:p>
          <w:p w:rsidR="00D54EF9" w:rsidRPr="00DD2247" w:rsidRDefault="00D54EF9" w:rsidP="00DD2247">
            <w:pPr>
              <w:pStyle w:val="HeadSide2"/>
              <w:jc w:val="center"/>
            </w:pPr>
            <w:r w:rsidRPr="00DD2247">
              <w:t xml:space="preserve">Project </w:t>
            </w:r>
            <w:r w:rsidRPr="00DD2247">
              <w:rPr>
                <w:rStyle w:val="HeadSide2Char0"/>
                <w:color w:val="17365D"/>
                <w:sz w:val="22"/>
              </w:rPr>
              <w:t>Traffic Forecasting</w:t>
            </w:r>
            <w:r w:rsidRPr="00DD2247">
              <w:t xml:space="preserve"> Handbook</w:t>
            </w:r>
          </w:p>
        </w:tc>
        <w:tc>
          <w:tcPr>
            <w:tcW w:w="7920" w:type="dxa"/>
          </w:tcPr>
          <w:p w:rsidR="00225952" w:rsidRDefault="00225952" w:rsidP="00835D35">
            <w:pPr>
              <w:spacing w:after="120"/>
            </w:pPr>
            <w:bookmarkStart w:id="92" w:name="_Toc232912667"/>
            <w:r w:rsidRPr="00217B48">
              <w:t xml:space="preserve">The operational analysis of </w:t>
            </w:r>
            <w:r>
              <w:t xml:space="preserve">individual intersections is often required as part of a site transportation impact assessment. The trip assignment at intersections should be compared to the assignment shown at the facility level so that both analyses are using consistent values. It is also noted that the background volumes used in a detailed intersection assessment should be compared to the background volumes used in the facility analysis. For example, the sum of a specific approach (left turn movements plus through movements plus right turn movements) at an </w:t>
            </w:r>
            <w:r w:rsidRPr="00133E34">
              <w:rPr>
                <w:spacing w:val="-4"/>
              </w:rPr>
              <w:t>intersection should reasonably match the approach volume used in the facility analysis. Additional information about the assessment of individual intersections</w:t>
            </w:r>
            <w:r>
              <w:t xml:space="preserve"> </w:t>
            </w:r>
            <w:r w:rsidRPr="00133E34">
              <w:rPr>
                <w:spacing w:val="-6"/>
              </w:rPr>
              <w:t xml:space="preserve">is provided in the </w:t>
            </w:r>
            <w:r w:rsidRPr="00133E34">
              <w:rPr>
                <w:b/>
                <w:spacing w:val="-6"/>
              </w:rPr>
              <w:t>FDOT Quality/LOS Handbook</w:t>
            </w:r>
            <w:r w:rsidRPr="00133E34">
              <w:rPr>
                <w:spacing w:val="-6"/>
              </w:rPr>
              <w:t>. FDOT has also developed an Excel spreadsheet  tool called “TURNS</w:t>
            </w:r>
            <w:r w:rsidRPr="00133E34">
              <w:rPr>
                <w:spacing w:val="-6"/>
                <w:szCs w:val="23"/>
              </w:rPr>
              <w:t>5</w:t>
            </w:r>
            <w:r w:rsidRPr="00133E34">
              <w:rPr>
                <w:spacing w:val="-6"/>
              </w:rPr>
              <w:t>" which may be useful.</w:t>
            </w:r>
            <w:bookmarkEnd w:id="92"/>
            <w:r w:rsidRPr="00133E34">
              <w:rPr>
                <w:spacing w:val="-6"/>
              </w:rPr>
              <w:t xml:space="preserve"> Instructions for the use of this spreadsheet are found in C</w:t>
            </w:r>
            <w:r w:rsidR="00835D35">
              <w:rPr>
                <w:spacing w:val="-6"/>
              </w:rPr>
              <w:t>H</w:t>
            </w:r>
            <w:r w:rsidRPr="00133E34">
              <w:rPr>
                <w:spacing w:val="-6"/>
              </w:rPr>
              <w:t xml:space="preserve"> 7 of the FDOT </w:t>
            </w:r>
            <w:r w:rsidRPr="00133E34">
              <w:rPr>
                <w:b/>
                <w:spacing w:val="-6"/>
                <w:sz w:val="24"/>
              </w:rPr>
              <w:t>Project Traffic Forecasting Handbook</w:t>
            </w:r>
          </w:p>
        </w:tc>
      </w:tr>
    </w:tbl>
    <w:p w:rsidR="00225952" w:rsidRDefault="00225952">
      <w:pPr>
        <w:pStyle w:val="Heading2"/>
        <w:sectPr w:rsidR="00225952" w:rsidSect="00832911">
          <w:headerReference w:type="default" r:id="rId113"/>
          <w:type w:val="continuous"/>
          <w:pgSz w:w="12240" w:h="15840"/>
          <w:pgMar w:top="1440" w:right="720" w:bottom="1440" w:left="1152" w:header="720" w:footer="720" w:gutter="0"/>
          <w:cols w:space="720"/>
          <w:docGrid w:linePitch="360"/>
        </w:sectPr>
      </w:pPr>
      <w:bookmarkStart w:id="93" w:name="_Toc232912669"/>
    </w:p>
    <w:tbl>
      <w:tblPr>
        <w:tblW w:w="10375" w:type="dxa"/>
        <w:tblLayout w:type="fixed"/>
        <w:tblLook w:val="0000"/>
      </w:tblPr>
      <w:tblGrid>
        <w:gridCol w:w="2455"/>
        <w:gridCol w:w="7920"/>
      </w:tblGrid>
      <w:tr w:rsidR="00225952" w:rsidRPr="00380CF5">
        <w:tc>
          <w:tcPr>
            <w:tcW w:w="10375" w:type="dxa"/>
            <w:gridSpan w:val="2"/>
          </w:tcPr>
          <w:p w:rsidR="00225952" w:rsidRDefault="00225952">
            <w:pPr>
              <w:pStyle w:val="Heading2"/>
            </w:pPr>
            <w:bookmarkStart w:id="94" w:name="_Toc264274101"/>
            <w:r w:rsidRPr="006135BA">
              <w:lastRenderedPageBreak/>
              <w:t>2.</w:t>
            </w:r>
            <w:r w:rsidR="006B7F55">
              <w:t>9</w:t>
            </w:r>
            <w:r w:rsidRPr="006135BA">
              <w:t xml:space="preserve"> Future Conditions Analysis/Mitigation/Determine Future Transportation Needs </w:t>
            </w:r>
            <w:bookmarkEnd w:id="93"/>
            <w:r>
              <w:t>(Step 4)</w:t>
            </w:r>
            <w:bookmarkEnd w:id="94"/>
          </w:p>
        </w:tc>
      </w:tr>
      <w:tr w:rsidR="00225952" w:rsidRPr="00380CF5">
        <w:tc>
          <w:tcPr>
            <w:tcW w:w="2455" w:type="dxa"/>
          </w:tcPr>
          <w:p w:rsidR="00225952" w:rsidRDefault="00225952" w:rsidP="00225952">
            <w:pPr>
              <w:pStyle w:val="SidebarSentence"/>
            </w:pPr>
          </w:p>
          <w:p w:rsidR="00225952" w:rsidRDefault="00225952" w:rsidP="00225952">
            <w:pPr>
              <w:pStyle w:val="SidebarSentence"/>
            </w:pPr>
            <w:r>
              <w:rPr>
                <w:noProof/>
              </w:rPr>
              <w:drawing>
                <wp:inline distT="0" distB="0" distL="0" distR="0">
                  <wp:extent cx="1054735" cy="1054735"/>
                  <wp:effectExtent l="19050" t="0" r="0" b="0"/>
                  <wp:docPr id="82" name="Picture 82" descr="iStep8Fu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iStep8Future.png"/>
                          <pic:cNvPicPr>
                            <a:picLocks noChangeAspect="1" noChangeArrowheads="1"/>
                          </pic:cNvPicPr>
                        </pic:nvPicPr>
                        <pic:blipFill>
                          <a:blip r:embed="rId114" cstate="print"/>
                          <a:srcRect/>
                          <a:stretch>
                            <a:fillRect/>
                          </a:stretch>
                        </pic:blipFill>
                        <pic:spPr bwMode="auto">
                          <a:xfrm>
                            <a:off x="0" y="0"/>
                            <a:ext cx="1054735" cy="1054735"/>
                          </a:xfrm>
                          <a:prstGeom prst="rect">
                            <a:avLst/>
                          </a:prstGeom>
                          <a:noFill/>
                          <a:ln w="9525">
                            <a:noFill/>
                            <a:miter lim="800000"/>
                            <a:headEnd/>
                            <a:tailEnd/>
                          </a:ln>
                        </pic:spPr>
                      </pic:pic>
                    </a:graphicData>
                  </a:graphic>
                </wp:inline>
              </w:drawing>
            </w:r>
          </w:p>
          <w:p w:rsidR="00225952" w:rsidRDefault="00225952">
            <w:pPr>
              <w:pStyle w:val="SidebarSentence"/>
            </w:pPr>
            <w:r>
              <w:t>Determines what mitigation may be required</w:t>
            </w:r>
          </w:p>
        </w:tc>
        <w:tc>
          <w:tcPr>
            <w:tcW w:w="7920" w:type="dxa"/>
          </w:tcPr>
          <w:p w:rsidR="00225952" w:rsidRDefault="00225952" w:rsidP="00225952">
            <w:r>
              <w:t xml:space="preserve">The Future Conditions Analysis determines if the transportation system will operate acceptably with the additional site-generated trips. If not, one must determine what mitigation may be required. The reviewer should have a clear understanding of the evaluation method used. </w:t>
            </w:r>
          </w:p>
          <w:p w:rsidR="00225952" w:rsidRDefault="00225952" w:rsidP="002274C7">
            <w:r w:rsidRPr="00E10829">
              <w:t xml:space="preserve">This </w:t>
            </w:r>
            <w:r w:rsidR="002274C7">
              <w:t>section</w:t>
            </w:r>
            <w:r w:rsidRPr="00E10829">
              <w:t xml:space="preserve"> assumes that an evaluation methodology </w:t>
            </w:r>
            <w:r>
              <w:t xml:space="preserve">is </w:t>
            </w:r>
            <w:r w:rsidRPr="00E10829">
              <w:t>based on Florida’s Planning LOS Standards</w:t>
            </w:r>
            <w:r>
              <w:t xml:space="preserve"> and methods.</w:t>
            </w:r>
            <w:r w:rsidRPr="00E10829">
              <w:t xml:space="preserve"> </w:t>
            </w:r>
            <w:r>
              <w:t xml:space="preserve">In some instances, local governments may use a different methodology or performance measures. The applicant should clearly document and justify the methodology used and should confirm all methodology assumptions and analysis requirements with FDOT. </w:t>
            </w:r>
          </w:p>
        </w:tc>
      </w:tr>
      <w:tr w:rsidR="00225952" w:rsidRPr="00380CF5" w:rsidTr="00225952">
        <w:tc>
          <w:tcPr>
            <w:tcW w:w="10375" w:type="dxa"/>
            <w:gridSpan w:val="2"/>
          </w:tcPr>
          <w:p w:rsidR="00225952" w:rsidRDefault="006B7F55" w:rsidP="00225952">
            <w:pPr>
              <w:pStyle w:val="Heading3"/>
              <w:widowControl w:val="0"/>
            </w:pPr>
            <w:bookmarkStart w:id="95" w:name="_Toc264274102"/>
            <w:r>
              <w:t>2.9</w:t>
            </w:r>
            <w:r w:rsidR="00225952">
              <w:t xml:space="preserve">.1  </w:t>
            </w:r>
            <w:r w:rsidR="00225952" w:rsidRPr="006135BA">
              <w:t>Significance and Adversity Testing</w:t>
            </w:r>
            <w:bookmarkEnd w:id="95"/>
          </w:p>
        </w:tc>
      </w:tr>
      <w:tr w:rsidR="00225952" w:rsidRPr="00380CF5">
        <w:tc>
          <w:tcPr>
            <w:tcW w:w="2455" w:type="dxa"/>
          </w:tcPr>
          <w:p w:rsidR="00225952" w:rsidRDefault="00225952" w:rsidP="00DD2247">
            <w:pPr>
              <w:pStyle w:val="HeadSide20"/>
            </w:pPr>
            <w:r w:rsidRPr="006135BA">
              <w:br/>
            </w:r>
            <w:r w:rsidR="005A3F7B">
              <w:t xml:space="preserve">Significant depends </w:t>
            </w:r>
            <w:r w:rsidR="005A3F7B">
              <w:br/>
              <w:t>on</w:t>
            </w:r>
            <w:r>
              <w:t xml:space="preserve"> the type of development and </w:t>
            </w:r>
            <w:r w:rsidR="005A3F7B">
              <w:br/>
            </w:r>
            <w:r>
              <w:t xml:space="preserve">local government </w:t>
            </w:r>
          </w:p>
          <w:p w:rsidR="00225952" w:rsidRPr="006103C4" w:rsidRDefault="00225952" w:rsidP="00225952"/>
        </w:tc>
        <w:tc>
          <w:tcPr>
            <w:tcW w:w="7920" w:type="dxa"/>
          </w:tcPr>
          <w:p w:rsidR="00225952" w:rsidRDefault="00225952" w:rsidP="00225952">
            <w:r>
              <w:t>The significance of impacts is usually determined by considering the percentage of traffic on a roadway segment that is generated by the development during the peak hour in relationship to the maximum service volume at the LOS standard for the facility during the same period. The significance criterion may vary by the type of development and local government jurisdiction. For example, the typical DRI level of significance is 5 percent of the maximum service volume at the LOS standard for the facility during the 100</w:t>
            </w:r>
            <w:r w:rsidRPr="00A65A89">
              <w:rPr>
                <w:szCs w:val="19"/>
                <w:vertAlign w:val="superscript"/>
              </w:rPr>
              <w:t>th</w:t>
            </w:r>
            <w:r>
              <w:t xml:space="preserve">-highest hour. However, local governments may establish more stringent levels of significance that will govern if the standard is adopted as part of the </w:t>
            </w:r>
            <w:r w:rsidRPr="009167E9">
              <w:t>LGCP (Rule 9J-2.045(6), FAC). Therefore</w:t>
            </w:r>
            <w:r>
              <w:t>, FDOT should review the criteria established by the local government prior to performing a review.</w:t>
            </w:r>
          </w:p>
        </w:tc>
      </w:tr>
      <w:tr w:rsidR="00225952" w:rsidRPr="00380CF5">
        <w:tc>
          <w:tcPr>
            <w:tcW w:w="2455" w:type="dxa"/>
          </w:tcPr>
          <w:p w:rsidR="00225952" w:rsidRPr="006135BA" w:rsidRDefault="00225952" w:rsidP="00225952">
            <w:pPr>
              <w:pStyle w:val="Heading3"/>
            </w:pPr>
          </w:p>
        </w:tc>
        <w:tc>
          <w:tcPr>
            <w:tcW w:w="7920" w:type="dxa"/>
          </w:tcPr>
          <w:p w:rsidR="00225952" w:rsidRDefault="00225952" w:rsidP="00225952">
            <w:pPr>
              <w:spacing w:after="0"/>
            </w:pPr>
            <w:r>
              <w:t>Developments are considered to adversely impact a roadway if:</w:t>
            </w:r>
          </w:p>
          <w:p w:rsidR="00225952" w:rsidRPr="005547EB" w:rsidRDefault="00225952" w:rsidP="00DD2247">
            <w:pPr>
              <w:pStyle w:val="Quote"/>
            </w:pPr>
            <w:r w:rsidRPr="001C07A6">
              <w:t>The roa</w:t>
            </w:r>
            <w:r w:rsidR="00E36DE5">
              <w:t>dway is significantly impacted,</w:t>
            </w:r>
            <w:r w:rsidRPr="001C07A6">
              <w:t xml:space="preserve"> and the LOS on the roadway with the development trips is below the adopted LOS standard.</w:t>
            </w:r>
          </w:p>
        </w:tc>
      </w:tr>
      <w:tr w:rsidR="00225952" w:rsidRPr="00380CF5">
        <w:tc>
          <w:tcPr>
            <w:tcW w:w="2455" w:type="dxa"/>
          </w:tcPr>
          <w:p w:rsidR="00225952" w:rsidRDefault="00225952" w:rsidP="00225952">
            <w:pPr>
              <w:pStyle w:val="SidebarSentence"/>
            </w:pPr>
            <w:r w:rsidRPr="00E10829">
              <w:t>When the roadway is significantly and adversely impacted, the developer is responsible to mitigate the impacts of the project</w:t>
            </w:r>
          </w:p>
        </w:tc>
        <w:tc>
          <w:tcPr>
            <w:tcW w:w="7920" w:type="dxa"/>
          </w:tcPr>
          <w:p w:rsidR="00225952" w:rsidRDefault="00225952" w:rsidP="00225952">
            <w:pPr>
              <w:rPr>
                <w:b/>
              </w:rPr>
            </w:pPr>
            <w:r w:rsidRPr="00E10829">
              <w:t xml:space="preserve">When the roadway is significantly and adversely impacted, the developer is responsible to mitigate the impacts of the project. Strategies that may be implemented to mitigate impacts are discussed in </w:t>
            </w:r>
            <w:r w:rsidRPr="00E10829">
              <w:rPr>
                <w:b/>
              </w:rPr>
              <w:t>Chapter 5: Mitigation Analysis</w:t>
            </w:r>
          </w:p>
          <w:p w:rsidR="00225952" w:rsidRDefault="00225952" w:rsidP="00225952">
            <w:pPr>
              <w:pStyle w:val="CommentText"/>
            </w:pPr>
          </w:p>
        </w:tc>
      </w:tr>
    </w:tbl>
    <w:p w:rsidR="00D54EF9" w:rsidRDefault="00D54EF9">
      <w:r>
        <w:rPr>
          <w:b/>
          <w:bCs/>
        </w:rPr>
        <w:br w:type="page"/>
      </w:r>
    </w:p>
    <w:tbl>
      <w:tblPr>
        <w:tblW w:w="10375" w:type="dxa"/>
        <w:tblLayout w:type="fixed"/>
        <w:tblLook w:val="0000"/>
      </w:tblPr>
      <w:tblGrid>
        <w:gridCol w:w="2455"/>
        <w:gridCol w:w="7920"/>
      </w:tblGrid>
      <w:tr w:rsidR="00225952" w:rsidRPr="00380CF5" w:rsidTr="00225952">
        <w:tc>
          <w:tcPr>
            <w:tcW w:w="10375" w:type="dxa"/>
            <w:gridSpan w:val="2"/>
          </w:tcPr>
          <w:p w:rsidR="00225952" w:rsidRPr="006135BA" w:rsidRDefault="006B7F55" w:rsidP="00225952">
            <w:pPr>
              <w:pStyle w:val="Heading3"/>
            </w:pPr>
            <w:bookmarkStart w:id="96" w:name="_Toc264274103"/>
            <w:r>
              <w:lastRenderedPageBreak/>
              <w:t>2.9</w:t>
            </w:r>
            <w:r w:rsidR="00225952">
              <w:t xml:space="preserve">.2  </w:t>
            </w:r>
            <w:r w:rsidR="00225952" w:rsidRPr="006135BA">
              <w:t>Florida's Planning LOS Standards</w:t>
            </w:r>
            <w:bookmarkEnd w:id="96"/>
          </w:p>
        </w:tc>
      </w:tr>
      <w:tr w:rsidR="00225952" w:rsidRPr="00380CF5">
        <w:tc>
          <w:tcPr>
            <w:tcW w:w="2455" w:type="dxa"/>
          </w:tcPr>
          <w:p w:rsidR="00225952" w:rsidRPr="006135BA" w:rsidRDefault="00225952" w:rsidP="00225952">
            <w:pPr>
              <w:pStyle w:val="Heading3"/>
            </w:pPr>
          </w:p>
        </w:tc>
        <w:tc>
          <w:tcPr>
            <w:tcW w:w="7920" w:type="dxa"/>
          </w:tcPr>
          <w:p w:rsidR="00225952" w:rsidRDefault="00225952" w:rsidP="004B4918">
            <w:bookmarkStart w:id="97" w:name="_Toc232912671"/>
            <w:r w:rsidRPr="00C762FF">
              <w:t xml:space="preserve">The LOS standards were recently updated in April 2009. The rule is intended to promote public safety and general welfare, ensure the mobility of people and goods, and preserve the facilities on the State Highway System (SHS) SIS, and facilities funded by the TRIP. The standards are to be applied to FDOT’s planning activities. Unless otherwise provided by law, the minimum LOS standards for the SIS, FIHS, and facilities funded by the TRIP will be used by FDOT in review of local government </w:t>
            </w:r>
            <w:r w:rsidRPr="004B4918">
              <w:rPr>
                <w:spacing w:val="-2"/>
              </w:rPr>
              <w:t>comprehensive plans, assessing impacts related to developments of regional impact (DRI), and assessing other developments affecting the SIS, FIHS, and roadways funded by the TRIP</w:t>
            </w:r>
            <w:r w:rsidR="004B4918" w:rsidRPr="004B4918">
              <w:rPr>
                <w:spacing w:val="-2"/>
              </w:rPr>
              <w:t>.</w:t>
            </w:r>
          </w:p>
          <w:bookmarkEnd w:id="97"/>
          <w:p w:rsidR="00225952" w:rsidRDefault="00225952" w:rsidP="004B4918">
            <w:r>
              <w:t xml:space="preserve"> In reference to the latest 2009 state legislation, many urban areas in Florida qualify as Dense Urban Land Areas.  Once their comprehensive plans are amended, they can become Transportation Concurrency Exception Areas (TCEAs).  These areas may be exempt from all of the Level of Service Standards.  </w:t>
            </w:r>
            <w:r w:rsidRPr="00E10829">
              <w:t xml:space="preserve">The FDOT reviewer should check </w:t>
            </w:r>
            <w:r w:rsidRPr="004B4918">
              <w:t>the local government comprehensive plans to see if LOS standards have been changed.</w:t>
            </w:r>
          </w:p>
          <w:p w:rsidR="00225952" w:rsidRDefault="00225952" w:rsidP="004B4918">
            <w:r w:rsidRPr="008A22C3">
              <w:rPr>
                <w:szCs w:val="23"/>
              </w:rPr>
              <w:t>Areas still affected by the Level of Service Rule can set their own operational standards in their comprehensive plans</w:t>
            </w:r>
            <w:r w:rsidRPr="008A22C3">
              <w:rPr>
                <w:rStyle w:val="CommentReference"/>
                <w:sz w:val="23"/>
                <w:szCs w:val="23"/>
              </w:rPr>
              <w:t>, but the FDOT standards still remain for</w:t>
            </w:r>
            <w:r>
              <w:rPr>
                <w:szCs w:val="23"/>
              </w:rPr>
              <w:t xml:space="preserve"> highways on the Strategic Intermodal System (</w:t>
            </w:r>
            <w:r w:rsidRPr="008A22C3">
              <w:rPr>
                <w:szCs w:val="23"/>
              </w:rPr>
              <w:t>SIS</w:t>
            </w:r>
            <w:r>
              <w:rPr>
                <w:szCs w:val="23"/>
              </w:rPr>
              <w:t>)</w:t>
            </w:r>
            <w:r w:rsidRPr="008A22C3">
              <w:rPr>
                <w:szCs w:val="23"/>
              </w:rPr>
              <w:t>,</w:t>
            </w:r>
            <w:r>
              <w:rPr>
                <w:szCs w:val="23"/>
              </w:rPr>
              <w:t xml:space="preserve"> the Florida Intrastate Highway System (</w:t>
            </w:r>
            <w:r w:rsidRPr="008A22C3">
              <w:rPr>
                <w:szCs w:val="23"/>
              </w:rPr>
              <w:t>FIHS</w:t>
            </w:r>
            <w:r>
              <w:rPr>
                <w:szCs w:val="23"/>
              </w:rPr>
              <w:t>)</w:t>
            </w:r>
            <w:r w:rsidRPr="008A22C3">
              <w:rPr>
                <w:szCs w:val="23"/>
              </w:rPr>
              <w:t xml:space="preserve">, and </w:t>
            </w:r>
            <w:r>
              <w:rPr>
                <w:szCs w:val="23"/>
              </w:rPr>
              <w:t>roadway projects funded with Transportation Regional Incentive Program (</w:t>
            </w:r>
            <w:r w:rsidRPr="008A22C3">
              <w:rPr>
                <w:szCs w:val="23"/>
              </w:rPr>
              <w:t>TRIP</w:t>
            </w:r>
            <w:r>
              <w:rPr>
                <w:szCs w:val="23"/>
              </w:rPr>
              <w:t>) funds</w:t>
            </w:r>
            <w:r w:rsidRPr="008A22C3">
              <w:rPr>
                <w:szCs w:val="23"/>
              </w:rPr>
              <w:t>.</w:t>
            </w:r>
            <w:r>
              <w:t xml:space="preserve"> </w:t>
            </w:r>
          </w:p>
        </w:tc>
      </w:tr>
      <w:tr w:rsidR="00225952" w:rsidRPr="00380CF5" w:rsidTr="004B4918">
        <w:trPr>
          <w:trHeight w:val="6480"/>
        </w:trPr>
        <w:tc>
          <w:tcPr>
            <w:tcW w:w="10375" w:type="dxa"/>
            <w:gridSpan w:val="2"/>
          </w:tcPr>
          <w:tbl>
            <w:tblPr>
              <w:tblW w:w="10530" w:type="dxa"/>
              <w:tblBorders>
                <w:top w:val="single" w:sz="4" w:space="0" w:color="auto"/>
                <w:left w:val="single" w:sz="4" w:space="0" w:color="auto"/>
                <w:bottom w:val="single" w:sz="4" w:space="0" w:color="auto"/>
                <w:right w:val="single" w:sz="4" w:space="0" w:color="auto"/>
              </w:tblBorders>
              <w:tblLayout w:type="fixed"/>
              <w:tblLook w:val="0000"/>
            </w:tblPr>
            <w:tblGrid>
              <w:gridCol w:w="2070"/>
              <w:gridCol w:w="2025"/>
              <w:gridCol w:w="2025"/>
              <w:gridCol w:w="2025"/>
              <w:gridCol w:w="2385"/>
            </w:tblGrid>
            <w:tr w:rsidR="00225952" w:rsidRPr="00BB2668">
              <w:tc>
                <w:tcPr>
                  <w:tcW w:w="10530" w:type="dxa"/>
                  <w:gridSpan w:val="5"/>
                  <w:tcBorders>
                    <w:top w:val="single" w:sz="4" w:space="0" w:color="auto"/>
                    <w:left w:val="single" w:sz="4" w:space="0" w:color="auto"/>
                    <w:bottom w:val="single" w:sz="4" w:space="0" w:color="000000"/>
                    <w:right w:val="single" w:sz="4" w:space="0" w:color="auto"/>
                  </w:tcBorders>
                  <w:shd w:val="clear" w:color="auto" w:fill="FFFFFF"/>
                  <w:vAlign w:val="bottom"/>
                </w:tcPr>
                <w:p w:rsidR="00225952" w:rsidRPr="005862AE" w:rsidRDefault="00225952" w:rsidP="00784F8A">
                  <w:pPr>
                    <w:pStyle w:val="ExhibitNumber"/>
                    <w:spacing w:after="0" w:line="240" w:lineRule="auto"/>
                    <w:jc w:val="left"/>
                  </w:pPr>
                  <w:r w:rsidRPr="005862AE">
                    <w:lastRenderedPageBreak/>
                    <w:t xml:space="preserve">Exhibit </w:t>
                  </w:r>
                  <w:r>
                    <w:t>2</w:t>
                  </w:r>
                  <w:r w:rsidRPr="005862AE">
                    <w:t>1</w:t>
                  </w:r>
                  <w:r w:rsidRPr="005862AE">
                    <w:rPr>
                      <w:color w:val="auto"/>
                    </w:rPr>
                    <w:t xml:space="preserve">                           Statewide Minimum LOS Standards</w:t>
                  </w:r>
                </w:p>
              </w:tc>
            </w:tr>
            <w:tr w:rsidR="00225952" w:rsidRPr="00BB2668">
              <w:tc>
                <w:tcPr>
                  <w:tcW w:w="2070" w:type="dxa"/>
                  <w:tcBorders>
                    <w:top w:val="single" w:sz="4" w:space="0" w:color="000000"/>
                    <w:left w:val="single" w:sz="4" w:space="0" w:color="auto"/>
                    <w:bottom w:val="nil"/>
                    <w:right w:val="single" w:sz="4" w:space="0" w:color="4F81BD"/>
                  </w:tcBorders>
                  <w:shd w:val="clear" w:color="auto" w:fill="FFFFFF"/>
                  <w:vAlign w:val="bottom"/>
                </w:tcPr>
                <w:p w:rsidR="00225952" w:rsidRPr="005862AE" w:rsidRDefault="00225952" w:rsidP="00225952">
                  <w:pPr>
                    <w:pStyle w:val="TableCenter3"/>
                    <w:spacing w:line="240" w:lineRule="auto"/>
                    <w:rPr>
                      <w:color w:val="0F243E"/>
                      <w:sz w:val="18"/>
                    </w:rPr>
                  </w:pPr>
                </w:p>
              </w:tc>
              <w:tc>
                <w:tcPr>
                  <w:tcW w:w="4050" w:type="dxa"/>
                  <w:gridSpan w:val="2"/>
                  <w:tcBorders>
                    <w:top w:val="single" w:sz="4" w:space="0" w:color="000000"/>
                    <w:left w:val="single" w:sz="4" w:space="0" w:color="4F81BD"/>
                    <w:bottom w:val="single" w:sz="4" w:space="0" w:color="1F497D"/>
                    <w:right w:val="single" w:sz="4" w:space="0" w:color="1F497D"/>
                  </w:tcBorders>
                  <w:shd w:val="clear" w:color="auto" w:fill="DAEEF3"/>
                  <w:vAlign w:val="bottom"/>
                </w:tcPr>
                <w:p w:rsidR="00225952" w:rsidRPr="005862AE" w:rsidRDefault="00225952" w:rsidP="00225952">
                  <w:pPr>
                    <w:pStyle w:val="TableCenter3"/>
                    <w:spacing w:line="240" w:lineRule="auto"/>
                    <w:rPr>
                      <w:color w:val="0F243E"/>
                      <w:sz w:val="18"/>
                    </w:rPr>
                  </w:pPr>
                  <w:r w:rsidRPr="005862AE">
                    <w:rPr>
                      <w:color w:val="0F243E"/>
                      <w:sz w:val="18"/>
                    </w:rPr>
                    <w:t>SIS and FIHS facilities</w:t>
                  </w:r>
                </w:p>
              </w:tc>
              <w:tc>
                <w:tcPr>
                  <w:tcW w:w="4410" w:type="dxa"/>
                  <w:gridSpan w:val="2"/>
                  <w:tcBorders>
                    <w:top w:val="single" w:sz="4" w:space="0" w:color="000000"/>
                    <w:left w:val="single" w:sz="4" w:space="0" w:color="1F497D"/>
                    <w:bottom w:val="single" w:sz="4" w:space="0" w:color="1F497D"/>
                    <w:right w:val="single" w:sz="4" w:space="0" w:color="auto"/>
                  </w:tcBorders>
                  <w:shd w:val="clear" w:color="auto" w:fill="F2F2F2"/>
                  <w:vAlign w:val="bottom"/>
                </w:tcPr>
                <w:p w:rsidR="00225952" w:rsidRPr="005862AE" w:rsidRDefault="00225952" w:rsidP="00225952">
                  <w:pPr>
                    <w:pStyle w:val="TableCenter3"/>
                    <w:spacing w:line="240" w:lineRule="auto"/>
                    <w:rPr>
                      <w:color w:val="0F243E"/>
                      <w:sz w:val="18"/>
                    </w:rPr>
                  </w:pPr>
                  <w:r w:rsidRPr="005862AE">
                    <w:rPr>
                      <w:color w:val="0F243E"/>
                      <w:sz w:val="18"/>
                    </w:rPr>
                    <w:t>TRIP funded facilities and other State roads</w:t>
                  </w:r>
                </w:p>
              </w:tc>
            </w:tr>
            <w:tr w:rsidR="00225952" w:rsidRPr="00BB2668">
              <w:trPr>
                <w:trHeight w:val="558"/>
              </w:trPr>
              <w:tc>
                <w:tcPr>
                  <w:tcW w:w="2070" w:type="dxa"/>
                  <w:tcBorders>
                    <w:left w:val="single" w:sz="4" w:space="0" w:color="auto"/>
                    <w:bottom w:val="nil"/>
                    <w:right w:val="single" w:sz="4" w:space="0" w:color="4F81BD"/>
                  </w:tcBorders>
                </w:tcPr>
                <w:p w:rsidR="00225952" w:rsidRPr="005862AE" w:rsidRDefault="00225952" w:rsidP="00225952">
                  <w:pPr>
                    <w:pStyle w:val="TableCenter3"/>
                    <w:spacing w:line="240" w:lineRule="auto"/>
                    <w:rPr>
                      <w:color w:val="0F243E"/>
                      <w:sz w:val="18"/>
                    </w:rPr>
                  </w:pPr>
                </w:p>
              </w:tc>
              <w:tc>
                <w:tcPr>
                  <w:tcW w:w="2025" w:type="dxa"/>
                  <w:tcBorders>
                    <w:top w:val="single" w:sz="4" w:space="0" w:color="1F497D"/>
                    <w:left w:val="single" w:sz="4" w:space="0" w:color="4F81BD"/>
                    <w:bottom w:val="single" w:sz="4" w:space="0" w:color="4F81BD"/>
                    <w:right w:val="single" w:sz="4" w:space="0" w:color="4F81BD"/>
                  </w:tcBorders>
                  <w:shd w:val="clear" w:color="auto" w:fill="DAEEF3"/>
                  <w:vAlign w:val="bottom"/>
                </w:tcPr>
                <w:p w:rsidR="00225952" w:rsidRPr="005862AE" w:rsidRDefault="00225952" w:rsidP="00225952">
                  <w:pPr>
                    <w:pStyle w:val="TableCenter3"/>
                    <w:spacing w:line="240" w:lineRule="auto"/>
                    <w:rPr>
                      <w:color w:val="0F243E"/>
                      <w:sz w:val="18"/>
                    </w:rPr>
                  </w:pPr>
                  <w:r w:rsidRPr="005862AE">
                    <w:rPr>
                      <w:color w:val="0F243E"/>
                      <w:sz w:val="18"/>
                    </w:rPr>
                    <w:t>Limited Access Highway (Freeway)</w:t>
                  </w:r>
                  <w:r w:rsidRPr="005862AE">
                    <w:rPr>
                      <w:color w:val="0F243E"/>
                      <w:sz w:val="18"/>
                      <w:vertAlign w:val="superscript"/>
                    </w:rPr>
                    <w:t>4</w:t>
                  </w:r>
                </w:p>
              </w:tc>
              <w:tc>
                <w:tcPr>
                  <w:tcW w:w="2025" w:type="dxa"/>
                  <w:tcBorders>
                    <w:top w:val="single" w:sz="4" w:space="0" w:color="1F497D"/>
                    <w:left w:val="single" w:sz="4" w:space="0" w:color="4F81BD"/>
                    <w:bottom w:val="single" w:sz="4" w:space="0" w:color="4F81BD"/>
                    <w:right w:val="single" w:sz="4" w:space="0" w:color="4F81BD"/>
                  </w:tcBorders>
                  <w:shd w:val="clear" w:color="auto" w:fill="DAEEF3"/>
                  <w:vAlign w:val="bottom"/>
                </w:tcPr>
                <w:p w:rsidR="00225952" w:rsidRPr="005862AE" w:rsidRDefault="00225952" w:rsidP="00225952">
                  <w:pPr>
                    <w:pStyle w:val="TableCenter3"/>
                    <w:spacing w:line="240" w:lineRule="auto"/>
                    <w:rPr>
                      <w:color w:val="0F243E"/>
                      <w:sz w:val="18"/>
                    </w:rPr>
                  </w:pPr>
                  <w:r w:rsidRPr="005862AE">
                    <w:rPr>
                      <w:color w:val="0F243E"/>
                      <w:sz w:val="18"/>
                    </w:rPr>
                    <w:t>Controlled Access Highway</w:t>
                  </w:r>
                  <w:r w:rsidRPr="005862AE">
                    <w:rPr>
                      <w:color w:val="0F243E"/>
                      <w:sz w:val="18"/>
                      <w:vertAlign w:val="superscript"/>
                    </w:rPr>
                    <w:t>4</w:t>
                  </w:r>
                </w:p>
              </w:tc>
              <w:tc>
                <w:tcPr>
                  <w:tcW w:w="2025" w:type="dxa"/>
                  <w:tcBorders>
                    <w:top w:val="single" w:sz="4" w:space="0" w:color="1F497D"/>
                    <w:left w:val="single" w:sz="4" w:space="0" w:color="4F81BD"/>
                    <w:bottom w:val="single" w:sz="4" w:space="0" w:color="4F81BD"/>
                    <w:right w:val="single" w:sz="4" w:space="0" w:color="4F81BD"/>
                  </w:tcBorders>
                  <w:shd w:val="clear" w:color="auto" w:fill="F2F2F2"/>
                  <w:vAlign w:val="bottom"/>
                </w:tcPr>
                <w:p w:rsidR="00225952" w:rsidRPr="005862AE" w:rsidRDefault="00225952" w:rsidP="00225952">
                  <w:pPr>
                    <w:pStyle w:val="TableCenter3"/>
                    <w:spacing w:line="240" w:lineRule="auto"/>
                    <w:rPr>
                      <w:color w:val="0F243E"/>
                      <w:sz w:val="18"/>
                    </w:rPr>
                  </w:pPr>
                  <w:r w:rsidRPr="005862AE">
                    <w:rPr>
                      <w:color w:val="0F243E"/>
                      <w:sz w:val="18"/>
                    </w:rPr>
                    <w:t>Other Multilane</w:t>
                  </w:r>
                  <w:r w:rsidRPr="005862AE">
                    <w:rPr>
                      <w:color w:val="0F243E"/>
                      <w:sz w:val="18"/>
                      <w:vertAlign w:val="superscript"/>
                    </w:rPr>
                    <w:t>4</w:t>
                  </w:r>
                </w:p>
              </w:tc>
              <w:tc>
                <w:tcPr>
                  <w:tcW w:w="2385" w:type="dxa"/>
                  <w:tcBorders>
                    <w:top w:val="single" w:sz="4" w:space="0" w:color="1F497D"/>
                    <w:left w:val="single" w:sz="4" w:space="0" w:color="4F81BD"/>
                    <w:bottom w:val="single" w:sz="4" w:space="0" w:color="4F81BD"/>
                    <w:right w:val="single" w:sz="4" w:space="0" w:color="auto"/>
                  </w:tcBorders>
                  <w:shd w:val="clear" w:color="auto" w:fill="F2F2F2"/>
                  <w:vAlign w:val="bottom"/>
                </w:tcPr>
                <w:p w:rsidR="00225952" w:rsidRPr="005862AE" w:rsidRDefault="00225952" w:rsidP="00225952">
                  <w:pPr>
                    <w:pStyle w:val="TableCenter3"/>
                    <w:spacing w:line="240" w:lineRule="auto"/>
                    <w:rPr>
                      <w:color w:val="0F243E"/>
                      <w:sz w:val="18"/>
                    </w:rPr>
                  </w:pPr>
                  <w:r w:rsidRPr="005862AE">
                    <w:rPr>
                      <w:color w:val="0F243E"/>
                      <w:sz w:val="18"/>
                    </w:rPr>
                    <w:t>Two-Lane</w:t>
                  </w:r>
                  <w:r w:rsidRPr="005862AE">
                    <w:rPr>
                      <w:color w:val="0F243E"/>
                      <w:sz w:val="18"/>
                      <w:vertAlign w:val="superscript"/>
                    </w:rPr>
                    <w:t>4</w:t>
                  </w:r>
                </w:p>
              </w:tc>
            </w:tr>
            <w:tr w:rsidR="00225952" w:rsidRPr="00BB2668" w:rsidTr="004B4918">
              <w:trPr>
                <w:trHeight w:val="403"/>
              </w:trPr>
              <w:tc>
                <w:tcPr>
                  <w:tcW w:w="2070" w:type="dxa"/>
                  <w:tcBorders>
                    <w:left w:val="single" w:sz="4" w:space="0" w:color="auto"/>
                    <w:bottom w:val="nil"/>
                    <w:right w:val="single" w:sz="4" w:space="0" w:color="4F81BD"/>
                  </w:tcBorders>
                  <w:shd w:val="clear" w:color="auto" w:fill="DBE5F1" w:themeFill="accent1" w:themeFillTint="33"/>
                </w:tcPr>
                <w:p w:rsidR="00225952" w:rsidRPr="005862AE" w:rsidRDefault="00225952" w:rsidP="00225952">
                  <w:pPr>
                    <w:pStyle w:val="TableCenter3"/>
                    <w:spacing w:line="240" w:lineRule="auto"/>
                    <w:rPr>
                      <w:color w:val="0F243E"/>
                      <w:sz w:val="18"/>
                    </w:rPr>
                  </w:pPr>
                  <w:r w:rsidRPr="005862AE">
                    <w:rPr>
                      <w:color w:val="0F243E"/>
                      <w:sz w:val="18"/>
                    </w:rPr>
                    <w:t>Rural Areas</w:t>
                  </w:r>
                </w:p>
              </w:tc>
              <w:tc>
                <w:tcPr>
                  <w:tcW w:w="2025" w:type="dxa"/>
                  <w:tcBorders>
                    <w:top w:val="single" w:sz="4" w:space="0" w:color="4F81BD"/>
                    <w:left w:val="single" w:sz="4" w:space="0" w:color="4F81BD"/>
                    <w:bottom w:val="single" w:sz="4" w:space="0" w:color="4F81BD"/>
                    <w:right w:val="single" w:sz="4" w:space="0" w:color="4F81BD"/>
                  </w:tcBorders>
                  <w:shd w:val="clear" w:color="auto" w:fill="E8F5F8"/>
                </w:tcPr>
                <w:p w:rsidR="00225952" w:rsidRPr="005862AE" w:rsidRDefault="00225952" w:rsidP="00225952">
                  <w:pPr>
                    <w:pStyle w:val="TableCenter3"/>
                    <w:spacing w:line="240" w:lineRule="auto"/>
                    <w:rPr>
                      <w:color w:val="0F243E"/>
                      <w:szCs w:val="28"/>
                    </w:rPr>
                  </w:pPr>
                  <w:r w:rsidRPr="005862AE">
                    <w:rPr>
                      <w:color w:val="0F243E"/>
                      <w:szCs w:val="28"/>
                    </w:rPr>
                    <w:t>B</w:t>
                  </w:r>
                </w:p>
              </w:tc>
              <w:tc>
                <w:tcPr>
                  <w:tcW w:w="2025" w:type="dxa"/>
                  <w:tcBorders>
                    <w:top w:val="single" w:sz="4" w:space="0" w:color="4F81BD"/>
                    <w:left w:val="single" w:sz="4" w:space="0" w:color="4F81BD"/>
                    <w:bottom w:val="single" w:sz="4" w:space="0" w:color="4F81BD"/>
                    <w:right w:val="single" w:sz="4" w:space="0" w:color="4F81BD"/>
                  </w:tcBorders>
                  <w:shd w:val="clear" w:color="auto" w:fill="E8F5F8"/>
                </w:tcPr>
                <w:p w:rsidR="00225952" w:rsidRPr="005862AE" w:rsidRDefault="00225952" w:rsidP="00225952">
                  <w:pPr>
                    <w:pStyle w:val="TableCenter3"/>
                    <w:spacing w:line="240" w:lineRule="auto"/>
                    <w:rPr>
                      <w:color w:val="0F243E"/>
                      <w:szCs w:val="28"/>
                    </w:rPr>
                  </w:pPr>
                  <w:r w:rsidRPr="005862AE">
                    <w:rPr>
                      <w:color w:val="0F243E"/>
                      <w:szCs w:val="28"/>
                    </w:rPr>
                    <w:t>B</w:t>
                  </w:r>
                  <w:r w:rsidRPr="005862AE">
                    <w:rPr>
                      <w:color w:val="0F243E"/>
                      <w:szCs w:val="28"/>
                      <w:vertAlign w:val="superscript"/>
                    </w:rPr>
                    <w:t>1</w:t>
                  </w:r>
                </w:p>
              </w:tc>
              <w:tc>
                <w:tcPr>
                  <w:tcW w:w="2025" w:type="dxa"/>
                  <w:tcBorders>
                    <w:top w:val="single" w:sz="4" w:space="0" w:color="4F81BD"/>
                    <w:left w:val="single" w:sz="4" w:space="0" w:color="4F81BD"/>
                    <w:bottom w:val="single" w:sz="4" w:space="0" w:color="4F81BD"/>
                    <w:right w:val="single" w:sz="4" w:space="0" w:color="4F81BD"/>
                  </w:tcBorders>
                  <w:shd w:val="clear" w:color="auto" w:fill="C6D9F1"/>
                </w:tcPr>
                <w:p w:rsidR="00225952" w:rsidRPr="005862AE" w:rsidRDefault="00225952" w:rsidP="00225952">
                  <w:pPr>
                    <w:pStyle w:val="TableCenter3"/>
                    <w:spacing w:line="240" w:lineRule="auto"/>
                    <w:rPr>
                      <w:color w:val="0F243E"/>
                      <w:szCs w:val="28"/>
                    </w:rPr>
                  </w:pPr>
                  <w:r w:rsidRPr="005862AE">
                    <w:rPr>
                      <w:color w:val="0F243E"/>
                      <w:szCs w:val="28"/>
                    </w:rPr>
                    <w:t>B</w:t>
                  </w:r>
                </w:p>
              </w:tc>
              <w:tc>
                <w:tcPr>
                  <w:tcW w:w="2385" w:type="dxa"/>
                  <w:tcBorders>
                    <w:top w:val="single" w:sz="4" w:space="0" w:color="4F81BD"/>
                    <w:left w:val="single" w:sz="4" w:space="0" w:color="4F81BD"/>
                    <w:bottom w:val="single" w:sz="4" w:space="0" w:color="4F81BD"/>
                    <w:right w:val="single" w:sz="4" w:space="0" w:color="auto"/>
                  </w:tcBorders>
                  <w:shd w:val="clear" w:color="auto" w:fill="C6D9F1"/>
                </w:tcPr>
                <w:p w:rsidR="00225952" w:rsidRPr="005862AE" w:rsidRDefault="00225952" w:rsidP="00225952">
                  <w:pPr>
                    <w:pStyle w:val="TableCenter3"/>
                    <w:spacing w:line="240" w:lineRule="auto"/>
                    <w:rPr>
                      <w:color w:val="0F243E"/>
                      <w:szCs w:val="28"/>
                    </w:rPr>
                  </w:pPr>
                  <w:r w:rsidRPr="005862AE">
                    <w:rPr>
                      <w:color w:val="0F243E"/>
                      <w:szCs w:val="28"/>
                    </w:rPr>
                    <w:t>C</w:t>
                  </w:r>
                </w:p>
              </w:tc>
            </w:tr>
            <w:tr w:rsidR="00225952" w:rsidRPr="00BB2668" w:rsidTr="004B4918">
              <w:trPr>
                <w:trHeight w:val="403"/>
              </w:trPr>
              <w:tc>
                <w:tcPr>
                  <w:tcW w:w="2070" w:type="dxa"/>
                  <w:tcBorders>
                    <w:left w:val="single" w:sz="4" w:space="0" w:color="auto"/>
                    <w:bottom w:val="nil"/>
                    <w:right w:val="single" w:sz="4" w:space="0" w:color="4F81BD"/>
                  </w:tcBorders>
                  <w:shd w:val="clear" w:color="auto" w:fill="FFFFFF"/>
                </w:tcPr>
                <w:p w:rsidR="00225952" w:rsidRDefault="00225952">
                  <w:pPr>
                    <w:pStyle w:val="TableCenter3"/>
                    <w:spacing w:line="240" w:lineRule="auto"/>
                    <w:jc w:val="left"/>
                    <w:rPr>
                      <w:color w:val="0F243E"/>
                      <w:sz w:val="18"/>
                    </w:rPr>
                  </w:pPr>
                  <w:r w:rsidRPr="005862AE">
                    <w:rPr>
                      <w:color w:val="0F243E"/>
                      <w:sz w:val="18"/>
                    </w:rPr>
                    <w:t>Transitioning Urbanized Areas, Urban Areas, or Communities</w:t>
                  </w:r>
                </w:p>
              </w:tc>
              <w:tc>
                <w:tcPr>
                  <w:tcW w:w="2025" w:type="dxa"/>
                  <w:tcBorders>
                    <w:top w:val="single" w:sz="4" w:space="0" w:color="4F81BD"/>
                    <w:left w:val="single" w:sz="4" w:space="0" w:color="4F81BD"/>
                    <w:bottom w:val="single" w:sz="4" w:space="0" w:color="4F81BD"/>
                    <w:right w:val="single" w:sz="4" w:space="0" w:color="4F81BD"/>
                  </w:tcBorders>
                  <w:shd w:val="clear" w:color="auto" w:fill="DAEEF3"/>
                  <w:vAlign w:val="center"/>
                </w:tcPr>
                <w:p w:rsidR="00225952" w:rsidRPr="005862AE" w:rsidRDefault="00225952" w:rsidP="00225952">
                  <w:pPr>
                    <w:pStyle w:val="TableCenter3"/>
                    <w:spacing w:line="240" w:lineRule="auto"/>
                    <w:rPr>
                      <w:color w:val="0F243E"/>
                      <w:szCs w:val="28"/>
                    </w:rPr>
                  </w:pPr>
                  <w:r w:rsidRPr="005862AE">
                    <w:rPr>
                      <w:color w:val="0F243E"/>
                      <w:szCs w:val="28"/>
                    </w:rPr>
                    <w:t>C</w:t>
                  </w:r>
                </w:p>
              </w:tc>
              <w:tc>
                <w:tcPr>
                  <w:tcW w:w="2025" w:type="dxa"/>
                  <w:tcBorders>
                    <w:top w:val="single" w:sz="4" w:space="0" w:color="4F81BD"/>
                    <w:left w:val="single" w:sz="4" w:space="0" w:color="4F81BD"/>
                    <w:bottom w:val="single" w:sz="4" w:space="0" w:color="4F81BD"/>
                    <w:right w:val="single" w:sz="4" w:space="0" w:color="4F81BD"/>
                  </w:tcBorders>
                  <w:shd w:val="clear" w:color="auto" w:fill="DAEEF3"/>
                  <w:vAlign w:val="center"/>
                </w:tcPr>
                <w:p w:rsidR="00225952" w:rsidRPr="005862AE" w:rsidRDefault="00225952" w:rsidP="00225952">
                  <w:pPr>
                    <w:pStyle w:val="TableCenter3"/>
                    <w:spacing w:line="240" w:lineRule="auto"/>
                    <w:rPr>
                      <w:color w:val="0F243E"/>
                      <w:szCs w:val="28"/>
                    </w:rPr>
                  </w:pPr>
                  <w:r w:rsidRPr="005862AE">
                    <w:rPr>
                      <w:color w:val="0F243E"/>
                      <w:szCs w:val="28"/>
                    </w:rPr>
                    <w:t>C</w:t>
                  </w:r>
                </w:p>
              </w:tc>
              <w:tc>
                <w:tcPr>
                  <w:tcW w:w="2025" w:type="dxa"/>
                  <w:tcBorders>
                    <w:top w:val="single" w:sz="4" w:space="0" w:color="4F81BD"/>
                    <w:left w:val="single" w:sz="4" w:space="0" w:color="4F81BD"/>
                    <w:bottom w:val="single" w:sz="4" w:space="0" w:color="4F81BD"/>
                    <w:right w:val="single" w:sz="4" w:space="0" w:color="4F81BD"/>
                  </w:tcBorders>
                  <w:shd w:val="clear" w:color="auto" w:fill="F2F2F2"/>
                  <w:vAlign w:val="center"/>
                </w:tcPr>
                <w:p w:rsidR="00225952" w:rsidRPr="005862AE" w:rsidRDefault="00225952" w:rsidP="00225952">
                  <w:pPr>
                    <w:pStyle w:val="TableCenter3"/>
                    <w:spacing w:line="240" w:lineRule="auto"/>
                    <w:rPr>
                      <w:color w:val="0F243E"/>
                      <w:szCs w:val="28"/>
                    </w:rPr>
                  </w:pPr>
                  <w:r w:rsidRPr="005862AE">
                    <w:rPr>
                      <w:color w:val="0F243E"/>
                      <w:szCs w:val="28"/>
                    </w:rPr>
                    <w:t>C</w:t>
                  </w:r>
                </w:p>
              </w:tc>
              <w:tc>
                <w:tcPr>
                  <w:tcW w:w="2385" w:type="dxa"/>
                  <w:tcBorders>
                    <w:top w:val="single" w:sz="4" w:space="0" w:color="4F81BD"/>
                    <w:left w:val="single" w:sz="4" w:space="0" w:color="4F81BD"/>
                    <w:bottom w:val="single" w:sz="4" w:space="0" w:color="4F81BD"/>
                    <w:right w:val="single" w:sz="4" w:space="0" w:color="auto"/>
                  </w:tcBorders>
                  <w:shd w:val="clear" w:color="auto" w:fill="F2F2F2"/>
                  <w:vAlign w:val="center"/>
                </w:tcPr>
                <w:p w:rsidR="00225952" w:rsidRPr="005862AE" w:rsidRDefault="00225952" w:rsidP="00225952">
                  <w:pPr>
                    <w:pStyle w:val="TableCenter3"/>
                    <w:spacing w:line="240" w:lineRule="auto"/>
                    <w:rPr>
                      <w:color w:val="0F243E"/>
                      <w:szCs w:val="28"/>
                    </w:rPr>
                  </w:pPr>
                  <w:r w:rsidRPr="005862AE">
                    <w:rPr>
                      <w:color w:val="0F243E"/>
                      <w:szCs w:val="28"/>
                    </w:rPr>
                    <w:t>C</w:t>
                  </w:r>
                </w:p>
              </w:tc>
            </w:tr>
            <w:tr w:rsidR="00225952" w:rsidRPr="00BB2668" w:rsidTr="004B4918">
              <w:trPr>
                <w:trHeight w:val="403"/>
              </w:trPr>
              <w:tc>
                <w:tcPr>
                  <w:tcW w:w="2070" w:type="dxa"/>
                  <w:tcBorders>
                    <w:left w:val="single" w:sz="4" w:space="0" w:color="auto"/>
                    <w:bottom w:val="nil"/>
                    <w:right w:val="single" w:sz="4" w:space="0" w:color="4F81BD"/>
                  </w:tcBorders>
                  <w:shd w:val="clear" w:color="auto" w:fill="DBE5F1" w:themeFill="accent1" w:themeFillTint="33"/>
                </w:tcPr>
                <w:p w:rsidR="00225952" w:rsidRDefault="00225952">
                  <w:pPr>
                    <w:pStyle w:val="TableCenter3"/>
                    <w:spacing w:line="240" w:lineRule="auto"/>
                    <w:rPr>
                      <w:color w:val="0F243E"/>
                      <w:sz w:val="18"/>
                    </w:rPr>
                  </w:pPr>
                  <w:r w:rsidRPr="005862AE">
                    <w:rPr>
                      <w:color w:val="0F243E"/>
                      <w:sz w:val="18"/>
                    </w:rPr>
                    <w:t>Urbanized Areas under 500,000</w:t>
                  </w:r>
                </w:p>
              </w:tc>
              <w:tc>
                <w:tcPr>
                  <w:tcW w:w="2025" w:type="dxa"/>
                  <w:tcBorders>
                    <w:top w:val="single" w:sz="4" w:space="0" w:color="4F81BD"/>
                    <w:left w:val="single" w:sz="4" w:space="0" w:color="4F81BD"/>
                    <w:bottom w:val="single" w:sz="4" w:space="0" w:color="4F81BD"/>
                    <w:right w:val="single" w:sz="4" w:space="0" w:color="4F81BD"/>
                  </w:tcBorders>
                  <w:shd w:val="clear" w:color="auto" w:fill="E8F5F8"/>
                  <w:vAlign w:val="center"/>
                </w:tcPr>
                <w:p w:rsidR="00225952" w:rsidRPr="005862AE" w:rsidRDefault="00225952" w:rsidP="00225952">
                  <w:pPr>
                    <w:pStyle w:val="TableCenter3"/>
                    <w:spacing w:line="240" w:lineRule="auto"/>
                    <w:rPr>
                      <w:color w:val="0F243E"/>
                      <w:szCs w:val="28"/>
                    </w:rPr>
                  </w:pPr>
                  <w:r w:rsidRPr="005862AE">
                    <w:rPr>
                      <w:color w:val="0F243E"/>
                      <w:szCs w:val="28"/>
                    </w:rPr>
                    <w:t>C(D)</w:t>
                  </w:r>
                </w:p>
              </w:tc>
              <w:tc>
                <w:tcPr>
                  <w:tcW w:w="2025" w:type="dxa"/>
                  <w:tcBorders>
                    <w:top w:val="single" w:sz="4" w:space="0" w:color="4F81BD"/>
                    <w:left w:val="single" w:sz="4" w:space="0" w:color="4F81BD"/>
                    <w:bottom w:val="single" w:sz="4" w:space="0" w:color="4F81BD"/>
                    <w:right w:val="single" w:sz="4" w:space="0" w:color="4F81BD"/>
                  </w:tcBorders>
                  <w:shd w:val="clear" w:color="auto" w:fill="E8F5F8"/>
                  <w:vAlign w:val="center"/>
                </w:tcPr>
                <w:p w:rsidR="00225952" w:rsidRPr="005862AE" w:rsidRDefault="00225952" w:rsidP="00225952">
                  <w:pPr>
                    <w:pStyle w:val="TableCenter3"/>
                    <w:spacing w:line="240" w:lineRule="auto"/>
                    <w:rPr>
                      <w:color w:val="0F243E"/>
                      <w:szCs w:val="28"/>
                    </w:rPr>
                  </w:pPr>
                  <w:r w:rsidRPr="005862AE">
                    <w:rPr>
                      <w:color w:val="0F243E"/>
                      <w:szCs w:val="28"/>
                    </w:rPr>
                    <w:t>C</w:t>
                  </w:r>
                </w:p>
              </w:tc>
              <w:tc>
                <w:tcPr>
                  <w:tcW w:w="2025" w:type="dxa"/>
                  <w:tcBorders>
                    <w:top w:val="single" w:sz="4" w:space="0" w:color="4F81BD"/>
                    <w:left w:val="single" w:sz="4" w:space="0" w:color="4F81BD"/>
                    <w:bottom w:val="single" w:sz="4" w:space="0" w:color="4F81BD"/>
                    <w:right w:val="single" w:sz="4" w:space="0" w:color="4F81BD"/>
                  </w:tcBorders>
                  <w:shd w:val="clear" w:color="auto" w:fill="C6D9F1"/>
                  <w:vAlign w:val="center"/>
                </w:tcPr>
                <w:p w:rsidR="00225952" w:rsidRPr="005862AE" w:rsidRDefault="00225952" w:rsidP="00225952">
                  <w:pPr>
                    <w:pStyle w:val="TableCenter3"/>
                    <w:spacing w:line="240" w:lineRule="auto"/>
                    <w:rPr>
                      <w:color w:val="0F243E"/>
                      <w:szCs w:val="28"/>
                    </w:rPr>
                  </w:pPr>
                  <w:r w:rsidRPr="005862AE">
                    <w:rPr>
                      <w:color w:val="0F243E"/>
                      <w:szCs w:val="28"/>
                    </w:rPr>
                    <w:t>D</w:t>
                  </w:r>
                </w:p>
              </w:tc>
              <w:tc>
                <w:tcPr>
                  <w:tcW w:w="2385" w:type="dxa"/>
                  <w:tcBorders>
                    <w:top w:val="single" w:sz="4" w:space="0" w:color="4F81BD"/>
                    <w:left w:val="single" w:sz="4" w:space="0" w:color="4F81BD"/>
                    <w:bottom w:val="single" w:sz="4" w:space="0" w:color="4F81BD"/>
                    <w:right w:val="single" w:sz="4" w:space="0" w:color="auto"/>
                  </w:tcBorders>
                  <w:shd w:val="clear" w:color="auto" w:fill="C6D9F1"/>
                  <w:vAlign w:val="center"/>
                </w:tcPr>
                <w:p w:rsidR="00225952" w:rsidRPr="005862AE" w:rsidRDefault="00225952" w:rsidP="00225952">
                  <w:pPr>
                    <w:pStyle w:val="TableCenter3"/>
                    <w:spacing w:line="240" w:lineRule="auto"/>
                    <w:rPr>
                      <w:color w:val="0F243E"/>
                      <w:szCs w:val="28"/>
                    </w:rPr>
                  </w:pPr>
                  <w:r w:rsidRPr="005862AE">
                    <w:rPr>
                      <w:color w:val="0F243E"/>
                      <w:szCs w:val="28"/>
                    </w:rPr>
                    <w:t>D</w:t>
                  </w:r>
                </w:p>
              </w:tc>
            </w:tr>
            <w:tr w:rsidR="00225952" w:rsidRPr="00BB2668" w:rsidTr="004B4918">
              <w:trPr>
                <w:trHeight w:val="403"/>
              </w:trPr>
              <w:tc>
                <w:tcPr>
                  <w:tcW w:w="2070" w:type="dxa"/>
                  <w:tcBorders>
                    <w:left w:val="single" w:sz="4" w:space="0" w:color="auto"/>
                    <w:bottom w:val="nil"/>
                    <w:right w:val="single" w:sz="4" w:space="0" w:color="4F81BD"/>
                  </w:tcBorders>
                  <w:shd w:val="clear" w:color="auto" w:fill="FFFFFF"/>
                </w:tcPr>
                <w:p w:rsidR="00225952" w:rsidRPr="005862AE" w:rsidRDefault="00225952" w:rsidP="00225952">
                  <w:pPr>
                    <w:pStyle w:val="TableCenter3"/>
                    <w:spacing w:line="240" w:lineRule="auto"/>
                    <w:rPr>
                      <w:color w:val="0F243E"/>
                      <w:sz w:val="18"/>
                    </w:rPr>
                  </w:pPr>
                  <w:r w:rsidRPr="005862AE">
                    <w:rPr>
                      <w:color w:val="0F243E"/>
                      <w:sz w:val="18"/>
                    </w:rPr>
                    <w:t>Urbanized Areas over 500,000</w:t>
                  </w:r>
                </w:p>
              </w:tc>
              <w:tc>
                <w:tcPr>
                  <w:tcW w:w="2025" w:type="dxa"/>
                  <w:tcBorders>
                    <w:top w:val="single" w:sz="4" w:space="0" w:color="4F81BD"/>
                    <w:left w:val="single" w:sz="4" w:space="0" w:color="4F81BD"/>
                    <w:bottom w:val="single" w:sz="4" w:space="0" w:color="4F81BD"/>
                    <w:right w:val="single" w:sz="4" w:space="0" w:color="4F81BD"/>
                  </w:tcBorders>
                  <w:shd w:val="clear" w:color="auto" w:fill="DAEEF3"/>
                  <w:vAlign w:val="center"/>
                </w:tcPr>
                <w:p w:rsidR="00225952" w:rsidRPr="005862AE" w:rsidRDefault="00225952" w:rsidP="00225952">
                  <w:pPr>
                    <w:pStyle w:val="TableCenter3"/>
                    <w:spacing w:line="240" w:lineRule="auto"/>
                    <w:rPr>
                      <w:color w:val="0F243E"/>
                      <w:szCs w:val="28"/>
                    </w:rPr>
                  </w:pPr>
                  <w:r w:rsidRPr="005862AE">
                    <w:rPr>
                      <w:color w:val="0F243E"/>
                      <w:szCs w:val="28"/>
                    </w:rPr>
                    <w:t>D(E)</w:t>
                  </w:r>
                </w:p>
              </w:tc>
              <w:tc>
                <w:tcPr>
                  <w:tcW w:w="2025" w:type="dxa"/>
                  <w:tcBorders>
                    <w:top w:val="single" w:sz="4" w:space="0" w:color="4F81BD"/>
                    <w:left w:val="single" w:sz="4" w:space="0" w:color="4F81BD"/>
                    <w:bottom w:val="single" w:sz="4" w:space="0" w:color="4F81BD"/>
                    <w:right w:val="single" w:sz="4" w:space="0" w:color="4F81BD"/>
                  </w:tcBorders>
                  <w:shd w:val="clear" w:color="auto" w:fill="DAEEF3"/>
                  <w:vAlign w:val="center"/>
                </w:tcPr>
                <w:p w:rsidR="00225952" w:rsidRPr="005862AE" w:rsidRDefault="00225952" w:rsidP="00225952">
                  <w:pPr>
                    <w:pStyle w:val="TableCenter3"/>
                    <w:spacing w:line="240" w:lineRule="auto"/>
                    <w:rPr>
                      <w:color w:val="0F243E"/>
                      <w:szCs w:val="28"/>
                    </w:rPr>
                  </w:pPr>
                  <w:r w:rsidRPr="005862AE">
                    <w:rPr>
                      <w:color w:val="0F243E"/>
                      <w:szCs w:val="28"/>
                    </w:rPr>
                    <w:t>D</w:t>
                  </w:r>
                </w:p>
              </w:tc>
              <w:tc>
                <w:tcPr>
                  <w:tcW w:w="2025" w:type="dxa"/>
                  <w:tcBorders>
                    <w:top w:val="single" w:sz="4" w:space="0" w:color="4F81BD"/>
                    <w:left w:val="single" w:sz="4" w:space="0" w:color="4F81BD"/>
                    <w:bottom w:val="single" w:sz="4" w:space="0" w:color="4F81BD"/>
                    <w:right w:val="single" w:sz="4" w:space="0" w:color="4F81BD"/>
                  </w:tcBorders>
                  <w:shd w:val="clear" w:color="auto" w:fill="F2F2F2"/>
                  <w:vAlign w:val="center"/>
                </w:tcPr>
                <w:p w:rsidR="00225952" w:rsidRPr="005862AE" w:rsidRDefault="00225952" w:rsidP="00225952">
                  <w:pPr>
                    <w:pStyle w:val="TableCenter3"/>
                    <w:spacing w:line="240" w:lineRule="auto"/>
                    <w:rPr>
                      <w:color w:val="0F243E"/>
                      <w:szCs w:val="28"/>
                    </w:rPr>
                  </w:pPr>
                  <w:r w:rsidRPr="005862AE">
                    <w:rPr>
                      <w:color w:val="0F243E"/>
                      <w:szCs w:val="28"/>
                    </w:rPr>
                    <w:t>D</w:t>
                  </w:r>
                </w:p>
              </w:tc>
              <w:tc>
                <w:tcPr>
                  <w:tcW w:w="2385" w:type="dxa"/>
                  <w:tcBorders>
                    <w:top w:val="single" w:sz="4" w:space="0" w:color="4F81BD"/>
                    <w:left w:val="single" w:sz="4" w:space="0" w:color="4F81BD"/>
                    <w:bottom w:val="single" w:sz="4" w:space="0" w:color="4F81BD"/>
                    <w:right w:val="single" w:sz="4" w:space="0" w:color="auto"/>
                  </w:tcBorders>
                  <w:shd w:val="clear" w:color="auto" w:fill="F2F2F2"/>
                  <w:vAlign w:val="center"/>
                </w:tcPr>
                <w:p w:rsidR="00225952" w:rsidRPr="005862AE" w:rsidRDefault="00225952" w:rsidP="00225952">
                  <w:pPr>
                    <w:pStyle w:val="TableCenter3"/>
                    <w:spacing w:line="240" w:lineRule="auto"/>
                    <w:rPr>
                      <w:color w:val="0F243E"/>
                      <w:szCs w:val="28"/>
                    </w:rPr>
                  </w:pPr>
                  <w:r w:rsidRPr="005862AE">
                    <w:rPr>
                      <w:color w:val="0F243E"/>
                      <w:szCs w:val="28"/>
                    </w:rPr>
                    <w:t>D</w:t>
                  </w:r>
                </w:p>
              </w:tc>
            </w:tr>
            <w:tr w:rsidR="00225952" w:rsidRPr="00BB2668" w:rsidTr="004B4918">
              <w:trPr>
                <w:trHeight w:val="403"/>
              </w:trPr>
              <w:tc>
                <w:tcPr>
                  <w:tcW w:w="2070" w:type="dxa"/>
                  <w:tcBorders>
                    <w:left w:val="single" w:sz="4" w:space="0" w:color="auto"/>
                    <w:bottom w:val="nil"/>
                    <w:right w:val="single" w:sz="4" w:space="0" w:color="4F81BD"/>
                  </w:tcBorders>
                  <w:shd w:val="clear" w:color="auto" w:fill="DBE5F1" w:themeFill="accent1" w:themeFillTint="33"/>
                </w:tcPr>
                <w:p w:rsidR="00225952" w:rsidRPr="005862AE" w:rsidRDefault="00225952" w:rsidP="00225952">
                  <w:pPr>
                    <w:pStyle w:val="TableCenter3"/>
                    <w:spacing w:line="240" w:lineRule="auto"/>
                    <w:rPr>
                      <w:color w:val="0F243E"/>
                      <w:sz w:val="18"/>
                    </w:rPr>
                  </w:pPr>
                  <w:r w:rsidRPr="005862AE">
                    <w:rPr>
                      <w:color w:val="0F243E"/>
                      <w:sz w:val="18"/>
                    </w:rPr>
                    <w:t>Roadways parallel to exclusive transit facilities</w:t>
                  </w:r>
                </w:p>
              </w:tc>
              <w:tc>
                <w:tcPr>
                  <w:tcW w:w="2025" w:type="dxa"/>
                  <w:tcBorders>
                    <w:top w:val="single" w:sz="4" w:space="0" w:color="4F81BD"/>
                    <w:left w:val="single" w:sz="4" w:space="0" w:color="4F81BD"/>
                    <w:bottom w:val="single" w:sz="4" w:space="0" w:color="4F81BD"/>
                    <w:right w:val="single" w:sz="4" w:space="0" w:color="4F81BD"/>
                  </w:tcBorders>
                  <w:shd w:val="clear" w:color="auto" w:fill="E8F5F8"/>
                  <w:vAlign w:val="center"/>
                </w:tcPr>
                <w:p w:rsidR="00225952" w:rsidRPr="005862AE" w:rsidRDefault="00225952" w:rsidP="00225952">
                  <w:pPr>
                    <w:pStyle w:val="TableCenter3"/>
                    <w:spacing w:line="240" w:lineRule="auto"/>
                    <w:rPr>
                      <w:color w:val="0F243E"/>
                      <w:szCs w:val="28"/>
                    </w:rPr>
                  </w:pPr>
                  <w:r w:rsidRPr="005862AE">
                    <w:rPr>
                      <w:color w:val="0F243E"/>
                      <w:szCs w:val="28"/>
                    </w:rPr>
                    <w:t>E</w:t>
                  </w:r>
                </w:p>
              </w:tc>
              <w:tc>
                <w:tcPr>
                  <w:tcW w:w="2025" w:type="dxa"/>
                  <w:tcBorders>
                    <w:top w:val="single" w:sz="4" w:space="0" w:color="4F81BD"/>
                    <w:left w:val="single" w:sz="4" w:space="0" w:color="4F81BD"/>
                    <w:bottom w:val="single" w:sz="4" w:space="0" w:color="4F81BD"/>
                    <w:right w:val="single" w:sz="4" w:space="0" w:color="4F81BD"/>
                  </w:tcBorders>
                  <w:shd w:val="clear" w:color="auto" w:fill="E8F5F8"/>
                  <w:vAlign w:val="center"/>
                </w:tcPr>
                <w:p w:rsidR="00225952" w:rsidRPr="005862AE" w:rsidRDefault="00225952" w:rsidP="00225952">
                  <w:pPr>
                    <w:pStyle w:val="TableCenter3"/>
                    <w:spacing w:line="240" w:lineRule="auto"/>
                    <w:rPr>
                      <w:color w:val="0F243E"/>
                      <w:szCs w:val="28"/>
                    </w:rPr>
                  </w:pPr>
                  <w:r w:rsidRPr="005862AE">
                    <w:rPr>
                      <w:color w:val="0F243E"/>
                      <w:szCs w:val="28"/>
                    </w:rPr>
                    <w:t>E</w:t>
                  </w:r>
                </w:p>
              </w:tc>
              <w:tc>
                <w:tcPr>
                  <w:tcW w:w="2025" w:type="dxa"/>
                  <w:tcBorders>
                    <w:top w:val="single" w:sz="4" w:space="0" w:color="4F81BD"/>
                    <w:left w:val="single" w:sz="4" w:space="0" w:color="4F81BD"/>
                    <w:bottom w:val="single" w:sz="4" w:space="0" w:color="4F81BD"/>
                    <w:right w:val="single" w:sz="4" w:space="0" w:color="4F81BD"/>
                  </w:tcBorders>
                  <w:shd w:val="clear" w:color="auto" w:fill="C6D9F1"/>
                  <w:vAlign w:val="center"/>
                </w:tcPr>
                <w:p w:rsidR="00225952" w:rsidRPr="005862AE" w:rsidRDefault="00225952" w:rsidP="00225952">
                  <w:pPr>
                    <w:pStyle w:val="TableCenter3"/>
                    <w:spacing w:line="240" w:lineRule="auto"/>
                    <w:rPr>
                      <w:color w:val="0F243E"/>
                      <w:szCs w:val="28"/>
                    </w:rPr>
                  </w:pPr>
                  <w:r w:rsidRPr="005862AE">
                    <w:rPr>
                      <w:color w:val="0F243E"/>
                      <w:szCs w:val="28"/>
                    </w:rPr>
                    <w:t>E</w:t>
                  </w:r>
                </w:p>
              </w:tc>
              <w:tc>
                <w:tcPr>
                  <w:tcW w:w="2385" w:type="dxa"/>
                  <w:tcBorders>
                    <w:top w:val="single" w:sz="4" w:space="0" w:color="4F81BD"/>
                    <w:left w:val="single" w:sz="4" w:space="0" w:color="4F81BD"/>
                    <w:bottom w:val="single" w:sz="4" w:space="0" w:color="4F81BD"/>
                    <w:right w:val="single" w:sz="4" w:space="0" w:color="auto"/>
                  </w:tcBorders>
                  <w:shd w:val="clear" w:color="auto" w:fill="C6D9F1"/>
                  <w:vAlign w:val="center"/>
                </w:tcPr>
                <w:p w:rsidR="00225952" w:rsidRPr="005862AE" w:rsidRDefault="00225952" w:rsidP="00225952">
                  <w:pPr>
                    <w:pStyle w:val="TableCenter3"/>
                    <w:spacing w:line="240" w:lineRule="auto"/>
                    <w:rPr>
                      <w:color w:val="0F243E"/>
                      <w:szCs w:val="28"/>
                    </w:rPr>
                  </w:pPr>
                  <w:r w:rsidRPr="005862AE">
                    <w:rPr>
                      <w:color w:val="0F243E"/>
                      <w:szCs w:val="28"/>
                    </w:rPr>
                    <w:t>E</w:t>
                  </w:r>
                </w:p>
              </w:tc>
            </w:tr>
            <w:tr w:rsidR="00225952" w:rsidRPr="00BB2668" w:rsidTr="004B4918">
              <w:trPr>
                <w:trHeight w:val="403"/>
              </w:trPr>
              <w:tc>
                <w:tcPr>
                  <w:tcW w:w="2070" w:type="dxa"/>
                  <w:tcBorders>
                    <w:left w:val="single" w:sz="4" w:space="0" w:color="auto"/>
                    <w:bottom w:val="nil"/>
                    <w:right w:val="single" w:sz="4" w:space="0" w:color="4F81BD"/>
                  </w:tcBorders>
                  <w:shd w:val="clear" w:color="auto" w:fill="FFFFFF"/>
                </w:tcPr>
                <w:p w:rsidR="00225952" w:rsidRDefault="00225952">
                  <w:pPr>
                    <w:pStyle w:val="TableCenter3"/>
                    <w:spacing w:line="240" w:lineRule="auto"/>
                    <w:rPr>
                      <w:color w:val="0F243E"/>
                      <w:sz w:val="18"/>
                    </w:rPr>
                  </w:pPr>
                  <w:r w:rsidRPr="005862AE">
                    <w:rPr>
                      <w:color w:val="0F243E"/>
                      <w:sz w:val="18"/>
                    </w:rPr>
                    <w:t>Inside TCMAs</w:t>
                  </w:r>
                </w:p>
              </w:tc>
              <w:tc>
                <w:tcPr>
                  <w:tcW w:w="2025" w:type="dxa"/>
                  <w:tcBorders>
                    <w:top w:val="single" w:sz="4" w:space="0" w:color="4F81BD"/>
                    <w:left w:val="single" w:sz="4" w:space="0" w:color="4F81BD"/>
                    <w:bottom w:val="single" w:sz="4" w:space="0" w:color="4F81BD"/>
                    <w:right w:val="single" w:sz="4" w:space="0" w:color="4F81BD"/>
                  </w:tcBorders>
                  <w:shd w:val="clear" w:color="auto" w:fill="DAEEF3"/>
                  <w:vAlign w:val="center"/>
                </w:tcPr>
                <w:p w:rsidR="00225952" w:rsidRPr="005862AE" w:rsidRDefault="00225952" w:rsidP="00225952">
                  <w:pPr>
                    <w:pStyle w:val="TableCenter3"/>
                    <w:spacing w:line="240" w:lineRule="auto"/>
                    <w:rPr>
                      <w:color w:val="0F243E"/>
                    </w:rPr>
                  </w:pPr>
                  <w:r w:rsidRPr="005862AE">
                    <w:rPr>
                      <w:color w:val="0F243E"/>
                    </w:rPr>
                    <w:t>D(E)</w:t>
                  </w:r>
                  <w:r w:rsidRPr="005862AE">
                    <w:rPr>
                      <w:color w:val="0F243E"/>
                      <w:vertAlign w:val="superscript"/>
                    </w:rPr>
                    <w:t xml:space="preserve"> 2</w:t>
                  </w:r>
                </w:p>
              </w:tc>
              <w:tc>
                <w:tcPr>
                  <w:tcW w:w="2025" w:type="dxa"/>
                  <w:tcBorders>
                    <w:top w:val="single" w:sz="4" w:space="0" w:color="4F81BD"/>
                    <w:left w:val="single" w:sz="4" w:space="0" w:color="4F81BD"/>
                    <w:bottom w:val="single" w:sz="4" w:space="0" w:color="4F81BD"/>
                    <w:right w:val="single" w:sz="4" w:space="0" w:color="4F81BD"/>
                  </w:tcBorders>
                  <w:shd w:val="clear" w:color="auto" w:fill="DAEEF3"/>
                  <w:vAlign w:val="center"/>
                </w:tcPr>
                <w:p w:rsidR="00225952" w:rsidRPr="005862AE" w:rsidRDefault="00225952" w:rsidP="00225952">
                  <w:pPr>
                    <w:pStyle w:val="TableCenter3"/>
                    <w:spacing w:line="240" w:lineRule="auto"/>
                    <w:rPr>
                      <w:color w:val="0F243E"/>
                    </w:rPr>
                  </w:pPr>
                  <w:r w:rsidRPr="005862AE">
                    <w:rPr>
                      <w:color w:val="0F243E"/>
                    </w:rPr>
                    <w:t>E</w:t>
                  </w:r>
                  <w:r w:rsidRPr="005862AE">
                    <w:rPr>
                      <w:color w:val="0F243E"/>
                      <w:vertAlign w:val="superscript"/>
                    </w:rPr>
                    <w:t>2</w:t>
                  </w:r>
                </w:p>
              </w:tc>
              <w:tc>
                <w:tcPr>
                  <w:tcW w:w="2025" w:type="dxa"/>
                  <w:tcBorders>
                    <w:top w:val="single" w:sz="4" w:space="0" w:color="4F81BD"/>
                    <w:left w:val="single" w:sz="4" w:space="0" w:color="4F81BD"/>
                    <w:bottom w:val="single" w:sz="4" w:space="0" w:color="4F81BD"/>
                    <w:right w:val="single" w:sz="4" w:space="0" w:color="4F81BD"/>
                  </w:tcBorders>
                  <w:shd w:val="clear" w:color="auto" w:fill="F2F2F2"/>
                  <w:vAlign w:val="center"/>
                </w:tcPr>
                <w:p w:rsidR="00225952" w:rsidRPr="005862AE" w:rsidRDefault="00225952" w:rsidP="00225952">
                  <w:pPr>
                    <w:pStyle w:val="TableCenter3"/>
                    <w:spacing w:line="240" w:lineRule="auto"/>
                    <w:rPr>
                      <w:color w:val="0F243E"/>
                    </w:rPr>
                  </w:pPr>
                  <w:r w:rsidRPr="005862AE">
                    <w:rPr>
                      <w:color w:val="0F243E"/>
                    </w:rPr>
                    <w:t>–</w:t>
                  </w:r>
                  <w:r w:rsidRPr="005862AE">
                    <w:rPr>
                      <w:color w:val="0F243E"/>
                      <w:vertAlign w:val="superscript"/>
                    </w:rPr>
                    <w:t>2</w:t>
                  </w:r>
                </w:p>
              </w:tc>
              <w:tc>
                <w:tcPr>
                  <w:tcW w:w="2385" w:type="dxa"/>
                  <w:tcBorders>
                    <w:top w:val="single" w:sz="4" w:space="0" w:color="4F81BD"/>
                    <w:left w:val="single" w:sz="4" w:space="0" w:color="4F81BD"/>
                    <w:bottom w:val="single" w:sz="4" w:space="0" w:color="4F81BD"/>
                    <w:right w:val="single" w:sz="4" w:space="0" w:color="auto"/>
                  </w:tcBorders>
                  <w:shd w:val="clear" w:color="auto" w:fill="F2F2F2"/>
                  <w:vAlign w:val="center"/>
                </w:tcPr>
                <w:p w:rsidR="00225952" w:rsidRPr="005862AE" w:rsidRDefault="00225952" w:rsidP="00225952">
                  <w:pPr>
                    <w:pStyle w:val="TableCenter3"/>
                    <w:spacing w:line="240" w:lineRule="auto"/>
                    <w:rPr>
                      <w:color w:val="0F243E"/>
                    </w:rPr>
                  </w:pPr>
                  <w:r w:rsidRPr="005862AE">
                    <w:rPr>
                      <w:color w:val="0F243E"/>
                    </w:rPr>
                    <w:t>–</w:t>
                  </w:r>
                  <w:r w:rsidRPr="005862AE">
                    <w:rPr>
                      <w:color w:val="0F243E"/>
                      <w:vertAlign w:val="superscript"/>
                    </w:rPr>
                    <w:t>2</w:t>
                  </w:r>
                </w:p>
              </w:tc>
            </w:tr>
            <w:tr w:rsidR="00225952" w:rsidRPr="00BB2668" w:rsidTr="004B4918">
              <w:trPr>
                <w:trHeight w:val="403"/>
              </w:trPr>
              <w:tc>
                <w:tcPr>
                  <w:tcW w:w="2070" w:type="dxa"/>
                  <w:tcBorders>
                    <w:left w:val="single" w:sz="4" w:space="0" w:color="auto"/>
                    <w:bottom w:val="single" w:sz="4" w:space="0" w:color="auto"/>
                    <w:right w:val="single" w:sz="4" w:space="0" w:color="4F81BD"/>
                  </w:tcBorders>
                  <w:shd w:val="clear" w:color="auto" w:fill="DBE5F1"/>
                </w:tcPr>
                <w:p w:rsidR="00225952" w:rsidRPr="005862AE" w:rsidRDefault="00225952" w:rsidP="00225952">
                  <w:pPr>
                    <w:pStyle w:val="TableCenter3"/>
                    <w:spacing w:line="240" w:lineRule="auto"/>
                    <w:rPr>
                      <w:color w:val="0F243E"/>
                      <w:sz w:val="18"/>
                    </w:rPr>
                  </w:pPr>
                  <w:r w:rsidRPr="005862AE">
                    <w:rPr>
                      <w:color w:val="0F243E"/>
                      <w:sz w:val="18"/>
                    </w:rPr>
                    <w:t>Inside TCEAs</w:t>
                  </w:r>
                  <w:r w:rsidRPr="005862AE">
                    <w:rPr>
                      <w:color w:val="0F243E"/>
                      <w:sz w:val="18"/>
                      <w:vertAlign w:val="superscript"/>
                    </w:rPr>
                    <w:t>2</w:t>
                  </w:r>
                  <w:r w:rsidRPr="005862AE">
                    <w:rPr>
                      <w:color w:val="0F243E"/>
                      <w:sz w:val="18"/>
                    </w:rPr>
                    <w:t xml:space="preserve"> and MMTDs</w:t>
                  </w:r>
                  <w:r w:rsidRPr="005862AE">
                    <w:rPr>
                      <w:color w:val="0F243E"/>
                      <w:sz w:val="18"/>
                      <w:vertAlign w:val="superscript"/>
                    </w:rPr>
                    <w:t>2</w:t>
                  </w:r>
                </w:p>
              </w:tc>
              <w:tc>
                <w:tcPr>
                  <w:tcW w:w="2025" w:type="dxa"/>
                  <w:tcBorders>
                    <w:top w:val="single" w:sz="4" w:space="0" w:color="4F81BD"/>
                    <w:left w:val="single" w:sz="4" w:space="0" w:color="4F81BD"/>
                    <w:bottom w:val="single" w:sz="4" w:space="0" w:color="auto"/>
                    <w:right w:val="single" w:sz="4" w:space="0" w:color="4F81BD"/>
                  </w:tcBorders>
                  <w:shd w:val="clear" w:color="auto" w:fill="E8F5F8"/>
                  <w:vAlign w:val="center"/>
                </w:tcPr>
                <w:p w:rsidR="00225952" w:rsidRPr="005862AE" w:rsidRDefault="00225952" w:rsidP="00225952">
                  <w:pPr>
                    <w:pStyle w:val="TableCenter3"/>
                    <w:spacing w:line="240" w:lineRule="auto"/>
                    <w:rPr>
                      <w:color w:val="0F243E"/>
                    </w:rPr>
                  </w:pPr>
                  <w:r w:rsidRPr="005862AE">
                    <w:rPr>
                      <w:color w:val="0F243E"/>
                    </w:rPr>
                    <w:t>–</w:t>
                  </w:r>
                  <w:r w:rsidRPr="005862AE">
                    <w:rPr>
                      <w:color w:val="0F243E"/>
                      <w:vertAlign w:val="superscript"/>
                    </w:rPr>
                    <w:t>2</w:t>
                  </w:r>
                </w:p>
              </w:tc>
              <w:tc>
                <w:tcPr>
                  <w:tcW w:w="2025" w:type="dxa"/>
                  <w:tcBorders>
                    <w:top w:val="single" w:sz="4" w:space="0" w:color="4F81BD"/>
                    <w:left w:val="single" w:sz="4" w:space="0" w:color="4F81BD"/>
                    <w:bottom w:val="single" w:sz="4" w:space="0" w:color="auto"/>
                    <w:right w:val="single" w:sz="4" w:space="0" w:color="4F81BD"/>
                  </w:tcBorders>
                  <w:shd w:val="clear" w:color="auto" w:fill="E8F5F8"/>
                  <w:vAlign w:val="center"/>
                </w:tcPr>
                <w:p w:rsidR="00225952" w:rsidRPr="005862AE" w:rsidRDefault="00225952" w:rsidP="00225952">
                  <w:pPr>
                    <w:pStyle w:val="TableCenter3"/>
                    <w:spacing w:line="240" w:lineRule="auto"/>
                    <w:rPr>
                      <w:color w:val="0F243E"/>
                    </w:rPr>
                  </w:pPr>
                  <w:r w:rsidRPr="005862AE">
                    <w:rPr>
                      <w:color w:val="0F243E"/>
                    </w:rPr>
                    <w:t>–</w:t>
                  </w:r>
                  <w:r w:rsidRPr="005862AE">
                    <w:rPr>
                      <w:color w:val="0F243E"/>
                      <w:vertAlign w:val="superscript"/>
                    </w:rPr>
                    <w:t>2</w:t>
                  </w:r>
                </w:p>
              </w:tc>
              <w:tc>
                <w:tcPr>
                  <w:tcW w:w="2025" w:type="dxa"/>
                  <w:tcBorders>
                    <w:top w:val="single" w:sz="4" w:space="0" w:color="4F81BD"/>
                    <w:left w:val="single" w:sz="4" w:space="0" w:color="4F81BD"/>
                    <w:bottom w:val="single" w:sz="4" w:space="0" w:color="auto"/>
                    <w:right w:val="single" w:sz="4" w:space="0" w:color="4F81BD"/>
                  </w:tcBorders>
                  <w:shd w:val="clear" w:color="auto" w:fill="C6D9F1"/>
                  <w:vAlign w:val="center"/>
                </w:tcPr>
                <w:p w:rsidR="00225952" w:rsidRPr="005862AE" w:rsidRDefault="00225952" w:rsidP="00225952">
                  <w:pPr>
                    <w:pStyle w:val="TableCenter3"/>
                    <w:spacing w:line="240" w:lineRule="auto"/>
                    <w:rPr>
                      <w:color w:val="0F243E"/>
                    </w:rPr>
                  </w:pPr>
                  <w:r w:rsidRPr="005862AE">
                    <w:rPr>
                      <w:color w:val="0F243E"/>
                    </w:rPr>
                    <w:t>–</w:t>
                  </w:r>
                  <w:r w:rsidRPr="005862AE">
                    <w:rPr>
                      <w:color w:val="0F243E"/>
                      <w:vertAlign w:val="superscript"/>
                    </w:rPr>
                    <w:t>2</w:t>
                  </w:r>
                </w:p>
              </w:tc>
              <w:tc>
                <w:tcPr>
                  <w:tcW w:w="2385" w:type="dxa"/>
                  <w:tcBorders>
                    <w:top w:val="single" w:sz="4" w:space="0" w:color="4F81BD"/>
                    <w:left w:val="single" w:sz="4" w:space="0" w:color="4F81BD"/>
                    <w:bottom w:val="single" w:sz="4" w:space="0" w:color="auto"/>
                    <w:right w:val="single" w:sz="4" w:space="0" w:color="auto"/>
                  </w:tcBorders>
                  <w:shd w:val="clear" w:color="auto" w:fill="C6D9F1"/>
                  <w:vAlign w:val="center"/>
                </w:tcPr>
                <w:p w:rsidR="00225952" w:rsidRPr="005862AE" w:rsidRDefault="00225952" w:rsidP="00225952">
                  <w:pPr>
                    <w:pStyle w:val="TableCenter3"/>
                    <w:spacing w:line="240" w:lineRule="auto"/>
                    <w:rPr>
                      <w:color w:val="0F243E"/>
                    </w:rPr>
                  </w:pPr>
                  <w:r w:rsidRPr="005862AE">
                    <w:rPr>
                      <w:color w:val="0F243E"/>
                    </w:rPr>
                    <w:t>–</w:t>
                  </w:r>
                  <w:r w:rsidRPr="005862AE">
                    <w:rPr>
                      <w:color w:val="0F243E"/>
                      <w:vertAlign w:val="superscript"/>
                    </w:rPr>
                    <w:t>2</w:t>
                  </w:r>
                </w:p>
              </w:tc>
            </w:tr>
            <w:tr w:rsidR="00225952" w:rsidRPr="00613D0D">
              <w:tblPrEx>
                <w:tblBorders>
                  <w:top w:val="none" w:sz="0" w:space="0" w:color="auto"/>
                  <w:left w:val="none" w:sz="0" w:space="0" w:color="auto"/>
                  <w:bottom w:val="none" w:sz="0" w:space="0" w:color="auto"/>
                  <w:right w:val="none" w:sz="0" w:space="0" w:color="auto"/>
                  <w:insideV w:val="single" w:sz="4" w:space="0" w:color="auto"/>
                </w:tblBorders>
              </w:tblPrEx>
              <w:tc>
                <w:tcPr>
                  <w:tcW w:w="10530" w:type="dxa"/>
                  <w:gridSpan w:val="5"/>
                  <w:tcBorders>
                    <w:top w:val="single" w:sz="4" w:space="0" w:color="auto"/>
                  </w:tcBorders>
                </w:tcPr>
                <w:p w:rsidR="00225952" w:rsidRPr="00613D0D" w:rsidRDefault="00225952" w:rsidP="00225952">
                  <w:pPr>
                    <w:spacing w:after="0"/>
                    <w:rPr>
                      <w:sz w:val="18"/>
                    </w:rPr>
                  </w:pPr>
                  <w:r w:rsidRPr="00613D0D">
                    <w:rPr>
                      <w:sz w:val="18"/>
                    </w:rPr>
                    <w:t>Level of service standards inside of parentheses apply to general use lanes only when exclusive thru lanes exist.</w:t>
                  </w:r>
                </w:p>
              </w:tc>
            </w:tr>
            <w:tr w:rsidR="00225952" w:rsidRPr="002E660C">
              <w:tblPrEx>
                <w:tblBorders>
                  <w:top w:val="none" w:sz="0" w:space="0" w:color="auto"/>
                  <w:left w:val="none" w:sz="0" w:space="0" w:color="auto"/>
                  <w:bottom w:val="none" w:sz="0" w:space="0" w:color="auto"/>
                  <w:right w:val="none" w:sz="0" w:space="0" w:color="auto"/>
                  <w:insideV w:val="single" w:sz="4" w:space="0" w:color="auto"/>
                </w:tblBorders>
              </w:tblPrEx>
              <w:tc>
                <w:tcPr>
                  <w:tcW w:w="10530" w:type="dxa"/>
                  <w:gridSpan w:val="5"/>
                  <w:tcBorders>
                    <w:bottom w:val="nil"/>
                  </w:tcBorders>
                </w:tcPr>
                <w:p w:rsidR="00225952" w:rsidRPr="00613D0D" w:rsidRDefault="00225952" w:rsidP="00BA4326">
                  <w:pPr>
                    <w:pStyle w:val="ListParagraph"/>
                    <w:numPr>
                      <w:ilvl w:val="0"/>
                      <w:numId w:val="12"/>
                    </w:numPr>
                    <w:spacing w:after="120" w:line="240" w:lineRule="auto"/>
                    <w:rPr>
                      <w:sz w:val="18"/>
                    </w:rPr>
                  </w:pPr>
                  <w:r w:rsidRPr="00613D0D">
                    <w:rPr>
                      <w:sz w:val="18"/>
                    </w:rPr>
                    <w:t>For rural two-lane facilities, the standard is C.</w:t>
                  </w:r>
                </w:p>
                <w:p w:rsidR="00225952" w:rsidRPr="00613D0D" w:rsidRDefault="00225952" w:rsidP="00BA4326">
                  <w:pPr>
                    <w:pStyle w:val="ListParagraph"/>
                    <w:numPr>
                      <w:ilvl w:val="0"/>
                      <w:numId w:val="12"/>
                    </w:numPr>
                    <w:spacing w:after="120" w:line="240" w:lineRule="auto"/>
                    <w:rPr>
                      <w:sz w:val="18"/>
                    </w:rPr>
                  </w:pPr>
                  <w:r w:rsidRPr="00613D0D">
                    <w:rPr>
                      <w:sz w:val="18"/>
                    </w:rPr>
                    <w:t xml:space="preserve">Means the </w:t>
                  </w:r>
                  <w:r>
                    <w:rPr>
                      <w:sz w:val="18"/>
                    </w:rPr>
                    <w:t>Department</w:t>
                  </w:r>
                  <w:r w:rsidRPr="00613D0D">
                    <w:rPr>
                      <w:sz w:val="18"/>
                    </w:rPr>
                    <w:t xml:space="preserve"> must be consulted as provided by Section 163.3180(5), (7), or (15), Florida Statutes, regarding level of service standards set on SIS or TRIP facilities impacted by TCMAs, MMTDs, or TCEAs respectively</w:t>
                  </w:r>
                </w:p>
                <w:p w:rsidR="00225952" w:rsidRPr="002E660C" w:rsidRDefault="00225952" w:rsidP="004B4918">
                  <w:pPr>
                    <w:pStyle w:val="ListParagraph"/>
                    <w:spacing w:after="0"/>
                  </w:pPr>
                  <w:r w:rsidRPr="00613D0D">
                    <w:rPr>
                      <w:sz w:val="18"/>
                    </w:rPr>
                    <w:t xml:space="preserve">NOTE: Level of service letter designations are defined in the </w:t>
                  </w:r>
                  <w:r>
                    <w:rPr>
                      <w:sz w:val="18"/>
                    </w:rPr>
                    <w:t>FDOT</w:t>
                  </w:r>
                  <w:r w:rsidRPr="00613D0D">
                    <w:rPr>
                      <w:sz w:val="18"/>
                    </w:rPr>
                    <w:t xml:space="preserve">’s latest </w:t>
                  </w:r>
                  <w:r w:rsidRPr="00613D0D">
                    <w:rPr>
                      <w:i/>
                      <w:sz w:val="18"/>
                    </w:rPr>
                    <w:t>Quality/Level of Service Handbook</w:t>
                  </w:r>
                  <w:r w:rsidRPr="00613D0D">
                    <w:rPr>
                      <w:sz w:val="18"/>
                    </w:rPr>
                    <w:t>.</w:t>
                  </w:r>
                </w:p>
              </w:tc>
            </w:tr>
          </w:tbl>
          <w:p w:rsidR="00225952" w:rsidRDefault="00225952" w:rsidP="00225952"/>
        </w:tc>
      </w:tr>
      <w:tr w:rsidR="00225952" w:rsidRPr="00380CF5">
        <w:tc>
          <w:tcPr>
            <w:tcW w:w="2455" w:type="dxa"/>
          </w:tcPr>
          <w:p w:rsidR="00225952" w:rsidRPr="006135BA" w:rsidRDefault="00225952" w:rsidP="00225952">
            <w:pPr>
              <w:pStyle w:val="Heading4"/>
            </w:pPr>
            <w:r w:rsidRPr="006135BA">
              <w:t>Area Type</w:t>
            </w:r>
          </w:p>
          <w:p w:rsidR="00225952" w:rsidRPr="006135BA" w:rsidRDefault="00225952" w:rsidP="00225952">
            <w:pPr>
              <w:pStyle w:val="Heading4"/>
            </w:pPr>
          </w:p>
        </w:tc>
        <w:tc>
          <w:tcPr>
            <w:tcW w:w="7920" w:type="dxa"/>
          </w:tcPr>
          <w:p w:rsidR="00225952" w:rsidRDefault="00225952" w:rsidP="00225952">
            <w:r w:rsidRPr="006F1289">
              <w:t>For development reviews, FDOT’s LOS standards and area types remain effective throughout the project's planning horizon. For example, in FDOT’s review of a proposed multi-phase development the same standards and area types would be used regardless of the amount of development anticipated over time. The only time the applicable standards may change is when the development order conditions provide for a reevaluation of transportation impacts for subsequent phases of development. The change in LOS standards may result from an official change in designation (e.g., Census update, rule change, variance)</w:t>
            </w:r>
          </w:p>
        </w:tc>
      </w:tr>
      <w:tr w:rsidR="00225952" w:rsidRPr="00380CF5">
        <w:tc>
          <w:tcPr>
            <w:tcW w:w="2455" w:type="dxa"/>
          </w:tcPr>
          <w:p w:rsidR="00225952" w:rsidRPr="006135BA" w:rsidRDefault="00225952" w:rsidP="00225952">
            <w:pPr>
              <w:pStyle w:val="Heading4"/>
            </w:pPr>
            <w:r w:rsidRPr="006135BA">
              <w:t>Intersections</w:t>
            </w:r>
          </w:p>
          <w:p w:rsidR="00225952" w:rsidRDefault="00225952" w:rsidP="00225952">
            <w:pPr>
              <w:pStyle w:val="SidebarSentence"/>
            </w:pPr>
          </w:p>
          <w:p w:rsidR="00225952" w:rsidRPr="006103C4" w:rsidRDefault="00225952" w:rsidP="005B4AC0">
            <w:pPr>
              <w:pStyle w:val="SidebarSentence"/>
              <w:rPr>
                <w:b/>
              </w:rPr>
            </w:pPr>
            <w:r>
              <w:t xml:space="preserve">Both facility LOS and intersection </w:t>
            </w:r>
            <w:r w:rsidR="005B4AC0">
              <w:t xml:space="preserve">v/c </w:t>
            </w:r>
            <w:r>
              <w:t xml:space="preserve">are appropriate to determine impacts </w:t>
            </w:r>
          </w:p>
        </w:tc>
        <w:tc>
          <w:tcPr>
            <w:tcW w:w="7920" w:type="dxa"/>
          </w:tcPr>
          <w:p w:rsidR="00225952" w:rsidRDefault="00225952">
            <w:r>
              <w:t xml:space="preserve">Although arterial facility LOS is stressed in highway level of service standards, detailed volume-to-capacity analyses at selected intersections may be necessary to evaluate specific projects. Both facility LOS and intersection volume-to-capacity ratio criteria are appropriate to determine impacts from proposed developments and required mitigation efforts. Additional information about intersection assessments is provided in the </w:t>
            </w:r>
            <w:r w:rsidRPr="00296178">
              <w:t>FDOT Quality/</w:t>
            </w:r>
            <w:r>
              <w:t>LOS</w:t>
            </w:r>
            <w:r w:rsidRPr="00296178">
              <w:t xml:space="preserve"> Handbook</w:t>
            </w:r>
            <w:r>
              <w:t>.</w:t>
            </w:r>
          </w:p>
        </w:tc>
      </w:tr>
    </w:tbl>
    <w:p w:rsidR="004B4918" w:rsidRDefault="004B4918">
      <w:r>
        <w:rPr>
          <w:b/>
          <w:bCs/>
        </w:rPr>
        <w:br w:type="page"/>
      </w:r>
    </w:p>
    <w:tbl>
      <w:tblPr>
        <w:tblW w:w="10375" w:type="dxa"/>
        <w:tblLayout w:type="fixed"/>
        <w:tblLook w:val="0000"/>
      </w:tblPr>
      <w:tblGrid>
        <w:gridCol w:w="2455"/>
        <w:gridCol w:w="7920"/>
      </w:tblGrid>
      <w:tr w:rsidR="00225952" w:rsidRPr="00380CF5" w:rsidTr="00225952">
        <w:tc>
          <w:tcPr>
            <w:tcW w:w="10375" w:type="dxa"/>
            <w:gridSpan w:val="2"/>
          </w:tcPr>
          <w:p w:rsidR="00225952" w:rsidRDefault="006B7F55" w:rsidP="00225952">
            <w:pPr>
              <w:pStyle w:val="Heading3"/>
            </w:pPr>
            <w:bookmarkStart w:id="98" w:name="_Toc264274104"/>
            <w:r>
              <w:lastRenderedPageBreak/>
              <w:t>2.9</w:t>
            </w:r>
            <w:r w:rsidR="00225952">
              <w:t xml:space="preserve">.3  </w:t>
            </w:r>
            <w:r w:rsidR="00225952" w:rsidRPr="006135BA">
              <w:t>LOS Analysis Tools</w:t>
            </w:r>
            <w:bookmarkEnd w:id="98"/>
          </w:p>
        </w:tc>
      </w:tr>
      <w:tr w:rsidR="00225952" w:rsidRPr="00380CF5">
        <w:tc>
          <w:tcPr>
            <w:tcW w:w="2455" w:type="dxa"/>
          </w:tcPr>
          <w:p w:rsidR="00225952" w:rsidRPr="006135BA" w:rsidRDefault="00225952" w:rsidP="00225952">
            <w:pPr>
              <w:pStyle w:val="Heading3"/>
            </w:pPr>
          </w:p>
        </w:tc>
        <w:tc>
          <w:tcPr>
            <w:tcW w:w="7920" w:type="dxa"/>
          </w:tcPr>
          <w:p w:rsidR="00225952" w:rsidRDefault="00225952" w:rsidP="00225952">
            <w:bookmarkStart w:id="99" w:name="_Toc232912672"/>
            <w:r>
              <w:t xml:space="preserve">All  LOS determinations are to be based on the latest </w:t>
            </w:r>
            <w:r w:rsidRPr="00CF7CBB">
              <w:rPr>
                <w:i/>
              </w:rPr>
              <w:t>Highway Capacity Manual</w:t>
            </w:r>
            <w:r>
              <w:rPr>
                <w:i/>
              </w:rPr>
              <w:t xml:space="preserve"> </w:t>
            </w:r>
            <w:r>
              <w:t xml:space="preserve">(HCM), FDOT </w:t>
            </w:r>
            <w:r w:rsidRPr="00CF7CBB">
              <w:rPr>
                <w:i/>
              </w:rPr>
              <w:t>Quality/Level of Service</w:t>
            </w:r>
            <w:r>
              <w:t xml:space="preserve"> (Q/LOS) </w:t>
            </w:r>
            <w:r w:rsidRPr="00CF7CBB">
              <w:rPr>
                <w:i/>
              </w:rPr>
              <w:t>Handbook</w:t>
            </w:r>
            <w:r>
              <w:rPr>
                <w:i/>
              </w:rPr>
              <w:t>,</w:t>
            </w:r>
            <w:bookmarkEnd w:id="99"/>
            <w:r>
              <w:t xml:space="preserve"> or a methodology determined by FDOT as having comparable reliability. The only tools FDOT will officially accept and support for roadway analysis (auto) for planning purposes are the Generalized Service Volume Tables, LOSPLAN, and the HCM/HCS, each applied at the proper level of analysis. Operational analyses based on other tools such as CORSIM may be submitted to FDOT for consideration, but FDOT reviewers are under no obligation to consider, review, or comment on such analyses. </w:t>
            </w:r>
          </w:p>
          <w:p w:rsidR="00225952" w:rsidRDefault="00225952" w:rsidP="00225952">
            <w:pPr>
              <w:spacing w:after="120"/>
            </w:pPr>
            <w:r>
              <w:t>For transit, pedestrian, and bicycle capacity and LOS analyses, the operational tools FDOT fully recognizes for planning applications are the:</w:t>
            </w:r>
          </w:p>
          <w:p w:rsidR="00225952" w:rsidRPr="00C948ED" w:rsidRDefault="00225952" w:rsidP="00BA4326">
            <w:pPr>
              <w:pStyle w:val="ListParagraph"/>
              <w:numPr>
                <w:ilvl w:val="0"/>
                <w:numId w:val="9"/>
              </w:numPr>
              <w:rPr>
                <w:sz w:val="24"/>
              </w:rPr>
            </w:pPr>
            <w:r w:rsidRPr="007A4D41">
              <w:rPr>
                <w:sz w:val="24"/>
              </w:rPr>
              <w:t>Transit Capacity and Quality of Service Manual;</w:t>
            </w:r>
          </w:p>
          <w:p w:rsidR="00225952" w:rsidRPr="00C948ED" w:rsidRDefault="00225952" w:rsidP="00BA4326">
            <w:pPr>
              <w:pStyle w:val="ListParagraph"/>
              <w:numPr>
                <w:ilvl w:val="0"/>
                <w:numId w:val="9"/>
              </w:numPr>
              <w:rPr>
                <w:sz w:val="24"/>
              </w:rPr>
            </w:pPr>
            <w:r w:rsidRPr="007A4D41">
              <w:rPr>
                <w:sz w:val="24"/>
              </w:rPr>
              <w:t>Pedestrian LOS Model; and</w:t>
            </w:r>
          </w:p>
          <w:p w:rsidR="00225952" w:rsidRPr="00C948ED" w:rsidRDefault="00225952" w:rsidP="00BA4326">
            <w:pPr>
              <w:pStyle w:val="ListParagraph"/>
              <w:numPr>
                <w:ilvl w:val="0"/>
                <w:numId w:val="9"/>
              </w:numPr>
              <w:rPr>
                <w:sz w:val="24"/>
              </w:rPr>
            </w:pPr>
            <w:r w:rsidRPr="007A4D41">
              <w:rPr>
                <w:sz w:val="24"/>
              </w:rPr>
              <w:t>Bicycle LOS Model.</w:t>
            </w:r>
          </w:p>
          <w:p w:rsidR="00225952" w:rsidRDefault="00225952" w:rsidP="005B4AC0">
            <w:r>
              <w:t xml:space="preserve">FDOT </w:t>
            </w:r>
            <w:r w:rsidRPr="00CF7CBB">
              <w:t>also recognizes software applications that support these tools.</w:t>
            </w:r>
            <w:r>
              <w:t xml:space="preserve"> The </w:t>
            </w:r>
            <w:r w:rsidRPr="00296178">
              <w:t>FDOT Quality/</w:t>
            </w:r>
            <w:r>
              <w:t>LOS</w:t>
            </w:r>
            <w:r w:rsidRPr="00296178">
              <w:t xml:space="preserve"> Handbook</w:t>
            </w:r>
            <w:r w:rsidRPr="00CF7CBB">
              <w:t xml:space="preserve"> provides guidance on the various tools available to calculate capacity</w:t>
            </w:r>
            <w:r>
              <w:t xml:space="preserve"> and </w:t>
            </w:r>
            <w:r w:rsidR="005B4AC0">
              <w:t>LOS</w:t>
            </w:r>
            <w:r>
              <w:t xml:space="preserve"> and provides detailed guidance on </w:t>
            </w:r>
            <w:r w:rsidR="005B4AC0">
              <w:t xml:space="preserve">using </w:t>
            </w:r>
            <w:r>
              <w:t>those tools in the planning stages of a project.</w:t>
            </w:r>
          </w:p>
        </w:tc>
      </w:tr>
    </w:tbl>
    <w:p w:rsidR="00225952" w:rsidRDefault="00225952">
      <w:r>
        <w:rPr>
          <w:b/>
        </w:rPr>
        <w:br w:type="page"/>
      </w:r>
    </w:p>
    <w:tbl>
      <w:tblPr>
        <w:tblW w:w="10375" w:type="dxa"/>
        <w:tblLayout w:type="fixed"/>
        <w:tblLook w:val="0000"/>
      </w:tblPr>
      <w:tblGrid>
        <w:gridCol w:w="2455"/>
        <w:gridCol w:w="4763"/>
        <w:gridCol w:w="3157"/>
      </w:tblGrid>
      <w:tr w:rsidR="00225952" w:rsidRPr="00380CF5" w:rsidTr="00225952">
        <w:tc>
          <w:tcPr>
            <w:tcW w:w="10375" w:type="dxa"/>
            <w:gridSpan w:val="3"/>
          </w:tcPr>
          <w:p w:rsidR="00225952" w:rsidRDefault="006B7F55" w:rsidP="00225952">
            <w:pPr>
              <w:pStyle w:val="Heading3"/>
            </w:pPr>
            <w:bookmarkStart w:id="100" w:name="_Toc264274105"/>
            <w:r>
              <w:lastRenderedPageBreak/>
              <w:t>2.9</w:t>
            </w:r>
            <w:r w:rsidR="00225952">
              <w:t xml:space="preserve">.4  The Tiered </w:t>
            </w:r>
            <w:r w:rsidR="00225952" w:rsidRPr="006135BA">
              <w:t>L</w:t>
            </w:r>
            <w:r w:rsidR="00225952">
              <w:t xml:space="preserve">evel of Service </w:t>
            </w:r>
            <w:r w:rsidR="00225952" w:rsidRPr="006135BA">
              <w:t>Approach</w:t>
            </w:r>
            <w:bookmarkEnd w:id="100"/>
          </w:p>
        </w:tc>
      </w:tr>
      <w:tr w:rsidR="00225952" w:rsidRPr="00380CF5">
        <w:tc>
          <w:tcPr>
            <w:tcW w:w="2455" w:type="dxa"/>
          </w:tcPr>
          <w:p w:rsidR="00225952" w:rsidRPr="006135BA" w:rsidRDefault="00225952" w:rsidP="00225952">
            <w:pPr>
              <w:pStyle w:val="Heading3"/>
            </w:pPr>
          </w:p>
        </w:tc>
        <w:tc>
          <w:tcPr>
            <w:tcW w:w="7920" w:type="dxa"/>
            <w:gridSpan w:val="2"/>
          </w:tcPr>
          <w:p w:rsidR="00225952" w:rsidRDefault="00225952">
            <w:r>
              <w:t xml:space="preserve">For site traffic impact analysis, Level of Service (LOS) analysis should be performed along each segment of the roadway system identified in the methodology phase within the area of influence and at each major street and site access intersection within the study area. Critical intersections for analysis should also be identified based on proximity to the site and the volume of development traffic using the intersection. </w:t>
            </w:r>
          </w:p>
        </w:tc>
      </w:tr>
      <w:tr w:rsidR="00225952" w:rsidRPr="00380CF5">
        <w:tc>
          <w:tcPr>
            <w:tcW w:w="2455" w:type="dxa"/>
          </w:tcPr>
          <w:p w:rsidR="00225952" w:rsidRPr="005862AE" w:rsidRDefault="00225952" w:rsidP="00225952">
            <w:pPr>
              <w:pStyle w:val="ExhibitNumber"/>
            </w:pPr>
            <w:r w:rsidRPr="005862AE">
              <w:t xml:space="preserve">Exhibit </w:t>
            </w:r>
            <w:r>
              <w:t>2</w:t>
            </w:r>
            <w:r w:rsidR="00784F8A">
              <w:t>2</w:t>
            </w:r>
            <w:r w:rsidRPr="005862AE">
              <w:t xml:space="preserve"> </w:t>
            </w:r>
          </w:p>
          <w:p w:rsidR="00225952" w:rsidRPr="00E10829" w:rsidRDefault="00225952" w:rsidP="00225952">
            <w:pPr>
              <w:pStyle w:val="FigureTitle"/>
            </w:pPr>
            <w:r w:rsidRPr="0092007E">
              <w:t>Tiered LOS Approach</w:t>
            </w:r>
          </w:p>
        </w:tc>
        <w:tc>
          <w:tcPr>
            <w:tcW w:w="4763" w:type="dxa"/>
          </w:tcPr>
          <w:p w:rsidR="00225952" w:rsidRDefault="00225952" w:rsidP="00835D35">
            <w:pPr>
              <w:spacing w:after="0"/>
              <w:jc w:val="center"/>
            </w:pPr>
            <w:r>
              <w:rPr>
                <w:noProof/>
              </w:rPr>
              <w:drawing>
                <wp:inline distT="0" distB="0" distL="0" distR="0">
                  <wp:extent cx="2973705" cy="6285312"/>
                  <wp:effectExtent l="19050" t="0" r="0" b="0"/>
                  <wp:docPr id="83" name="Picture 83" descr="Exhibit4-16.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Exhibit4-16.emf"/>
                          <pic:cNvPicPr>
                            <a:picLocks noChangeAspect="1" noChangeArrowheads="1"/>
                          </pic:cNvPicPr>
                        </pic:nvPicPr>
                        <pic:blipFill>
                          <a:blip r:embed="rId115" cstate="print"/>
                          <a:stretch>
                            <a:fillRect/>
                          </a:stretch>
                        </pic:blipFill>
                        <pic:spPr bwMode="auto">
                          <a:xfrm>
                            <a:off x="0" y="0"/>
                            <a:ext cx="2973705" cy="6285312"/>
                          </a:xfrm>
                          <a:prstGeom prst="rect">
                            <a:avLst/>
                          </a:prstGeom>
                          <a:noFill/>
                          <a:ln w="9525">
                            <a:noFill/>
                            <a:miter lim="800000"/>
                            <a:headEnd/>
                            <a:tailEnd/>
                          </a:ln>
                        </pic:spPr>
                      </pic:pic>
                    </a:graphicData>
                  </a:graphic>
                </wp:inline>
              </w:drawing>
            </w:r>
          </w:p>
        </w:tc>
        <w:tc>
          <w:tcPr>
            <w:tcW w:w="3157" w:type="dxa"/>
          </w:tcPr>
          <w:p w:rsidR="00225952" w:rsidRDefault="00225952" w:rsidP="00835D35">
            <w:pPr>
              <w:jc w:val="left"/>
            </w:pPr>
            <w:r>
              <w:t>All LOS analyses should be performed using methods or software approved by FDOT. LOS analyses should be performed for existing and future conditions as determined in the methodology phase. If an interstate facility or other SIS/FIHS limited-access roadway is affected, freeway, ramp, and weave analysis procedures of the latest version of the Highway Capacity Manual (HCM) should be used.</w:t>
            </w:r>
          </w:p>
          <w:p w:rsidR="00225952" w:rsidRDefault="00225952" w:rsidP="00835D35">
            <w:pPr>
              <w:jc w:val="left"/>
            </w:pPr>
          </w:p>
          <w:p w:rsidR="00225952" w:rsidRDefault="00225952" w:rsidP="00835D35">
            <w:pPr>
              <w:jc w:val="left"/>
            </w:pPr>
            <w:r>
              <w:t xml:space="preserve">A tiered Level of Service  approach for site impact analysis may be performed using the following methods as illustrated in </w:t>
            </w:r>
            <w:r w:rsidRPr="002D5086">
              <w:t xml:space="preserve">Exhibit </w:t>
            </w:r>
            <w:r w:rsidR="00784F8A">
              <w:t>2</w:t>
            </w:r>
            <w:r>
              <w:t>2</w:t>
            </w:r>
            <w:r w:rsidRPr="002D5086">
              <w:t>.</w:t>
            </w:r>
          </w:p>
        </w:tc>
      </w:tr>
    </w:tbl>
    <w:p w:rsidR="00225952" w:rsidRDefault="00225952" w:rsidP="00225952">
      <w:pPr>
        <w:rPr>
          <w:b/>
          <w:bCs/>
        </w:rPr>
      </w:pPr>
    </w:p>
    <w:tbl>
      <w:tblPr>
        <w:tblW w:w="10375" w:type="dxa"/>
        <w:tblLayout w:type="fixed"/>
        <w:tblLook w:val="0000"/>
      </w:tblPr>
      <w:tblGrid>
        <w:gridCol w:w="2455"/>
        <w:gridCol w:w="7920"/>
      </w:tblGrid>
      <w:tr w:rsidR="00835D35" w:rsidRPr="00380CF5">
        <w:tc>
          <w:tcPr>
            <w:tcW w:w="2455" w:type="dxa"/>
          </w:tcPr>
          <w:p w:rsidR="00835D35" w:rsidRPr="006135BA" w:rsidRDefault="00835D35" w:rsidP="00835D35">
            <w:pPr>
              <w:pStyle w:val="Bullet1"/>
            </w:pPr>
          </w:p>
        </w:tc>
        <w:tc>
          <w:tcPr>
            <w:tcW w:w="7920" w:type="dxa"/>
          </w:tcPr>
          <w:p w:rsidR="00835D35" w:rsidRDefault="00835D35" w:rsidP="00835D35">
            <w:pPr>
              <w:spacing w:after="0"/>
            </w:pPr>
            <w:r>
              <w:t>A more detailed description of the tiered approach is:</w:t>
            </w:r>
          </w:p>
        </w:tc>
      </w:tr>
      <w:tr w:rsidR="00225952" w:rsidRPr="00380CF5">
        <w:tc>
          <w:tcPr>
            <w:tcW w:w="2455" w:type="dxa"/>
          </w:tcPr>
          <w:p w:rsidR="00225952" w:rsidRPr="006135BA" w:rsidRDefault="00225952" w:rsidP="00225952">
            <w:pPr>
              <w:pStyle w:val="Heading3"/>
            </w:pPr>
          </w:p>
          <w:p w:rsidR="00225952" w:rsidRDefault="00225952" w:rsidP="00225952"/>
          <w:p w:rsidR="00225952" w:rsidRDefault="00225952" w:rsidP="00225952"/>
          <w:p w:rsidR="00225952" w:rsidRDefault="00225952" w:rsidP="00225952"/>
          <w:p w:rsidR="00225952" w:rsidRDefault="00225952" w:rsidP="00225952"/>
          <w:p w:rsidR="00225952" w:rsidRDefault="00225952" w:rsidP="00225952"/>
          <w:p w:rsidR="00225952" w:rsidRDefault="00225952" w:rsidP="00225952"/>
          <w:p w:rsidR="00225952" w:rsidRDefault="00225952" w:rsidP="00225952"/>
          <w:p w:rsidR="00225952" w:rsidRDefault="00225952" w:rsidP="00225952"/>
          <w:p w:rsidR="00225952" w:rsidRDefault="00225952" w:rsidP="00225952"/>
          <w:p w:rsidR="00225952" w:rsidRDefault="00225952" w:rsidP="00225952"/>
          <w:p w:rsidR="00225952" w:rsidRDefault="00225952" w:rsidP="00225952"/>
          <w:p w:rsidR="00225952" w:rsidRPr="00D747D3" w:rsidRDefault="00225952" w:rsidP="00225952">
            <w:pPr>
              <w:pStyle w:val="SidebarSentence"/>
            </w:pPr>
            <w:r>
              <w:t>W</w:t>
            </w:r>
            <w:r w:rsidRPr="00D747D3">
              <w:t xml:space="preserve">hen using LOSPLAN, </w:t>
            </w:r>
            <w:r>
              <w:t xml:space="preserve">roadway </w:t>
            </w:r>
            <w:r w:rsidRPr="00D747D3">
              <w:t xml:space="preserve">specific traffic inputs </w:t>
            </w:r>
            <w:r>
              <w:t>and</w:t>
            </w:r>
            <w:r w:rsidRPr="00D747D3">
              <w:t xml:space="preserve"> key roadway and control inputs </w:t>
            </w:r>
            <w:r>
              <w:t>must be used</w:t>
            </w:r>
          </w:p>
          <w:p w:rsidR="00225952" w:rsidRDefault="00225952" w:rsidP="00225952"/>
          <w:p w:rsidR="00225952" w:rsidRPr="00D747D3" w:rsidRDefault="00225952" w:rsidP="00225952"/>
        </w:tc>
        <w:tc>
          <w:tcPr>
            <w:tcW w:w="7920" w:type="dxa"/>
          </w:tcPr>
          <w:p w:rsidR="00225952" w:rsidRPr="00835D35" w:rsidRDefault="00225952" w:rsidP="00BA4326">
            <w:pPr>
              <w:pStyle w:val="ListParagraph"/>
              <w:numPr>
                <w:ilvl w:val="0"/>
                <w:numId w:val="10"/>
              </w:numPr>
              <w:spacing w:after="60"/>
              <w:ind w:left="878" w:hanging="518"/>
              <w:contextualSpacing w:val="0"/>
              <w:rPr>
                <w:sz w:val="22"/>
              </w:rPr>
            </w:pPr>
            <w:r w:rsidRPr="00835D35">
              <w:rPr>
                <w:sz w:val="22"/>
              </w:rPr>
              <w:t xml:space="preserve">Values shown in the generalized LOS tables are based on the latest </w:t>
            </w:r>
            <w:r w:rsidRPr="00835D35">
              <w:rPr>
                <w:i/>
                <w:sz w:val="22"/>
              </w:rPr>
              <w:t xml:space="preserve">Highway Capacity Manual </w:t>
            </w:r>
            <w:r w:rsidRPr="00835D35">
              <w:rPr>
                <w:sz w:val="22"/>
              </w:rPr>
              <w:t xml:space="preserve">and actual Florida traffic and signalization data, making the tables applicable throughout Florida. However, it is recognized that traffic characteristics vary by area and facility. The tables are guideline estimates of highway LOS. The LOS standards as appropriate must be adhered to in FDOT reviews of LGCPs and DRIs by the FDOT reviewer. The generalized LOS tables represent a first cut at estimating LOS. Because these tables are based on average conditions across Florida, 85 percent of the standard was recommended as a conservative assumption for the conditions that might exist on any particular roadway. </w:t>
            </w:r>
          </w:p>
          <w:p w:rsidR="00225952" w:rsidRPr="00835D35" w:rsidRDefault="00225952" w:rsidP="00225952">
            <w:pPr>
              <w:pStyle w:val="ListParagraph"/>
              <w:spacing w:after="60"/>
              <w:ind w:left="878"/>
              <w:contextualSpacing w:val="0"/>
              <w:rPr>
                <w:sz w:val="22"/>
              </w:rPr>
            </w:pPr>
            <w:r w:rsidRPr="00835D35">
              <w:rPr>
                <w:sz w:val="22"/>
              </w:rPr>
              <w:t>Therefore, a sketch planning level analysis is performed first using the FDOT Generalized LOS Tables. If volumes (background plus development traffic) being analyzed exceed 85 percent of the maximum service volume (MSV) at the LOS standard for the facility, a more detailed analysis may then be required</w:t>
            </w:r>
          </w:p>
          <w:p w:rsidR="00682DDA" w:rsidRPr="00835D35" w:rsidRDefault="00225952" w:rsidP="004B5E07">
            <w:pPr>
              <w:pStyle w:val="ListParagraph"/>
              <w:numPr>
                <w:ilvl w:val="0"/>
                <w:numId w:val="10"/>
              </w:numPr>
              <w:spacing w:afterLines="60"/>
              <w:ind w:left="875" w:hanging="515"/>
              <w:contextualSpacing w:val="0"/>
              <w:rPr>
                <w:sz w:val="22"/>
              </w:rPr>
            </w:pPr>
            <w:r w:rsidRPr="00835D35">
              <w:rPr>
                <w:sz w:val="22"/>
              </w:rPr>
              <w:t>If the background, plus development traffic exceeds 85 percent of the MSV at the LOS standard, then a more detailed planning analysis may be performed using LOSPLAN. The additional detail used to in LOSPLAN may allow the applicant and/or reviewer to gain a better understanding of the possible traffic impacts. LOSPLAN allows consideration of individual intersections; however, the analysis technique is still a sketch conceptual planning tool. It is important to note that when using LOSPLAN, inserting specific traffic inputs (such as K and D factors) without simultaneously addressing key roadway and control inputs (such as effective green time ratios) is inappropriate and will not be accepted by the FDOT.</w:t>
            </w:r>
          </w:p>
          <w:p w:rsidR="00682DDA" w:rsidRPr="00835D35" w:rsidRDefault="00225952" w:rsidP="004B5E07">
            <w:pPr>
              <w:pStyle w:val="ListParagraph"/>
              <w:numPr>
                <w:ilvl w:val="0"/>
                <w:numId w:val="10"/>
              </w:numPr>
              <w:spacing w:afterLines="60"/>
              <w:ind w:left="875" w:hanging="515"/>
              <w:contextualSpacing w:val="0"/>
              <w:rPr>
                <w:sz w:val="22"/>
              </w:rPr>
            </w:pPr>
            <w:r w:rsidRPr="00835D35">
              <w:rPr>
                <w:sz w:val="22"/>
              </w:rPr>
              <w:t xml:space="preserve">If the generalized tables or LOSPLAN do not adequately describe the analysis conditions, the procedures of the latest version of the procedures of the Highway Capacity Manual (such as the Highway Cpacity Software) should be used. </w:t>
            </w:r>
          </w:p>
          <w:p w:rsidR="00682DDA" w:rsidRPr="00835D35" w:rsidRDefault="00225952" w:rsidP="004B5E07">
            <w:pPr>
              <w:pStyle w:val="ListParagraph"/>
              <w:numPr>
                <w:ilvl w:val="0"/>
                <w:numId w:val="10"/>
              </w:numPr>
              <w:spacing w:afterLines="60"/>
              <w:ind w:left="875" w:hanging="515"/>
              <w:contextualSpacing w:val="0"/>
              <w:rPr>
                <w:sz w:val="22"/>
              </w:rPr>
            </w:pPr>
            <w:r w:rsidRPr="00835D35">
              <w:rPr>
                <w:sz w:val="22"/>
              </w:rPr>
              <w:t xml:space="preserve">If additional detail is required in the analysis, more sophisticated models (such as the full Highway Capacity software) may provide guidance to the applicant and reviewer to assist in understanding the existing operating conditions. </w:t>
            </w:r>
          </w:p>
          <w:p w:rsidR="00682DDA" w:rsidRDefault="00225952" w:rsidP="004B5E07">
            <w:pPr>
              <w:pStyle w:val="ListParagraph"/>
              <w:numPr>
                <w:ilvl w:val="0"/>
                <w:numId w:val="10"/>
              </w:numPr>
              <w:spacing w:afterLines="60"/>
              <w:ind w:left="875" w:hanging="515"/>
              <w:contextualSpacing w:val="0"/>
            </w:pPr>
            <w:r w:rsidRPr="00835D35">
              <w:rPr>
                <w:sz w:val="22"/>
              </w:rPr>
              <w:t>During design level analysis associated with determining the geometric and traffic operational requirements of mitigation alternatives, the generalized tables provided in the FDOT Quality/LOS Handbook are not sufficient. The requirements for design level analysis should be reviewed with the FDOT prior to initiating the analysis.</w:t>
            </w:r>
          </w:p>
        </w:tc>
      </w:tr>
      <w:tr w:rsidR="00225952" w:rsidRPr="00380CF5">
        <w:tc>
          <w:tcPr>
            <w:tcW w:w="2455" w:type="dxa"/>
          </w:tcPr>
          <w:p w:rsidR="00225952" w:rsidRDefault="00225952" w:rsidP="00225952">
            <w:pPr>
              <w:pStyle w:val="Heading4"/>
              <w:spacing w:after="120"/>
            </w:pPr>
            <w:r w:rsidRPr="006135BA">
              <w:lastRenderedPageBreak/>
              <w:t xml:space="preserve">Inputs to LOS Analysis </w:t>
            </w:r>
          </w:p>
          <w:p w:rsidR="00225952" w:rsidRPr="003A1355" w:rsidRDefault="00225952" w:rsidP="00225952">
            <w:pPr>
              <w:pStyle w:val="SidebarSentence"/>
            </w:pPr>
            <w:r>
              <w:t>The traffic, control and roadway inputs used in LOS analysis for site impact should be based on local conditions</w:t>
            </w:r>
          </w:p>
        </w:tc>
        <w:tc>
          <w:tcPr>
            <w:tcW w:w="7920" w:type="dxa"/>
          </w:tcPr>
          <w:p w:rsidR="00225952" w:rsidRDefault="00225952" w:rsidP="00706C62">
            <w:r>
              <w:t xml:space="preserve">The traffic characteristic, traffic control features,  and road features used in planning analysis of LOS for site impact analysis, should be based on local conditions. If the conditions are not known, field data should be collected or the assumptions used allowed in the latest version of </w:t>
            </w:r>
            <w:r w:rsidRPr="00296178">
              <w:t>FDOT</w:t>
            </w:r>
            <w:r>
              <w:t>’s</w:t>
            </w:r>
            <w:r w:rsidRPr="00296178">
              <w:t xml:space="preserve"> Quality/</w:t>
            </w:r>
            <w:r>
              <w:t>LOS</w:t>
            </w:r>
            <w:r w:rsidRPr="00296178">
              <w:t xml:space="preserve"> Handbook</w:t>
            </w:r>
            <w:r>
              <w:t xml:space="preserve">, should be used as defaults. In operational and design analysis, all inputs should reflect the conditions existing or anticipated to occur during the analysis period. To ensure that an analysis is consistent with Florida conditions and research, the inputs and volumes should be within the ranges specified in the </w:t>
            </w:r>
            <w:r w:rsidRPr="00296178">
              <w:t>FDOT Quality/</w:t>
            </w:r>
            <w:r>
              <w:t>LOS</w:t>
            </w:r>
            <w:r w:rsidRPr="00296178">
              <w:t xml:space="preserve"> Handbook</w:t>
            </w:r>
            <w:r>
              <w:t>.</w:t>
            </w:r>
          </w:p>
        </w:tc>
      </w:tr>
      <w:tr w:rsidR="00225952" w:rsidRPr="00380CF5">
        <w:tc>
          <w:tcPr>
            <w:tcW w:w="2455" w:type="dxa"/>
          </w:tcPr>
          <w:p w:rsidR="00225952" w:rsidRDefault="00225952">
            <w:pPr>
              <w:pStyle w:val="Heading4"/>
            </w:pPr>
            <w:r w:rsidRPr="008A22C3">
              <w:t>Documentation</w:t>
            </w:r>
          </w:p>
        </w:tc>
        <w:tc>
          <w:tcPr>
            <w:tcW w:w="7920" w:type="dxa"/>
          </w:tcPr>
          <w:p w:rsidR="00225952" w:rsidRDefault="00225952" w:rsidP="00706C62">
            <w:pPr>
              <w:rPr>
                <w:highlight w:val="red"/>
              </w:rPr>
            </w:pPr>
            <w:r>
              <w:t>Following an analysis of existing and future conditions, the results should be documented in figures and tables that include LOS and capacity for each segment and intersection during the peak period in each analysis year.</w:t>
            </w:r>
          </w:p>
        </w:tc>
      </w:tr>
      <w:tr w:rsidR="00225952" w:rsidRPr="005862AE">
        <w:tc>
          <w:tcPr>
            <w:tcW w:w="10375" w:type="dxa"/>
            <w:gridSpan w:val="2"/>
          </w:tcPr>
          <w:p w:rsidR="00225952" w:rsidRDefault="00225952" w:rsidP="00225952">
            <w:pPr>
              <w:pStyle w:val="Heading3"/>
            </w:pPr>
            <w:r w:rsidRPr="006135BA">
              <w:br w:type="page"/>
            </w:r>
            <w:bookmarkStart w:id="101" w:name="_Toc232912676"/>
            <w:bookmarkStart w:id="102" w:name="_Toc264274106"/>
            <w:r w:rsidR="006B7F55">
              <w:t>2.9</w:t>
            </w:r>
            <w:r>
              <w:t xml:space="preserve">.5 </w:t>
            </w:r>
            <w:r w:rsidRPr="006135BA">
              <w:t>Bicycle &amp; Pedestrian LOS Analysis</w:t>
            </w:r>
            <w:bookmarkEnd w:id="101"/>
            <w:bookmarkEnd w:id="102"/>
          </w:p>
        </w:tc>
      </w:tr>
      <w:tr w:rsidR="00225952">
        <w:tc>
          <w:tcPr>
            <w:tcW w:w="2455" w:type="dxa"/>
          </w:tcPr>
          <w:p w:rsidR="00225952" w:rsidRDefault="00225952" w:rsidP="00225952">
            <w:r>
              <w:rPr>
                <w:noProof/>
              </w:rPr>
              <w:drawing>
                <wp:inline distT="0" distB="0" distL="0" distR="0">
                  <wp:extent cx="1054735" cy="1078865"/>
                  <wp:effectExtent l="19050" t="0" r="0" b="0"/>
                  <wp:docPr id="86" name="Picture 86" descr="iStepPedBi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iStepPedBike.png"/>
                          <pic:cNvPicPr>
                            <a:picLocks noChangeAspect="1" noChangeArrowheads="1"/>
                          </pic:cNvPicPr>
                        </pic:nvPicPr>
                        <pic:blipFill>
                          <a:blip r:embed="rId116" cstate="print"/>
                          <a:srcRect/>
                          <a:stretch>
                            <a:fillRect/>
                          </a:stretch>
                        </pic:blipFill>
                        <pic:spPr bwMode="auto">
                          <a:xfrm>
                            <a:off x="0" y="0"/>
                            <a:ext cx="1054735" cy="1078865"/>
                          </a:xfrm>
                          <a:prstGeom prst="rect">
                            <a:avLst/>
                          </a:prstGeom>
                          <a:noFill/>
                          <a:ln w="9525">
                            <a:noFill/>
                            <a:miter lim="800000"/>
                            <a:headEnd/>
                            <a:tailEnd/>
                          </a:ln>
                        </pic:spPr>
                      </pic:pic>
                    </a:graphicData>
                  </a:graphic>
                </wp:inline>
              </w:drawing>
            </w:r>
          </w:p>
        </w:tc>
        <w:tc>
          <w:tcPr>
            <w:tcW w:w="7920" w:type="dxa"/>
          </w:tcPr>
          <w:p w:rsidR="00225952" w:rsidRDefault="00225952" w:rsidP="00706C62">
            <w:r>
              <w:t xml:space="preserve">Bicycle and Pedestrian LOS </w:t>
            </w:r>
            <w:r w:rsidRPr="00495D86">
              <w:t xml:space="preserve">assesses </w:t>
            </w:r>
            <w:r>
              <w:t xml:space="preserve">bicycling and walking conditions </w:t>
            </w:r>
            <w:r w:rsidRPr="00495D86">
              <w:t xml:space="preserve">from </w:t>
            </w:r>
            <w:r>
              <w:t xml:space="preserve">the bicyclist’s or and pedestrian’s </w:t>
            </w:r>
            <w:r w:rsidRPr="00495D86">
              <w:t xml:space="preserve">point-of-view. As with </w:t>
            </w:r>
            <w:r>
              <w:t>automobiles</w:t>
            </w:r>
            <w:r w:rsidRPr="00495D86">
              <w:t xml:space="preserve">, levels of service are used to quantify </w:t>
            </w:r>
            <w:r>
              <w:t xml:space="preserve">bicycle and pedestrian </w:t>
            </w:r>
            <w:r w:rsidRPr="00495D86">
              <w:t>qu</w:t>
            </w:r>
            <w:r>
              <w:t xml:space="preserve">ality </w:t>
            </w:r>
            <w:r w:rsidRPr="00495D86">
              <w:t>of service.</w:t>
            </w:r>
          </w:p>
          <w:p w:rsidR="00225952" w:rsidRDefault="00225952" w:rsidP="00706C62">
            <w:pPr>
              <w:spacing w:after="60"/>
            </w:pPr>
            <w:r>
              <w:t xml:space="preserve">FDOT has adopted the Bicycle LOS Model </w:t>
            </w:r>
            <w:r>
              <w:rPr>
                <w:color w:val="595959"/>
                <w:sz w:val="20"/>
              </w:rPr>
              <w:t>[</w:t>
            </w:r>
            <w:r>
              <w:rPr>
                <w:rFonts w:ascii="Calibri-Italic" w:hAnsi="Calibri-Italic" w:cs="Calibri-Italic"/>
                <w:i/>
                <w:iCs/>
                <w:color w:val="595959"/>
                <w:sz w:val="20"/>
              </w:rPr>
              <w:t>Landis, 1997</w:t>
            </w:r>
            <w:r>
              <w:rPr>
                <w:color w:val="595959"/>
                <w:sz w:val="20"/>
              </w:rPr>
              <w:t>]</w:t>
            </w:r>
            <w:r>
              <w:t>, as the basis for its multimodal planning methodology. It has been successfully applied to over 200,000 miles of roadways in the U.S. (including Florida) and Canada. Because it is an operational model, FDOT, in cooperation with the model developers have made some simplifying assumptions for incorporating it into the 2009 Q/LOS Handbook and accompanying software. The bicycle levels of service are based on five variables listed by relative importance:</w:t>
            </w:r>
          </w:p>
          <w:p w:rsidR="00225952" w:rsidRPr="006F6180" w:rsidRDefault="00225952" w:rsidP="00AD2D7A">
            <w:pPr>
              <w:pStyle w:val="BulletA"/>
              <w:numPr>
                <w:ilvl w:val="0"/>
                <w:numId w:val="138"/>
              </w:numPr>
            </w:pPr>
            <w:r w:rsidRPr="006F6180">
              <w:t>Average effective width of the outside thru lane</w:t>
            </w:r>
          </w:p>
          <w:p w:rsidR="00225952" w:rsidRPr="006F6180" w:rsidRDefault="00225952" w:rsidP="00AD2D7A">
            <w:pPr>
              <w:pStyle w:val="BulletA"/>
              <w:numPr>
                <w:ilvl w:val="0"/>
                <w:numId w:val="138"/>
              </w:numPr>
            </w:pPr>
            <w:r>
              <w:t>M</w:t>
            </w:r>
            <w:r w:rsidRPr="006F6180">
              <w:t>otorized vehicle volumes</w:t>
            </w:r>
          </w:p>
          <w:p w:rsidR="00225952" w:rsidRPr="006F6180" w:rsidRDefault="00225952" w:rsidP="00AD2D7A">
            <w:pPr>
              <w:pStyle w:val="BulletA"/>
              <w:numPr>
                <w:ilvl w:val="0"/>
                <w:numId w:val="138"/>
              </w:numPr>
            </w:pPr>
            <w:r>
              <w:t>M</w:t>
            </w:r>
            <w:r w:rsidRPr="006F6180">
              <w:t>otorized vehicle speeds</w:t>
            </w:r>
          </w:p>
          <w:p w:rsidR="00225952" w:rsidRPr="006F6180" w:rsidRDefault="00225952" w:rsidP="00AD2D7A">
            <w:pPr>
              <w:pStyle w:val="BulletA"/>
              <w:numPr>
                <w:ilvl w:val="0"/>
                <w:numId w:val="138"/>
              </w:numPr>
            </w:pPr>
            <w:r>
              <w:t>H</w:t>
            </w:r>
            <w:r w:rsidRPr="006F6180">
              <w:t>eavy vehicle (truck) volumes</w:t>
            </w:r>
          </w:p>
          <w:p w:rsidR="00225952" w:rsidRDefault="00225952" w:rsidP="00AD2D7A">
            <w:pPr>
              <w:pStyle w:val="BulletA"/>
              <w:numPr>
                <w:ilvl w:val="0"/>
                <w:numId w:val="138"/>
              </w:numPr>
              <w:spacing w:after="120"/>
            </w:pPr>
            <w:r>
              <w:t>P</w:t>
            </w:r>
            <w:r w:rsidRPr="006F6180">
              <w:t>avement condition</w:t>
            </w:r>
          </w:p>
          <w:p w:rsidR="00225952" w:rsidRDefault="00225952" w:rsidP="00706C62">
            <w:pPr>
              <w:spacing w:after="60"/>
            </w:pPr>
            <w:r>
              <w:t>FDOT has developed the Pedestrian LOS Model, as the</w:t>
            </w:r>
            <w:r w:rsidRPr="00451BD5">
              <w:t xml:space="preserve"> </w:t>
            </w:r>
            <w:r>
              <w:t xml:space="preserve">basis for its multimodal planning methodology. It has been successfully applied to cities in Florida and the U.S. Because it is an operational model, FDOT, in cooperation with the model developers have made some simplifying assumptions for incorporation into the 2009 Q/LOS Handbook and accompanying software. The pedestrian levels of service are based on four variables listed by relative importance: </w:t>
            </w:r>
          </w:p>
          <w:p w:rsidR="00835D35" w:rsidRDefault="00835D35" w:rsidP="00706C62">
            <w:pPr>
              <w:spacing w:after="60"/>
            </w:pPr>
          </w:p>
          <w:p w:rsidR="00835D35" w:rsidRDefault="00835D35" w:rsidP="00706C62">
            <w:pPr>
              <w:spacing w:after="60"/>
            </w:pPr>
          </w:p>
          <w:p w:rsidR="00225952" w:rsidRPr="00451BD5" w:rsidRDefault="00225952" w:rsidP="00AD2D7A">
            <w:pPr>
              <w:pStyle w:val="BulletA"/>
              <w:numPr>
                <w:ilvl w:val="0"/>
                <w:numId w:val="139"/>
              </w:numPr>
            </w:pPr>
            <w:r w:rsidRPr="00451BD5">
              <w:lastRenderedPageBreak/>
              <w:t>Existence of a sidewalk</w:t>
            </w:r>
          </w:p>
          <w:p w:rsidR="00225952" w:rsidRPr="00451BD5" w:rsidRDefault="00225952" w:rsidP="00AD2D7A">
            <w:pPr>
              <w:pStyle w:val="BulletA"/>
              <w:numPr>
                <w:ilvl w:val="0"/>
                <w:numId w:val="139"/>
              </w:numPr>
            </w:pPr>
            <w:r w:rsidRPr="00451BD5">
              <w:t>Lateral separation of pedestrians from motorized vehicles</w:t>
            </w:r>
          </w:p>
          <w:p w:rsidR="00225952" w:rsidRPr="00451BD5" w:rsidRDefault="00225952" w:rsidP="00AD2D7A">
            <w:pPr>
              <w:pStyle w:val="BulletA"/>
              <w:numPr>
                <w:ilvl w:val="0"/>
                <w:numId w:val="139"/>
              </w:numPr>
            </w:pPr>
            <w:r w:rsidRPr="00451BD5">
              <w:t>Motorized vehicle volumes</w:t>
            </w:r>
          </w:p>
          <w:p w:rsidR="00225952" w:rsidRDefault="00225952" w:rsidP="00AD2D7A">
            <w:pPr>
              <w:pStyle w:val="BulletA"/>
              <w:numPr>
                <w:ilvl w:val="0"/>
                <w:numId w:val="139"/>
              </w:numPr>
              <w:spacing w:after="120"/>
            </w:pPr>
            <w:r w:rsidRPr="00451BD5">
              <w:t>Motorized vehicle speeds</w:t>
            </w:r>
          </w:p>
          <w:p w:rsidR="00225952" w:rsidRDefault="00225952" w:rsidP="00706C62">
            <w:r>
              <w:t>These models may be used in partial fulfillment of the multimodal analysis requirements of FDOT and other local agencies. Requirements for use of the models should be confirmed with FDOT on a project-specific basis. Specific details about the models are available in the FDOT Q</w:t>
            </w:r>
            <w:r w:rsidRPr="00296178">
              <w:t>/</w:t>
            </w:r>
            <w:r>
              <w:t>LOS</w:t>
            </w:r>
            <w:r w:rsidRPr="00296178">
              <w:t xml:space="preserve"> Handbook</w:t>
            </w:r>
            <w:r>
              <w:t>. In addition, NCHRP Report 616 is a new tool for conducting more detailed pedestrian and bicycle LOS analysis. It is described below in the Multimodal LOS section.</w:t>
            </w:r>
          </w:p>
        </w:tc>
      </w:tr>
      <w:tr w:rsidR="00225952" w:rsidRPr="00380CF5">
        <w:tc>
          <w:tcPr>
            <w:tcW w:w="10375" w:type="dxa"/>
            <w:gridSpan w:val="2"/>
          </w:tcPr>
          <w:p w:rsidR="00225952" w:rsidRDefault="006B7F55" w:rsidP="00225952">
            <w:pPr>
              <w:pStyle w:val="Heading3"/>
            </w:pPr>
            <w:bookmarkStart w:id="103" w:name="_Toc232912675"/>
            <w:bookmarkStart w:id="104" w:name="_Toc264274107"/>
            <w:r>
              <w:lastRenderedPageBreak/>
              <w:t>2.9</w:t>
            </w:r>
            <w:r w:rsidR="00225952">
              <w:t>.6  M</w:t>
            </w:r>
            <w:r w:rsidR="00225952" w:rsidRPr="006135BA">
              <w:t>ore Detailed Transit Quality of Service</w:t>
            </w:r>
            <w:bookmarkEnd w:id="103"/>
            <w:r w:rsidR="00225952" w:rsidRPr="006135BA">
              <w:t xml:space="preserve"> Tools</w:t>
            </w:r>
            <w:bookmarkEnd w:id="104"/>
          </w:p>
        </w:tc>
      </w:tr>
      <w:tr w:rsidR="00225952" w:rsidRPr="00380CF5">
        <w:tc>
          <w:tcPr>
            <w:tcW w:w="2455" w:type="dxa"/>
          </w:tcPr>
          <w:p w:rsidR="00225952" w:rsidRDefault="00225952" w:rsidP="00225952">
            <w:pPr>
              <w:pStyle w:val="SidebarSentence"/>
              <w:rPr>
                <w:noProof/>
              </w:rPr>
            </w:pPr>
            <w:r>
              <w:rPr>
                <w:noProof/>
              </w:rPr>
              <w:drawing>
                <wp:inline distT="0" distB="0" distL="0" distR="0">
                  <wp:extent cx="1054735" cy="1054735"/>
                  <wp:effectExtent l="19050" t="0" r="0" b="0"/>
                  <wp:docPr id="124" name="Picture 87" descr="iStepTrans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iStepTransit.png"/>
                          <pic:cNvPicPr>
                            <a:picLocks noChangeAspect="1" noChangeArrowheads="1"/>
                          </pic:cNvPicPr>
                        </pic:nvPicPr>
                        <pic:blipFill>
                          <a:blip r:embed="rId117" cstate="print"/>
                          <a:srcRect/>
                          <a:stretch>
                            <a:fillRect/>
                          </a:stretch>
                        </pic:blipFill>
                        <pic:spPr bwMode="auto">
                          <a:xfrm>
                            <a:off x="0" y="0"/>
                            <a:ext cx="1054735" cy="1054735"/>
                          </a:xfrm>
                          <a:prstGeom prst="rect">
                            <a:avLst/>
                          </a:prstGeom>
                          <a:noFill/>
                          <a:ln w="9525">
                            <a:noFill/>
                            <a:miter lim="800000"/>
                            <a:headEnd/>
                            <a:tailEnd/>
                          </a:ln>
                        </pic:spPr>
                      </pic:pic>
                    </a:graphicData>
                  </a:graphic>
                </wp:inline>
              </w:drawing>
            </w:r>
          </w:p>
        </w:tc>
        <w:tc>
          <w:tcPr>
            <w:tcW w:w="7920" w:type="dxa"/>
          </w:tcPr>
          <w:p w:rsidR="00225952" w:rsidRDefault="00225952" w:rsidP="00706C62">
            <w:r w:rsidRPr="00495D86">
              <w:t xml:space="preserve">Transit quality of service assesses transit performance from the passenger point-of-view. As with other travel modes, levels of service are used to quantify transit quality of service. Techniques for evaluating transit quality of service are not yet as well-established as those for highway quality of service, and the techniques continue to be developed and refined. </w:t>
            </w:r>
            <w:r>
              <w:t>The</w:t>
            </w:r>
            <w:r w:rsidRPr="00495D86">
              <w:t xml:space="preserve"> two </w:t>
            </w:r>
            <w:r>
              <w:t>national</w:t>
            </w:r>
            <w:r w:rsidRPr="00495D86">
              <w:t xml:space="preserve"> resource documents </w:t>
            </w:r>
            <w:r>
              <w:t>most frequently used to assess</w:t>
            </w:r>
            <w:r w:rsidRPr="00495D86">
              <w:t xml:space="preserve"> transit </w:t>
            </w:r>
            <w:r>
              <w:t xml:space="preserve">LOS are the </w:t>
            </w:r>
            <w:r>
              <w:rPr>
                <w:noProof/>
              </w:rPr>
              <w:t xml:space="preserve">Transit Capacity and Quality of Service Manual, 2nd Edition (TCQSM),  and </w:t>
            </w:r>
            <w:r w:rsidRPr="0033401D">
              <w:rPr>
                <w:i/>
              </w:rPr>
              <w:t>National Cooperative Highway Research Program (NCHRP) Report 616: Multimodal Level of Service Analysis for Urban Streets</w:t>
            </w:r>
            <w:r w:rsidRPr="00495D86">
              <w:t>.</w:t>
            </w:r>
            <w:r>
              <w:t xml:space="preserve"> </w:t>
            </w:r>
          </w:p>
          <w:p w:rsidR="00225952" w:rsidRPr="00495D86" w:rsidRDefault="00225952" w:rsidP="00706C62">
            <w:r>
              <w:t xml:space="preserve">At a state level, the </w:t>
            </w:r>
            <w:hyperlink r:id="rId118" w:history="1">
              <w:r w:rsidRPr="00012AC6">
                <w:rPr>
                  <w:rStyle w:val="Hyperlink"/>
                  <w:rFonts w:cstheme="minorBidi"/>
                </w:rPr>
                <w:t>FDOT Q/LOS Handbook</w:t>
              </w:r>
            </w:hyperlink>
            <w:r>
              <w:t xml:space="preserve"> summarizes the planning level methodologies developed by FDOT to assess transit (currently limited to scheduled fixed route bus service), provides guidance on the application and limitations of existing FDOT transit assessment methodologies, and includes generalized planning applications to assess transit LOS (included as part of the generalized tables that are typically used for roadway assessments).</w:t>
            </w:r>
          </w:p>
        </w:tc>
      </w:tr>
      <w:tr w:rsidR="00225952" w:rsidRPr="00380CF5">
        <w:tc>
          <w:tcPr>
            <w:tcW w:w="2455" w:type="dxa"/>
          </w:tcPr>
          <w:p w:rsidR="00225952" w:rsidRDefault="00225952" w:rsidP="00225952">
            <w:pPr>
              <w:pStyle w:val="Heading4"/>
            </w:pPr>
            <w:r w:rsidRPr="00B77D81">
              <w:rPr>
                <w:b w:val="0"/>
                <w:noProof/>
              </w:rPr>
              <w:t>The Transit Capacity and Quality of Service Manual</w:t>
            </w:r>
            <w:r>
              <w:t xml:space="preserve"> </w:t>
            </w:r>
            <w:r w:rsidRPr="00012AC6">
              <w:rPr>
                <w:b w:val="0"/>
              </w:rPr>
              <w:t>(TCQSM)</w:t>
            </w:r>
          </w:p>
          <w:p w:rsidR="00835D35" w:rsidRDefault="00835D35" w:rsidP="00225952">
            <w:pPr>
              <w:pStyle w:val="SidebarSentence"/>
            </w:pPr>
          </w:p>
          <w:p w:rsidR="00225952" w:rsidRDefault="00F32EC9" w:rsidP="00B8640B">
            <w:pPr>
              <w:pStyle w:val="SidebarSentence"/>
              <w:spacing w:after="0"/>
            </w:pPr>
            <w:r w:rsidRPr="00F32EC9">
              <w:rPr>
                <w:noProof/>
              </w:rPr>
              <w:drawing>
                <wp:inline distT="0" distB="0" distL="0" distR="0">
                  <wp:extent cx="1391920" cy="543560"/>
                  <wp:effectExtent l="19050" t="0" r="0" b="0"/>
                  <wp:docPr id="228" name="Picture 90" descr="button_PDFlink.png">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button_PDFlink.png"/>
                          <pic:cNvPicPr>
                            <a:picLocks noChangeAspect="1" noChangeArrowheads="1"/>
                          </pic:cNvPicPr>
                        </pic:nvPicPr>
                        <pic:blipFill>
                          <a:blip r:embed="rId15" cstate="print"/>
                          <a:srcRect/>
                          <a:stretch>
                            <a:fillRect/>
                          </a:stretch>
                        </pic:blipFill>
                        <pic:spPr bwMode="auto">
                          <a:xfrm>
                            <a:off x="0" y="0"/>
                            <a:ext cx="1391920" cy="543560"/>
                          </a:xfrm>
                          <a:prstGeom prst="rect">
                            <a:avLst/>
                          </a:prstGeom>
                          <a:noFill/>
                          <a:ln w="9525">
                            <a:noFill/>
                            <a:miter lim="800000"/>
                            <a:headEnd/>
                            <a:tailEnd/>
                          </a:ln>
                        </pic:spPr>
                      </pic:pic>
                    </a:graphicData>
                  </a:graphic>
                </wp:inline>
              </w:drawing>
            </w:r>
          </w:p>
          <w:p w:rsidR="00B8640B" w:rsidRDefault="00225952" w:rsidP="00B8640B">
            <w:pPr>
              <w:pStyle w:val="SidebarSentence"/>
              <w:jc w:val="center"/>
            </w:pPr>
            <w:r>
              <w:t xml:space="preserve">NCHRP 616 </w:t>
            </w:r>
          </w:p>
          <w:p w:rsidR="00835D35" w:rsidRDefault="00835D35" w:rsidP="00012AC6">
            <w:pPr>
              <w:pStyle w:val="SidebarSentence"/>
              <w:ind w:left="144" w:right="0"/>
            </w:pPr>
          </w:p>
          <w:p w:rsidR="00225952" w:rsidRDefault="00835D35" w:rsidP="00012AC6">
            <w:pPr>
              <w:pStyle w:val="SidebarSentence"/>
              <w:ind w:left="144" w:right="0"/>
            </w:pPr>
            <w:r>
              <w:lastRenderedPageBreak/>
              <w:t xml:space="preserve">NCHRP 616 </w:t>
            </w:r>
            <w:r w:rsidR="00225952">
              <w:t>offers a method for assessing how well an urban street serves the needs of multiple users</w:t>
            </w:r>
          </w:p>
          <w:p w:rsidR="00225952" w:rsidRDefault="00225952" w:rsidP="00F32EC9">
            <w:pPr>
              <w:pStyle w:val="HeadSide20"/>
            </w:pPr>
          </w:p>
        </w:tc>
        <w:tc>
          <w:tcPr>
            <w:tcW w:w="7920" w:type="dxa"/>
          </w:tcPr>
          <w:p w:rsidR="005B4AC0" w:rsidRPr="00835D35" w:rsidRDefault="00225952" w:rsidP="00012AC6">
            <w:pPr>
              <w:rPr>
                <w:noProof/>
              </w:rPr>
            </w:pPr>
            <w:r w:rsidRPr="00B77D81">
              <w:rPr>
                <w:b/>
                <w:noProof/>
              </w:rPr>
              <w:lastRenderedPageBreak/>
              <w:t>The Transit Capacity and Quality of Service Manual,</w:t>
            </w:r>
            <w:r>
              <w:rPr>
                <w:noProof/>
              </w:rPr>
              <w:t xml:space="preserve"> 2nd Edition (TCQSM) is the transit counterpart to the Highway Capacity Manual. Published by the Transportation Research Board (TRB) as Transit Cooperative Research Program (TCRP) </w:t>
            </w:r>
            <w:hyperlink r:id="rId120" w:history="1">
              <w:r w:rsidRPr="00012AC6">
                <w:rPr>
                  <w:rStyle w:val="Hyperlink"/>
                  <w:rFonts w:cstheme="minorBidi"/>
                  <w:noProof/>
                </w:rPr>
                <w:t>Report 100</w:t>
              </w:r>
            </w:hyperlink>
            <w:r>
              <w:rPr>
                <w:noProof/>
              </w:rPr>
              <w:t>, the TCQSM is a nationally recognized document that provides standard procedures for measuring transit c</w:t>
            </w:r>
            <w:r w:rsidR="00012AC6">
              <w:rPr>
                <w:noProof/>
              </w:rPr>
              <w:t>apacity and quality of service.</w:t>
            </w:r>
          </w:p>
          <w:p w:rsidR="005B4AC0" w:rsidRDefault="005B4AC0" w:rsidP="00012AC6">
            <w:r>
              <w:rPr>
                <w:b/>
              </w:rPr>
              <w:t xml:space="preserve">NCHRP Report 616 </w:t>
            </w:r>
            <w:r w:rsidRPr="00B77D81">
              <w:rPr>
                <w:b/>
              </w:rPr>
              <w:t>Multimodal Level of Service Analysis for Urban Streets</w:t>
            </w:r>
          </w:p>
          <w:p w:rsidR="00225952" w:rsidRPr="00495D86" w:rsidRDefault="00225952" w:rsidP="005B4AC0">
            <w:r>
              <w:t xml:space="preserve">TRB’s </w:t>
            </w:r>
            <w:r w:rsidRPr="0033401D">
              <w:rPr>
                <w:i/>
              </w:rPr>
              <w:t>National Cooperative Highway Research Program (NCHRP) Report 616: Multimodal Level of Service Analysis for Urban Streets</w:t>
            </w:r>
            <w:r>
              <w:t xml:space="preserve"> offers a method for assessing how well an urban street serves the needs of multiple users.  This method provides four models for estimating auto, bus, bicycle, and pedestrian </w:t>
            </w:r>
            <w:r>
              <w:lastRenderedPageBreak/>
              <w:t>LOS, respectively, on an urban street. The models use a combination of readily available data and data normally gathered by an agency to assess auto and transit LOS.</w:t>
            </w:r>
          </w:p>
        </w:tc>
      </w:tr>
      <w:tr w:rsidR="00225952" w:rsidRPr="00380CF5">
        <w:tc>
          <w:tcPr>
            <w:tcW w:w="2455" w:type="dxa"/>
          </w:tcPr>
          <w:p w:rsidR="00012AC6" w:rsidRDefault="00012AC6" w:rsidP="000B2C1D">
            <w:pPr>
              <w:spacing w:after="0"/>
              <w:rPr>
                <w:noProof/>
              </w:rPr>
            </w:pPr>
            <w:r w:rsidRPr="000B2C1D">
              <w:rPr>
                <w:noProof/>
              </w:rPr>
              <w:lastRenderedPageBreak/>
              <w:drawing>
                <wp:inline distT="0" distB="0" distL="0" distR="0">
                  <wp:extent cx="1391920" cy="543560"/>
                  <wp:effectExtent l="19050" t="0" r="0" b="0"/>
                  <wp:docPr id="547" name="Picture 90" descr="button_PDFlink.png">
                    <a:hlinkClick xmlns:a="http://schemas.openxmlformats.org/drawingml/2006/main" r:id="rId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button_PDFlink.png"/>
                          <pic:cNvPicPr>
                            <a:picLocks noChangeAspect="1" noChangeArrowheads="1"/>
                          </pic:cNvPicPr>
                        </pic:nvPicPr>
                        <pic:blipFill>
                          <a:blip r:embed="rId15" cstate="print"/>
                          <a:srcRect/>
                          <a:stretch>
                            <a:fillRect/>
                          </a:stretch>
                        </pic:blipFill>
                        <pic:spPr bwMode="auto">
                          <a:xfrm>
                            <a:off x="0" y="0"/>
                            <a:ext cx="1391920" cy="543560"/>
                          </a:xfrm>
                          <a:prstGeom prst="rect">
                            <a:avLst/>
                          </a:prstGeom>
                          <a:noFill/>
                          <a:ln w="9525">
                            <a:noFill/>
                            <a:miter lim="800000"/>
                            <a:headEnd/>
                            <a:tailEnd/>
                          </a:ln>
                        </pic:spPr>
                      </pic:pic>
                    </a:graphicData>
                  </a:graphic>
                </wp:inline>
              </w:drawing>
            </w:r>
          </w:p>
          <w:p w:rsidR="00012AC6" w:rsidRPr="00012AC6" w:rsidRDefault="00012AC6" w:rsidP="00012AC6">
            <w:pPr>
              <w:pStyle w:val="HeadSide20"/>
              <w:spacing w:after="360"/>
              <w:jc w:val="center"/>
            </w:pPr>
            <w:r>
              <w:t>MMLOS User Guide</w:t>
            </w:r>
          </w:p>
          <w:p w:rsidR="00225952" w:rsidRDefault="00F32EC9" w:rsidP="000B2C1D">
            <w:pPr>
              <w:spacing w:after="0"/>
              <w:rPr>
                <w:noProof/>
              </w:rPr>
            </w:pPr>
            <w:r w:rsidRPr="000B2C1D">
              <w:rPr>
                <w:noProof/>
              </w:rPr>
              <w:drawing>
                <wp:inline distT="0" distB="0" distL="0" distR="0">
                  <wp:extent cx="1381721" cy="543560"/>
                  <wp:effectExtent l="19050" t="0" r="8929" b="0"/>
                  <wp:docPr id="229" name="Picture 90" descr="button_PDFlink.png">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button_PDFlink.png"/>
                          <pic:cNvPicPr>
                            <a:picLocks noChangeAspect="1" noChangeArrowheads="1"/>
                          </pic:cNvPicPr>
                        </pic:nvPicPr>
                        <pic:blipFill>
                          <a:blip r:embed="rId26" cstate="print"/>
                          <a:stretch>
                            <a:fillRect/>
                          </a:stretch>
                        </pic:blipFill>
                        <pic:spPr bwMode="auto">
                          <a:xfrm>
                            <a:off x="0" y="0"/>
                            <a:ext cx="1381721" cy="543560"/>
                          </a:xfrm>
                          <a:prstGeom prst="rect">
                            <a:avLst/>
                          </a:prstGeom>
                          <a:noFill/>
                          <a:ln w="9525">
                            <a:noFill/>
                            <a:miter lim="800000"/>
                            <a:headEnd/>
                            <a:tailEnd/>
                          </a:ln>
                        </pic:spPr>
                      </pic:pic>
                    </a:graphicData>
                  </a:graphic>
                </wp:inline>
              </w:drawing>
            </w:r>
          </w:p>
          <w:p w:rsidR="00F32EC9" w:rsidRPr="00F32EC9" w:rsidRDefault="00B8640B" w:rsidP="00F32EC9">
            <w:pPr>
              <w:pStyle w:val="HeadSide20"/>
              <w:jc w:val="center"/>
            </w:pPr>
            <w:r>
              <w:rPr>
                <w:noProof/>
              </w:rPr>
              <w:t>TCQSM</w:t>
            </w:r>
          </w:p>
        </w:tc>
        <w:tc>
          <w:tcPr>
            <w:tcW w:w="7920" w:type="dxa"/>
          </w:tcPr>
          <w:p w:rsidR="00225952" w:rsidRPr="00495D86" w:rsidRDefault="00012AC6" w:rsidP="00A1003E">
            <w:r w:rsidRPr="00B77D81">
              <w:rPr>
                <w:b/>
              </w:rPr>
              <w:t>Multimodal Level of Service Analysis for Urban Streets: Users Guide</w:t>
            </w:r>
            <w:r>
              <w:br/>
            </w:r>
            <w:r w:rsidR="00A1003E">
              <w:t>T</w:t>
            </w:r>
            <w:r w:rsidR="00225952">
              <w:t>he Multi Modal Level of Service (</w:t>
            </w:r>
            <w:r w:rsidR="00225952" w:rsidRPr="00B77D81">
              <w:rPr>
                <w:b/>
              </w:rPr>
              <w:t>MMLOS</w:t>
            </w:r>
            <w:r w:rsidR="00225952">
              <w:t xml:space="preserve">) method is particularly suited for the evaluation of urban arterial streets, and less so for route  and system-level evaluations, thus serving as a complement to the </w:t>
            </w:r>
            <w:r w:rsidR="00225952" w:rsidRPr="004A70B6">
              <w:rPr>
                <w:b/>
              </w:rPr>
              <w:t>Transit Capacity and Quality of Service Manual</w:t>
            </w:r>
            <w:r w:rsidR="00225952" w:rsidRPr="004A70B6">
              <w:t xml:space="preserve"> </w:t>
            </w:r>
            <w:r w:rsidR="00225952">
              <w:t>(TCQSM) methods. The two methods are similar in that there is considerable overlap between the quality-of-service factors incorporated into each method. In addition, the MMLOS method will result in the same LOS as the TCQSM’s frequency measure, in the specific case when an uncrowded bus route operates at a given frequency at exactly a baseline speed (12 or 15 mph, depending on the location).</w:t>
            </w:r>
          </w:p>
        </w:tc>
      </w:tr>
      <w:tr w:rsidR="00225952" w:rsidRPr="00380CF5">
        <w:tc>
          <w:tcPr>
            <w:tcW w:w="2455" w:type="dxa"/>
          </w:tcPr>
          <w:p w:rsidR="00225952" w:rsidRDefault="00225952" w:rsidP="00225952">
            <w:pPr>
              <w:pStyle w:val="SidebarSentence"/>
            </w:pPr>
          </w:p>
          <w:p w:rsidR="00225952" w:rsidRDefault="00225952" w:rsidP="00225952">
            <w:pPr>
              <w:pStyle w:val="SidebarSentence"/>
            </w:pPr>
          </w:p>
          <w:p w:rsidR="00225952" w:rsidRDefault="00225952" w:rsidP="00225952">
            <w:pPr>
              <w:pStyle w:val="SidebarSentence"/>
            </w:pPr>
          </w:p>
          <w:p w:rsidR="00225952" w:rsidRDefault="00225952" w:rsidP="00225952">
            <w:pPr>
              <w:pStyle w:val="SidebarSentence"/>
            </w:pPr>
          </w:p>
          <w:p w:rsidR="00225952" w:rsidRDefault="00225952" w:rsidP="00225952">
            <w:pPr>
              <w:pStyle w:val="SidebarSentence"/>
            </w:pPr>
          </w:p>
          <w:p w:rsidR="00225952" w:rsidRPr="006135BA" w:rsidRDefault="00225952" w:rsidP="00225952">
            <w:pPr>
              <w:pStyle w:val="Heading3"/>
            </w:pPr>
          </w:p>
          <w:p w:rsidR="00225952" w:rsidRDefault="00225952" w:rsidP="00225952"/>
          <w:p w:rsidR="00225952" w:rsidRDefault="00225952" w:rsidP="00225952"/>
          <w:p w:rsidR="00225952" w:rsidRDefault="00225952" w:rsidP="00225952"/>
          <w:p w:rsidR="00225952" w:rsidRDefault="00225952" w:rsidP="00225952"/>
          <w:p w:rsidR="00225952" w:rsidRDefault="00225952" w:rsidP="00225952"/>
          <w:p w:rsidR="00225952" w:rsidRDefault="00225952" w:rsidP="00706C62">
            <w:pPr>
              <w:spacing w:after="0"/>
            </w:pPr>
            <w:r>
              <w:rPr>
                <w:noProof/>
              </w:rPr>
              <w:drawing>
                <wp:inline distT="0" distB="0" distL="0" distR="0">
                  <wp:extent cx="1391920" cy="543560"/>
                  <wp:effectExtent l="19050" t="0" r="0" b="0"/>
                  <wp:docPr id="90" name="Picture 90" descr="button_PDFlink.png">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button_PDFlink.png"/>
                          <pic:cNvPicPr>
                            <a:picLocks noChangeAspect="1" noChangeArrowheads="1"/>
                          </pic:cNvPicPr>
                        </pic:nvPicPr>
                        <pic:blipFill>
                          <a:blip r:embed="rId15" cstate="print"/>
                          <a:srcRect/>
                          <a:stretch>
                            <a:fillRect/>
                          </a:stretch>
                        </pic:blipFill>
                        <pic:spPr bwMode="auto">
                          <a:xfrm>
                            <a:off x="0" y="0"/>
                            <a:ext cx="1391920" cy="543560"/>
                          </a:xfrm>
                          <a:prstGeom prst="rect">
                            <a:avLst/>
                          </a:prstGeom>
                          <a:noFill/>
                          <a:ln w="9525">
                            <a:noFill/>
                            <a:miter lim="800000"/>
                            <a:headEnd/>
                            <a:tailEnd/>
                          </a:ln>
                        </pic:spPr>
                      </pic:pic>
                    </a:graphicData>
                  </a:graphic>
                </wp:inline>
              </w:drawing>
            </w:r>
          </w:p>
          <w:p w:rsidR="00706C62" w:rsidRDefault="00706C62" w:rsidP="00706C62">
            <w:pPr>
              <w:pStyle w:val="HeadSide20"/>
              <w:jc w:val="center"/>
            </w:pPr>
            <w:r>
              <w:t>Q/LOS Handbook</w:t>
            </w:r>
          </w:p>
          <w:p w:rsidR="00706C62" w:rsidRDefault="00706C62"/>
        </w:tc>
        <w:tc>
          <w:tcPr>
            <w:tcW w:w="7920" w:type="dxa"/>
          </w:tcPr>
          <w:p w:rsidR="00225952" w:rsidRDefault="00225952" w:rsidP="00225952">
            <w:r>
              <w:t>A key difference between the TCQSM and the MMLOS method is in the measures used to determine LOS. The TCQSM’s LOS measures can be directly measured in the field and have units associated with them (e.g., buses per hour or standing area per passenger). In contrast, the MMLOS method is based on a measure that blends multiple factors (frequency, speed, reliability, crowding, and bus stop amenities) into a single, unit-less traveler-perception index. Although the factors used to develop the MMLOS index are all field-measurable, the final index value itself cannot be directly measured and any given index value can result from multiple combinations of quality-of-service factors. One advantage of the MMLOS index, though, is that it can be directly compared to the index values produced by the other modal models. As a result, LOS C for transit should represent a comparable level of satisfaction for transit passengers as LOS C would for bicyclists. The LOS values produced by other methods cannot necessarily be compared with each other in that manner.</w:t>
            </w:r>
          </w:p>
          <w:p w:rsidR="00225952" w:rsidRDefault="00225952" w:rsidP="00225952">
            <w:r>
              <w:t>The transit assessment methodology contained in the FDOT Q</w:t>
            </w:r>
            <w:r w:rsidRPr="00251CFA">
              <w:t>/LOS Handbook</w:t>
            </w:r>
            <w:r>
              <w:t xml:space="preserve"> is based on TCQSM technique. In conducting an analysis of scheduled fix route bus transit using the FDOT methodologies, it is important to understand the fundamental assumptions described in the FDOT Quality/LOS Handbook. For detailed transit planning applications, operational assessments, and assessments for other types of transit systems (for example demand responsive systems), more advanced applications may be needed.</w:t>
            </w:r>
          </w:p>
        </w:tc>
      </w:tr>
    </w:tbl>
    <w:p w:rsidR="0021455D" w:rsidRDefault="0021455D">
      <w:pPr>
        <w:pStyle w:val="Heading2"/>
        <w:sectPr w:rsidR="0021455D" w:rsidSect="00832911">
          <w:headerReference w:type="even" r:id="rId122"/>
          <w:headerReference w:type="default" r:id="rId123"/>
          <w:footerReference w:type="even" r:id="rId124"/>
          <w:headerReference w:type="first" r:id="rId125"/>
          <w:footerReference w:type="first" r:id="rId126"/>
          <w:pgSz w:w="12240" w:h="15840"/>
          <w:pgMar w:top="1440" w:right="720" w:bottom="1440" w:left="1152" w:header="720" w:footer="720" w:gutter="0"/>
          <w:cols w:space="720"/>
          <w:docGrid w:linePitch="360"/>
        </w:sectPr>
      </w:pPr>
      <w:bookmarkStart w:id="105" w:name="_Toc232912677"/>
    </w:p>
    <w:p w:rsidR="0021455D" w:rsidRDefault="0021455D">
      <w:pPr>
        <w:pStyle w:val="Heading2"/>
        <w:sectPr w:rsidR="0021455D" w:rsidSect="0021455D">
          <w:type w:val="continuous"/>
          <w:pgSz w:w="12240" w:h="15840"/>
          <w:pgMar w:top="1440" w:right="720" w:bottom="1440" w:left="1152" w:header="720" w:footer="720" w:gutter="0"/>
          <w:cols w:space="720"/>
          <w:docGrid w:linePitch="360"/>
        </w:sectPr>
      </w:pPr>
    </w:p>
    <w:tbl>
      <w:tblPr>
        <w:tblW w:w="10375" w:type="dxa"/>
        <w:tblLayout w:type="fixed"/>
        <w:tblLook w:val="0000"/>
      </w:tblPr>
      <w:tblGrid>
        <w:gridCol w:w="2455"/>
        <w:gridCol w:w="7920"/>
      </w:tblGrid>
      <w:tr w:rsidR="00225952" w:rsidRPr="00380CF5" w:rsidTr="004E6FF5">
        <w:tc>
          <w:tcPr>
            <w:tcW w:w="10375" w:type="dxa"/>
            <w:gridSpan w:val="2"/>
          </w:tcPr>
          <w:p w:rsidR="00225952" w:rsidRDefault="006B7F55">
            <w:pPr>
              <w:pStyle w:val="Heading2"/>
            </w:pPr>
            <w:bookmarkStart w:id="106" w:name="_Toc264274108"/>
            <w:r>
              <w:lastRenderedPageBreak/>
              <w:t>2.10</w:t>
            </w:r>
            <w:r w:rsidR="00225952" w:rsidRPr="006135BA">
              <w:t xml:space="preserve"> Access Management, Site Access, and Internal Circulation</w:t>
            </w:r>
            <w:bookmarkEnd w:id="105"/>
            <w:bookmarkEnd w:id="106"/>
            <w:r w:rsidR="00225952" w:rsidRPr="006135BA">
              <w:t xml:space="preserve"> </w:t>
            </w:r>
          </w:p>
        </w:tc>
      </w:tr>
      <w:tr w:rsidR="00225952" w:rsidRPr="00380CF5" w:rsidTr="004E6FF5">
        <w:tc>
          <w:tcPr>
            <w:tcW w:w="2455" w:type="dxa"/>
          </w:tcPr>
          <w:p w:rsidR="00225952" w:rsidRDefault="00225952" w:rsidP="00225952">
            <w:pPr>
              <w:pStyle w:val="SidebarSentence"/>
            </w:pPr>
            <w:r>
              <w:rPr>
                <w:noProof/>
              </w:rPr>
              <w:drawing>
                <wp:inline distT="0" distB="0" distL="0" distR="0">
                  <wp:extent cx="1021715" cy="1021715"/>
                  <wp:effectExtent l="19050" t="0" r="6985" b="0"/>
                  <wp:docPr id="93" name="Picture 93" descr="iStep11Acc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iStep11Access.png"/>
                          <pic:cNvPicPr>
                            <a:picLocks noChangeAspect="1" noChangeArrowheads="1"/>
                          </pic:cNvPicPr>
                        </pic:nvPicPr>
                        <pic:blipFill>
                          <a:blip r:embed="rId127" cstate="print"/>
                          <a:srcRect/>
                          <a:stretch>
                            <a:fillRect/>
                          </a:stretch>
                        </pic:blipFill>
                        <pic:spPr bwMode="auto">
                          <a:xfrm>
                            <a:off x="0" y="0"/>
                            <a:ext cx="1021715" cy="1021715"/>
                          </a:xfrm>
                          <a:prstGeom prst="rect">
                            <a:avLst/>
                          </a:prstGeom>
                          <a:noFill/>
                          <a:ln w="9525">
                            <a:noFill/>
                            <a:miter lim="800000"/>
                            <a:headEnd/>
                            <a:tailEnd/>
                          </a:ln>
                        </pic:spPr>
                      </pic:pic>
                    </a:graphicData>
                  </a:graphic>
                </wp:inline>
              </w:drawing>
            </w:r>
          </w:p>
          <w:p w:rsidR="00225952" w:rsidRDefault="00225952" w:rsidP="00225952">
            <w:pPr>
              <w:pStyle w:val="SidebarSentence"/>
            </w:pPr>
          </w:p>
          <w:p w:rsidR="00225952" w:rsidRDefault="00225952" w:rsidP="00225952">
            <w:pPr>
              <w:pStyle w:val="SidebarSentence"/>
            </w:pPr>
          </w:p>
          <w:p w:rsidR="00225952" w:rsidRDefault="00225952" w:rsidP="00225952">
            <w:pPr>
              <w:pStyle w:val="SidebarSentence"/>
            </w:pPr>
          </w:p>
          <w:p w:rsidR="00225952" w:rsidRDefault="00225952" w:rsidP="00225952">
            <w:pPr>
              <w:pStyle w:val="SidebarSentence"/>
            </w:pPr>
          </w:p>
          <w:p w:rsidR="00225952" w:rsidRDefault="00225952" w:rsidP="00225952">
            <w:pPr>
              <w:pStyle w:val="SidebarSentence"/>
            </w:pPr>
          </w:p>
          <w:p w:rsidR="009F61EC" w:rsidRDefault="009F61EC" w:rsidP="00225952">
            <w:pPr>
              <w:pStyle w:val="SidebarSentence"/>
            </w:pPr>
          </w:p>
          <w:p w:rsidR="009F61EC" w:rsidRDefault="009F61EC" w:rsidP="009F61EC">
            <w:pPr>
              <w:pStyle w:val="SidebarSentence"/>
              <w:spacing w:after="360"/>
            </w:pPr>
          </w:p>
          <w:p w:rsidR="00225952" w:rsidRDefault="00225952" w:rsidP="00225952">
            <w:pPr>
              <w:pStyle w:val="SidebarSentence"/>
            </w:pPr>
          </w:p>
          <w:p w:rsidR="00225952" w:rsidRDefault="00F32EC9" w:rsidP="009F61EC">
            <w:pPr>
              <w:pStyle w:val="SidebarSentence"/>
              <w:spacing w:after="0"/>
            </w:pPr>
            <w:r w:rsidRPr="00F32EC9">
              <w:rPr>
                <w:noProof/>
              </w:rPr>
              <w:drawing>
                <wp:inline distT="0" distB="0" distL="0" distR="0">
                  <wp:extent cx="1391920" cy="543560"/>
                  <wp:effectExtent l="19050" t="0" r="0" b="0"/>
                  <wp:docPr id="230" name="Picture 96" descr="button_web.png">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button_web.png"/>
                          <pic:cNvPicPr>
                            <a:picLocks noChangeAspect="1" noChangeArrowheads="1"/>
                          </pic:cNvPicPr>
                        </pic:nvPicPr>
                        <pic:blipFill>
                          <a:blip r:embed="rId26" cstate="print"/>
                          <a:srcRect/>
                          <a:stretch>
                            <a:fillRect/>
                          </a:stretch>
                        </pic:blipFill>
                        <pic:spPr bwMode="auto">
                          <a:xfrm>
                            <a:off x="0" y="0"/>
                            <a:ext cx="1391920" cy="543560"/>
                          </a:xfrm>
                          <a:prstGeom prst="rect">
                            <a:avLst/>
                          </a:prstGeom>
                          <a:noFill/>
                          <a:ln w="9525">
                            <a:noFill/>
                            <a:miter lim="800000"/>
                            <a:headEnd/>
                            <a:tailEnd/>
                          </a:ln>
                        </pic:spPr>
                      </pic:pic>
                    </a:graphicData>
                  </a:graphic>
                </wp:inline>
              </w:drawing>
            </w:r>
          </w:p>
          <w:p w:rsidR="00225952" w:rsidRDefault="00225952" w:rsidP="00A1003E">
            <w:pPr>
              <w:pStyle w:val="SidebarSentence"/>
              <w:ind w:left="144"/>
            </w:pPr>
            <w:r>
              <w:t xml:space="preserve">FDOT Public Transit Office </w:t>
            </w:r>
          </w:p>
          <w:p w:rsidR="00225952" w:rsidRPr="006135BA" w:rsidRDefault="00225952" w:rsidP="00225952">
            <w:pPr>
              <w:pStyle w:val="Heading3"/>
            </w:pPr>
          </w:p>
        </w:tc>
        <w:tc>
          <w:tcPr>
            <w:tcW w:w="7920" w:type="dxa"/>
          </w:tcPr>
          <w:p w:rsidR="00225952" w:rsidRDefault="00225952" w:rsidP="00225952">
            <w:r>
              <w:t xml:space="preserve">The proper application of access management and basic site planning principles is essential to all site impact analysis. This process involves the review of proposed site plans and expected improvements. During this stage, the reviewer assesses the  impact of the project on traffic movements and evaluating safety and operations at, and near the access points (driveways or roadways). The level of detail of the site plans associated with the impact assessment will vary based upon the purpose of the study and what level of approval is being sought. For example, DRI applicants should provide approximate driveway locations, and address overall internal and external network connectivity,  and land use/development organization within the site (often shown on Map H of DRI requirements.  </w:t>
            </w:r>
          </w:p>
          <w:p w:rsidR="00225952" w:rsidRDefault="00225952" w:rsidP="00225952">
            <w:r>
              <w:t xml:space="preserve">The design of site circulation, parking, and access should also easily accommodate bus and pedestrian movements for existing or future bus services. Transit friendly designs are generally defined as those within a reasonable walking distance of an existing or proposed transit stop or station. Having a safe and well marked pedestrian path to the entrance of development is one important aspect of good design. Other aspects of transit friendly designs include providing ample pavement widths to accommodate buses. </w:t>
            </w:r>
          </w:p>
          <w:p w:rsidR="00225952" w:rsidRDefault="00225952" w:rsidP="00225952">
            <w:r>
              <w:t xml:space="preserve"> The FDOT Public Transit Office has produced several publications that discuss pedestrian and transit-friendly design in greater detail and can be found at </w:t>
            </w:r>
            <w:hyperlink r:id="rId128" w:history="1">
              <w:r w:rsidRPr="007033C8">
                <w:rPr>
                  <w:rStyle w:val="Hyperlink"/>
                </w:rPr>
                <w:t>http://www.dot.state.fl.us/transit/</w:t>
              </w:r>
            </w:hyperlink>
            <w:r>
              <w:t>.</w:t>
            </w:r>
          </w:p>
          <w:p w:rsidR="00225952" w:rsidRDefault="00225952" w:rsidP="00225952">
            <w:r>
              <w:t>Site impact design issues include identifying an appropriate design vehicle (the largest vehicle that will typically use the roadway), speeds, and multimodal accommodations. Most site plans should include the following information, at a minimum:</w:t>
            </w:r>
          </w:p>
        </w:tc>
      </w:tr>
      <w:tr w:rsidR="00225952" w:rsidRPr="00380CF5" w:rsidTr="004E6FF5">
        <w:tc>
          <w:tcPr>
            <w:tcW w:w="2455" w:type="dxa"/>
          </w:tcPr>
          <w:p w:rsidR="00225952" w:rsidRPr="006135BA" w:rsidRDefault="00225952" w:rsidP="00225952">
            <w:pPr>
              <w:pStyle w:val="Heading3"/>
            </w:pPr>
          </w:p>
        </w:tc>
        <w:tc>
          <w:tcPr>
            <w:tcW w:w="7920" w:type="dxa"/>
          </w:tcPr>
          <w:p w:rsidR="00225952" w:rsidRPr="00FB54F3" w:rsidRDefault="00225952" w:rsidP="00AD2D7A">
            <w:pPr>
              <w:pStyle w:val="BulletA"/>
              <w:numPr>
                <w:ilvl w:val="0"/>
                <w:numId w:val="140"/>
              </w:numPr>
            </w:pPr>
            <w:r w:rsidRPr="008A22C3">
              <w:t>Sufficiently detailed drawing of access, circulation and parking</w:t>
            </w:r>
          </w:p>
          <w:p w:rsidR="00225952" w:rsidRPr="008A22C3" w:rsidRDefault="00225952" w:rsidP="00AD2D7A">
            <w:pPr>
              <w:pStyle w:val="BulletA"/>
              <w:numPr>
                <w:ilvl w:val="0"/>
                <w:numId w:val="140"/>
              </w:numPr>
            </w:pPr>
            <w:r w:rsidRPr="008A22C3">
              <w:t>Landscaping details for analysis of sight distances</w:t>
            </w:r>
          </w:p>
          <w:p w:rsidR="00225952" w:rsidRPr="008A22C3" w:rsidRDefault="00225952" w:rsidP="00AD2D7A">
            <w:pPr>
              <w:pStyle w:val="BulletA"/>
              <w:numPr>
                <w:ilvl w:val="0"/>
                <w:numId w:val="140"/>
              </w:numPr>
            </w:pPr>
            <w:r w:rsidRPr="008A22C3">
              <w:t>Distance between driveways and intersections</w:t>
            </w:r>
          </w:p>
          <w:p w:rsidR="00225952" w:rsidRPr="008A22C3" w:rsidRDefault="00225952" w:rsidP="00AD2D7A">
            <w:pPr>
              <w:pStyle w:val="BulletA"/>
              <w:numPr>
                <w:ilvl w:val="0"/>
                <w:numId w:val="140"/>
              </w:numPr>
            </w:pPr>
            <w:r w:rsidRPr="008A22C3">
              <w:t>Median opening locations and spacings</w:t>
            </w:r>
          </w:p>
          <w:p w:rsidR="00225952" w:rsidRPr="008A22C3" w:rsidRDefault="00225952" w:rsidP="00AD2D7A">
            <w:pPr>
              <w:pStyle w:val="BulletA"/>
              <w:numPr>
                <w:ilvl w:val="0"/>
                <w:numId w:val="140"/>
              </w:numPr>
            </w:pPr>
            <w:r w:rsidRPr="008A22C3">
              <w:t>Existing driveways in opposing location of the proposed site</w:t>
            </w:r>
          </w:p>
          <w:p w:rsidR="00225952" w:rsidRDefault="00225952" w:rsidP="00AD2D7A">
            <w:pPr>
              <w:pStyle w:val="BulletA"/>
              <w:numPr>
                <w:ilvl w:val="0"/>
                <w:numId w:val="140"/>
              </w:numPr>
            </w:pPr>
            <w:r w:rsidRPr="008A22C3">
              <w:t>Location of proposed multimodal accommodations</w:t>
            </w:r>
          </w:p>
        </w:tc>
      </w:tr>
    </w:tbl>
    <w:p w:rsidR="0021455D" w:rsidRDefault="0021455D">
      <w:r>
        <w:rPr>
          <w:b/>
          <w:bCs/>
        </w:rPr>
        <w:br w:type="page"/>
      </w:r>
    </w:p>
    <w:tbl>
      <w:tblPr>
        <w:tblW w:w="10375" w:type="dxa"/>
        <w:tblLayout w:type="fixed"/>
        <w:tblLook w:val="0000"/>
      </w:tblPr>
      <w:tblGrid>
        <w:gridCol w:w="2455"/>
        <w:gridCol w:w="7920"/>
      </w:tblGrid>
      <w:tr w:rsidR="00225952" w:rsidRPr="00380CF5" w:rsidTr="004E6FF5">
        <w:tc>
          <w:tcPr>
            <w:tcW w:w="2455" w:type="dxa"/>
          </w:tcPr>
          <w:p w:rsidR="00225952" w:rsidRDefault="00225952" w:rsidP="00225952">
            <w:pPr>
              <w:pStyle w:val="Heading4"/>
            </w:pPr>
            <w:r>
              <w:lastRenderedPageBreak/>
              <w:t>Access Management Standards</w:t>
            </w:r>
          </w:p>
        </w:tc>
        <w:tc>
          <w:tcPr>
            <w:tcW w:w="7920" w:type="dxa"/>
          </w:tcPr>
          <w:p w:rsidR="00225952" w:rsidRDefault="00225952" w:rsidP="00225952">
            <w:r>
              <w:t xml:space="preserve">FDOT </w:t>
            </w:r>
            <w:r w:rsidRPr="00C83686">
              <w:t xml:space="preserve">has developed numerous standards, guidelines, policies and recommended practices in the areas of corridor access management and site access planning. These standards are </w:t>
            </w:r>
            <w:r w:rsidRPr="00802979">
              <w:t xml:space="preserve">provided in Rule Chapter 14-96, FAC, (driveway permitting) and Rule Chapter 14-97, FAC (access management standards). For example, all new driveways associated with a new or expanded development </w:t>
            </w:r>
            <w:r>
              <w:t>will</w:t>
            </w:r>
            <w:r w:rsidRPr="00802979">
              <w:t xml:space="preserve"> be permitted through the process </w:t>
            </w:r>
            <w:r>
              <w:t xml:space="preserve">described </w:t>
            </w:r>
            <w:r w:rsidRPr="00802979">
              <w:t>in the Rule Chapter 14-96,</w:t>
            </w:r>
            <w:r>
              <w:t xml:space="preserve"> FAC</w:t>
            </w:r>
            <w:r w:rsidRPr="00C83686">
              <w:t>, State Highways System Connection Permits</w:t>
            </w:r>
            <w:r>
              <w:t xml:space="preserve"> </w:t>
            </w:r>
            <w:r w:rsidRPr="00C83686">
              <w:t>Administra</w:t>
            </w:r>
            <w:r>
              <w:t xml:space="preserve">tive Process. </w:t>
            </w:r>
            <w:r w:rsidRPr="00C83686">
              <w:t xml:space="preserve">The application of these principles to roadway and corridor design features is discussed in greater detail in a number of </w:t>
            </w:r>
            <w:r>
              <w:t xml:space="preserve">FDOT </w:t>
            </w:r>
            <w:r w:rsidRPr="00C83686">
              <w:t>publications such as:</w:t>
            </w:r>
          </w:p>
        </w:tc>
      </w:tr>
      <w:tr w:rsidR="00225952" w:rsidRPr="00380CF5" w:rsidTr="004E6FF5">
        <w:tc>
          <w:tcPr>
            <w:tcW w:w="2455" w:type="dxa"/>
          </w:tcPr>
          <w:p w:rsidR="00225952" w:rsidRPr="006135BA" w:rsidRDefault="00225952" w:rsidP="00CC002A">
            <w:pPr>
              <w:spacing w:after="0"/>
            </w:pPr>
            <w:r w:rsidRPr="00CC002A">
              <w:rPr>
                <w:noProof/>
              </w:rPr>
              <w:drawing>
                <wp:inline distT="0" distB="0" distL="0" distR="0">
                  <wp:extent cx="1391920" cy="543560"/>
                  <wp:effectExtent l="19050" t="0" r="0" b="0"/>
                  <wp:docPr id="95" name="Picture 95" descr="button_PDFlink.png">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button_PDFlink.png"/>
                          <pic:cNvPicPr>
                            <a:picLocks noChangeAspect="1" noChangeArrowheads="1"/>
                          </pic:cNvPicPr>
                        </pic:nvPicPr>
                        <pic:blipFill>
                          <a:blip r:embed="rId15" cstate="print"/>
                          <a:srcRect/>
                          <a:stretch>
                            <a:fillRect/>
                          </a:stretch>
                        </pic:blipFill>
                        <pic:spPr bwMode="auto">
                          <a:xfrm>
                            <a:off x="0" y="0"/>
                            <a:ext cx="1391920" cy="543560"/>
                          </a:xfrm>
                          <a:prstGeom prst="rect">
                            <a:avLst/>
                          </a:prstGeom>
                          <a:noFill/>
                          <a:ln w="9525">
                            <a:noFill/>
                            <a:miter lim="800000"/>
                            <a:headEnd/>
                            <a:tailEnd/>
                          </a:ln>
                        </pic:spPr>
                      </pic:pic>
                    </a:graphicData>
                  </a:graphic>
                </wp:inline>
              </w:drawing>
            </w:r>
          </w:p>
          <w:p w:rsidR="00F32EC9" w:rsidRDefault="00F32EC9" w:rsidP="00F32EC9">
            <w:pPr>
              <w:pStyle w:val="HeadSide20"/>
              <w:jc w:val="center"/>
            </w:pPr>
            <w:r>
              <w:t>Driveway Guide</w:t>
            </w:r>
          </w:p>
          <w:p w:rsidR="00225952" w:rsidRDefault="00F32EC9" w:rsidP="00CC002A">
            <w:pPr>
              <w:spacing w:after="0"/>
            </w:pPr>
            <w:r w:rsidRPr="00CC002A">
              <w:rPr>
                <w:noProof/>
              </w:rPr>
              <w:drawing>
                <wp:inline distT="0" distB="0" distL="0" distR="0">
                  <wp:extent cx="1391920" cy="543560"/>
                  <wp:effectExtent l="19050" t="0" r="0" b="0"/>
                  <wp:docPr id="231" name="Picture 95" descr="button_PDFlink.png">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button_PDFlink.png"/>
                          <pic:cNvPicPr>
                            <a:picLocks noChangeAspect="1" noChangeArrowheads="1"/>
                          </pic:cNvPicPr>
                        </pic:nvPicPr>
                        <pic:blipFill>
                          <a:blip r:embed="rId15" cstate="print"/>
                          <a:srcRect/>
                          <a:stretch>
                            <a:fillRect/>
                          </a:stretch>
                        </pic:blipFill>
                        <pic:spPr bwMode="auto">
                          <a:xfrm>
                            <a:off x="0" y="0"/>
                            <a:ext cx="1391920" cy="543560"/>
                          </a:xfrm>
                          <a:prstGeom prst="rect">
                            <a:avLst/>
                          </a:prstGeom>
                          <a:noFill/>
                          <a:ln w="9525">
                            <a:noFill/>
                            <a:miter lim="800000"/>
                            <a:headEnd/>
                            <a:tailEnd/>
                          </a:ln>
                        </pic:spPr>
                      </pic:pic>
                    </a:graphicData>
                  </a:graphic>
                </wp:inline>
              </w:drawing>
            </w:r>
          </w:p>
          <w:p w:rsidR="00F32EC9" w:rsidRDefault="00F32EC9" w:rsidP="00F32EC9">
            <w:pPr>
              <w:pStyle w:val="HeadSide20"/>
              <w:jc w:val="center"/>
            </w:pPr>
            <w:r>
              <w:t>Median Handbook</w:t>
            </w:r>
          </w:p>
          <w:p w:rsidR="00225952" w:rsidRDefault="00225952" w:rsidP="00CC002A">
            <w:pPr>
              <w:spacing w:after="0"/>
            </w:pPr>
            <w:r w:rsidRPr="00CC002A">
              <w:rPr>
                <w:noProof/>
              </w:rPr>
              <w:drawing>
                <wp:inline distT="0" distB="0" distL="0" distR="0">
                  <wp:extent cx="1391920" cy="543560"/>
                  <wp:effectExtent l="19050" t="0" r="0" b="0"/>
                  <wp:docPr id="96" name="Picture 96" descr="button_web.png">
                    <a:hlinkClick xmlns:a="http://schemas.openxmlformats.org/drawingml/2006/main" r:id="rId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button_web.png"/>
                          <pic:cNvPicPr>
                            <a:picLocks noChangeAspect="1" noChangeArrowheads="1"/>
                          </pic:cNvPicPr>
                        </pic:nvPicPr>
                        <pic:blipFill>
                          <a:blip r:embed="rId26" cstate="print"/>
                          <a:srcRect/>
                          <a:stretch>
                            <a:fillRect/>
                          </a:stretch>
                        </pic:blipFill>
                        <pic:spPr bwMode="auto">
                          <a:xfrm>
                            <a:off x="0" y="0"/>
                            <a:ext cx="1391920" cy="543560"/>
                          </a:xfrm>
                          <a:prstGeom prst="rect">
                            <a:avLst/>
                          </a:prstGeom>
                          <a:noFill/>
                          <a:ln w="9525">
                            <a:noFill/>
                            <a:miter lim="800000"/>
                            <a:headEnd/>
                            <a:tailEnd/>
                          </a:ln>
                        </pic:spPr>
                      </pic:pic>
                    </a:graphicData>
                  </a:graphic>
                </wp:inline>
              </w:drawing>
            </w:r>
          </w:p>
          <w:p w:rsidR="00F32EC9" w:rsidRPr="00F32EC9" w:rsidRDefault="00F32EC9" w:rsidP="00F32EC9">
            <w:pPr>
              <w:pStyle w:val="HeadSide20"/>
              <w:jc w:val="center"/>
            </w:pPr>
            <w:r>
              <w:t>Access Management</w:t>
            </w:r>
          </w:p>
          <w:p w:rsidR="00225952" w:rsidRDefault="00225952" w:rsidP="00225952"/>
          <w:p w:rsidR="00225952" w:rsidRPr="00176919" w:rsidRDefault="00225952" w:rsidP="00225952"/>
        </w:tc>
        <w:tc>
          <w:tcPr>
            <w:tcW w:w="7920" w:type="dxa"/>
          </w:tcPr>
          <w:p w:rsidR="00225952" w:rsidRDefault="00225952" w:rsidP="00835D35">
            <w:pPr>
              <w:pStyle w:val="ListParagraph"/>
              <w:numPr>
                <w:ilvl w:val="0"/>
                <w:numId w:val="11"/>
              </w:numPr>
              <w:spacing w:before="240" w:after="480"/>
              <w:contextualSpacing w:val="0"/>
              <w:jc w:val="left"/>
            </w:pPr>
            <w:r w:rsidRPr="008A22C3">
              <w:rPr>
                <w:rFonts w:cs="Book Antiqua"/>
                <w:b/>
                <w:i/>
                <w:szCs w:val="23"/>
              </w:rPr>
              <w:t>Dri</w:t>
            </w:r>
            <w:r w:rsidRPr="008A22C3">
              <w:rPr>
                <w:b/>
                <w:i/>
                <w:szCs w:val="23"/>
              </w:rPr>
              <w:t>veway Information Guide</w:t>
            </w:r>
            <w:r w:rsidRPr="008A22C3">
              <w:rPr>
                <w:szCs w:val="23"/>
              </w:rPr>
              <w:t xml:space="preserve"> available online at:</w:t>
            </w:r>
            <w:r w:rsidRPr="008A22C3">
              <w:t xml:space="preserve"> </w:t>
            </w:r>
            <w:r>
              <w:br/>
            </w:r>
            <w:hyperlink r:id="rId132" w:history="1">
              <w:r w:rsidRPr="00CC002A">
                <w:rPr>
                  <w:rStyle w:val="Hyperlink"/>
                  <w:sz w:val="20"/>
                </w:rPr>
                <w:t>http://www.dot.state.fl.us/planning/systems/sm/accman/pdfs/driveway2008.pdf</w:t>
              </w:r>
            </w:hyperlink>
            <w:r w:rsidRPr="00CC002A">
              <w:rPr>
                <w:sz w:val="20"/>
              </w:rPr>
              <w:t xml:space="preserve">. </w:t>
            </w:r>
          </w:p>
          <w:p w:rsidR="00225952" w:rsidRDefault="00225952" w:rsidP="00835D35">
            <w:pPr>
              <w:pStyle w:val="ListParagraph"/>
              <w:numPr>
                <w:ilvl w:val="0"/>
                <w:numId w:val="11"/>
              </w:numPr>
              <w:spacing w:before="120"/>
              <w:jc w:val="left"/>
            </w:pPr>
            <w:r w:rsidRPr="008A22C3">
              <w:rPr>
                <w:rFonts w:cs="Book Antiqua"/>
                <w:b/>
                <w:i/>
                <w:szCs w:val="23"/>
              </w:rPr>
              <w:t>Median Handbook</w:t>
            </w:r>
            <w:r w:rsidRPr="008A22C3">
              <w:rPr>
                <w:rFonts w:cs="Book Antiqua"/>
                <w:szCs w:val="23"/>
              </w:rPr>
              <w:t xml:space="preserve"> available online at: </w:t>
            </w:r>
            <w:hyperlink r:id="rId133" w:history="1">
              <w:r w:rsidRPr="00CC002A">
                <w:rPr>
                  <w:rStyle w:val="Hyperlink"/>
                  <w:rFonts w:cs="Book Antiqua"/>
                  <w:sz w:val="20"/>
                </w:rPr>
                <w:t>http://www.dot.state.fl.us/planning/sys</w:t>
              </w:r>
              <w:r w:rsidRPr="00CC002A">
                <w:rPr>
                  <w:rStyle w:val="Hyperlink"/>
                  <w:sz w:val="20"/>
                </w:rPr>
                <w:t>tems/sm/accman/pdfs/mhb06b.pdf</w:t>
              </w:r>
            </w:hyperlink>
            <w:r w:rsidRPr="00D54FB1">
              <w:t>.</w:t>
            </w:r>
          </w:p>
          <w:p w:rsidR="00CC002A" w:rsidRDefault="00CC002A" w:rsidP="00835D35">
            <w:pPr>
              <w:jc w:val="left"/>
            </w:pPr>
          </w:p>
          <w:p w:rsidR="00225952" w:rsidRDefault="00225952" w:rsidP="00835D35">
            <w:pPr>
              <w:pStyle w:val="ListParagraph"/>
              <w:numPr>
                <w:ilvl w:val="0"/>
                <w:numId w:val="11"/>
              </w:numPr>
              <w:jc w:val="left"/>
            </w:pPr>
            <w:r>
              <w:t xml:space="preserve">The FDOT also maintains an extensive on-line collection of technical resources on  access management at: </w:t>
            </w:r>
            <w:hyperlink r:id="rId134" w:history="1">
              <w:r w:rsidRPr="001F03E8">
                <w:rPr>
                  <w:rStyle w:val="Hyperlink"/>
                </w:rPr>
                <w:t>http://www.dot.state.fl.us/planning/systems/sm/accman/</w:t>
              </w:r>
            </w:hyperlink>
            <w:r>
              <w:t>.</w:t>
            </w:r>
          </w:p>
        </w:tc>
      </w:tr>
    </w:tbl>
    <w:p w:rsidR="004E6FF5" w:rsidRDefault="004E6FF5" w:rsidP="00225952">
      <w:pPr>
        <w:spacing w:after="0"/>
        <w:ind w:left="3" w:hanging="3"/>
        <w:sectPr w:rsidR="004E6FF5" w:rsidSect="0021455D">
          <w:headerReference w:type="default" r:id="rId135"/>
          <w:pgSz w:w="12240" w:h="15840"/>
          <w:pgMar w:top="1440" w:right="720" w:bottom="1440" w:left="1152" w:header="720" w:footer="720" w:gutter="0"/>
          <w:cols w:space="720"/>
          <w:docGrid w:linePitch="360"/>
        </w:sectPr>
      </w:pPr>
    </w:p>
    <w:tbl>
      <w:tblPr>
        <w:tblW w:w="10080" w:type="dxa"/>
        <w:tblLayout w:type="fixed"/>
        <w:tblLook w:val="0000"/>
      </w:tblPr>
      <w:tblGrid>
        <w:gridCol w:w="2253"/>
        <w:gridCol w:w="7827"/>
      </w:tblGrid>
      <w:tr w:rsidR="007F37F3" w:rsidRPr="00380CF5" w:rsidTr="007F37F3">
        <w:trPr>
          <w:trHeight w:val="990"/>
        </w:trPr>
        <w:tc>
          <w:tcPr>
            <w:tcW w:w="2253" w:type="dxa"/>
            <w:vMerge w:val="restart"/>
            <w:tcMar>
              <w:left w:w="0" w:type="dxa"/>
              <w:right w:w="0" w:type="dxa"/>
            </w:tcMar>
            <w:vAlign w:val="bottom"/>
          </w:tcPr>
          <w:p w:rsidR="007F37F3" w:rsidRPr="007F37F3" w:rsidRDefault="007F37F3" w:rsidP="007F37F3">
            <w:pPr>
              <w:spacing w:after="240"/>
              <w:ind w:left="3" w:right="288" w:hanging="3"/>
              <w:jc w:val="right"/>
              <w:rPr>
                <w:color w:val="008080"/>
                <w:sz w:val="160"/>
                <w:szCs w:val="160"/>
              </w:rPr>
            </w:pPr>
            <w:r w:rsidRPr="007F37F3">
              <w:rPr>
                <w:rFonts w:ascii="Tahoma" w:hAnsi="Tahoma" w:cs="Tahoma"/>
                <w:bCs/>
                <w:color w:val="008080"/>
                <w:sz w:val="160"/>
                <w:szCs w:val="160"/>
              </w:rPr>
              <w:lastRenderedPageBreak/>
              <w:t>3</w:t>
            </w:r>
          </w:p>
        </w:tc>
        <w:tc>
          <w:tcPr>
            <w:tcW w:w="7827" w:type="dxa"/>
            <w:tcMar>
              <w:left w:w="0" w:type="dxa"/>
              <w:right w:w="0" w:type="dxa"/>
            </w:tcMar>
            <w:vAlign w:val="bottom"/>
          </w:tcPr>
          <w:p w:rsidR="007F37F3" w:rsidRDefault="007F37F3" w:rsidP="007F37F3">
            <w:pPr>
              <w:spacing w:after="240"/>
            </w:pPr>
            <w:r>
              <w:rPr>
                <w:noProof/>
              </w:rPr>
              <w:drawing>
                <wp:inline distT="0" distB="0" distL="0" distR="0">
                  <wp:extent cx="4937760" cy="4469831"/>
                  <wp:effectExtent l="19050" t="0" r="0" b="0"/>
                  <wp:docPr id="233" name="Picture 231" descr="LG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GCP.png"/>
                          <pic:cNvPicPr/>
                        </pic:nvPicPr>
                        <pic:blipFill>
                          <a:blip r:embed="rId136" cstate="print"/>
                          <a:srcRect l="7086"/>
                          <a:stretch>
                            <a:fillRect/>
                          </a:stretch>
                        </pic:blipFill>
                        <pic:spPr>
                          <a:xfrm>
                            <a:off x="0" y="0"/>
                            <a:ext cx="4937760" cy="4469831"/>
                          </a:xfrm>
                          <a:prstGeom prst="rect">
                            <a:avLst/>
                          </a:prstGeom>
                        </pic:spPr>
                      </pic:pic>
                    </a:graphicData>
                  </a:graphic>
                </wp:inline>
              </w:drawing>
            </w:r>
          </w:p>
        </w:tc>
      </w:tr>
      <w:tr w:rsidR="007F37F3" w:rsidRPr="00380CF5" w:rsidTr="004E6FF5">
        <w:trPr>
          <w:trHeight w:val="990"/>
        </w:trPr>
        <w:tc>
          <w:tcPr>
            <w:tcW w:w="2253" w:type="dxa"/>
            <w:vMerge/>
            <w:tcMar>
              <w:left w:w="0" w:type="dxa"/>
              <w:right w:w="0" w:type="dxa"/>
            </w:tcMar>
          </w:tcPr>
          <w:p w:rsidR="007F37F3" w:rsidRPr="00A91A5F" w:rsidRDefault="007F37F3" w:rsidP="00225952">
            <w:pPr>
              <w:autoSpaceDE w:val="0"/>
              <w:autoSpaceDN w:val="0"/>
              <w:adjustRightInd w:val="0"/>
              <w:jc w:val="center"/>
              <w:rPr>
                <w:rFonts w:ascii="Tahoma" w:hAnsi="Tahoma" w:cs="Tahoma"/>
                <w:b/>
                <w:bCs/>
                <w:color w:val="008080"/>
                <w:sz w:val="72"/>
                <w:szCs w:val="72"/>
              </w:rPr>
            </w:pPr>
          </w:p>
        </w:tc>
        <w:tc>
          <w:tcPr>
            <w:tcW w:w="7827" w:type="dxa"/>
            <w:tcMar>
              <w:left w:w="0" w:type="dxa"/>
              <w:right w:w="0" w:type="dxa"/>
            </w:tcMar>
          </w:tcPr>
          <w:p w:rsidR="007F37F3" w:rsidRPr="00FF522E" w:rsidRDefault="007F37F3" w:rsidP="00225952">
            <w:pPr>
              <w:pStyle w:val="Heading1"/>
              <w:jc w:val="left"/>
            </w:pPr>
            <w:bookmarkStart w:id="107" w:name="_Local_Government_Comprehensive"/>
            <w:bookmarkStart w:id="108" w:name="_Toc232912583"/>
            <w:bookmarkStart w:id="109" w:name="_Toc256487931"/>
            <w:bookmarkStart w:id="110" w:name="_Toc263447864"/>
            <w:bookmarkStart w:id="111" w:name="_Toc264274109"/>
            <w:bookmarkEnd w:id="107"/>
            <w:r>
              <w:t>Local Government Comprehensive Plan Reviews</w:t>
            </w:r>
            <w:bookmarkEnd w:id="108"/>
            <w:bookmarkEnd w:id="109"/>
            <w:bookmarkEnd w:id="110"/>
            <w:bookmarkEnd w:id="111"/>
            <w:r>
              <w:t xml:space="preserve"> </w:t>
            </w:r>
          </w:p>
        </w:tc>
      </w:tr>
      <w:tr w:rsidR="00225952" w:rsidRPr="00182D0E" w:rsidTr="004E6FF5">
        <w:tblPrEx>
          <w:tblCellMar>
            <w:left w:w="115" w:type="dxa"/>
            <w:right w:w="115" w:type="dxa"/>
          </w:tblCellMar>
        </w:tblPrEx>
        <w:tc>
          <w:tcPr>
            <w:tcW w:w="10080" w:type="dxa"/>
            <w:gridSpan w:val="2"/>
          </w:tcPr>
          <w:p w:rsidR="00225952" w:rsidRDefault="00225952">
            <w:pPr>
              <w:pStyle w:val="Heading2"/>
            </w:pPr>
            <w:bookmarkStart w:id="112" w:name="_Toc256487932"/>
            <w:bookmarkStart w:id="113" w:name="_Toc263447865"/>
            <w:bookmarkStart w:id="114" w:name="_Toc264274110"/>
            <w:r>
              <w:t xml:space="preserve">3.1 </w:t>
            </w:r>
            <w:r w:rsidRPr="006E5A30">
              <w:t>Comprehensive Plan</w:t>
            </w:r>
            <w:r>
              <w:t>s and</w:t>
            </w:r>
            <w:r w:rsidRPr="006E5A30">
              <w:t xml:space="preserve"> </w:t>
            </w:r>
            <w:r>
              <w:t xml:space="preserve">Plan </w:t>
            </w:r>
            <w:r w:rsidRPr="00A91A5F">
              <w:t>Amendments</w:t>
            </w:r>
            <w:bookmarkEnd w:id="112"/>
            <w:bookmarkEnd w:id="113"/>
            <w:bookmarkEnd w:id="114"/>
          </w:p>
        </w:tc>
      </w:tr>
      <w:tr w:rsidR="00225952" w:rsidRPr="00182D0E" w:rsidTr="004E6FF5">
        <w:tblPrEx>
          <w:tblCellMar>
            <w:left w:w="115" w:type="dxa"/>
            <w:right w:w="115" w:type="dxa"/>
          </w:tblCellMar>
        </w:tblPrEx>
        <w:tc>
          <w:tcPr>
            <w:tcW w:w="10080" w:type="dxa"/>
            <w:gridSpan w:val="2"/>
          </w:tcPr>
          <w:p w:rsidR="00225952" w:rsidRDefault="00225952" w:rsidP="00225952">
            <w:pPr>
              <w:pStyle w:val="Heading3"/>
            </w:pPr>
            <w:bookmarkStart w:id="115" w:name="_Toc256487933"/>
            <w:bookmarkStart w:id="116" w:name="_Toc263447866"/>
            <w:bookmarkStart w:id="117" w:name="_Toc264274111"/>
            <w:r>
              <w:t xml:space="preserve">3.1.1 </w:t>
            </w:r>
            <w:r w:rsidRPr="009E1852">
              <w:t>Introduction</w:t>
            </w:r>
            <w:bookmarkEnd w:id="115"/>
            <w:bookmarkEnd w:id="116"/>
            <w:bookmarkEnd w:id="117"/>
          </w:p>
        </w:tc>
      </w:tr>
      <w:tr w:rsidR="00225952" w:rsidRPr="007C475C" w:rsidTr="004E6FF5">
        <w:tblPrEx>
          <w:tblCellMar>
            <w:left w:w="115" w:type="dxa"/>
            <w:right w:w="115" w:type="dxa"/>
          </w:tblCellMar>
        </w:tblPrEx>
        <w:tc>
          <w:tcPr>
            <w:tcW w:w="2253" w:type="dxa"/>
          </w:tcPr>
          <w:p w:rsidR="00225952" w:rsidRPr="006E5A30" w:rsidRDefault="00225952" w:rsidP="00225952">
            <w:pPr>
              <w:autoSpaceDE w:val="0"/>
              <w:autoSpaceDN w:val="0"/>
              <w:adjustRightInd w:val="0"/>
            </w:pPr>
          </w:p>
        </w:tc>
        <w:tc>
          <w:tcPr>
            <w:tcW w:w="7827" w:type="dxa"/>
          </w:tcPr>
          <w:p w:rsidR="00225952" w:rsidRDefault="00225952">
            <w:r w:rsidRPr="00AB3BFE">
              <w:t>Ad</w:t>
            </w:r>
            <w:r>
              <w:t>opted by the 1985 Legislature, t</w:t>
            </w:r>
            <w:r w:rsidRPr="00AB3BFE">
              <w:t>he Local Government Comprehensive Planning and Land Development Regulation Act - also known as Florida's Growth Management Act (</w:t>
            </w:r>
            <w:hyperlink r:id="rId137" w:tgtFrame="_blank" w:history="1">
              <w:r w:rsidRPr="00AB3BFE">
                <w:rPr>
                  <w:rStyle w:val="Hyperlink"/>
                </w:rPr>
                <w:t>Chapter 163, Part II, Florida Statutes</w:t>
              </w:r>
            </w:hyperlink>
            <w:r>
              <w:t xml:space="preserve">) </w:t>
            </w:r>
            <w:r w:rsidRPr="00AB3BFE">
              <w:t xml:space="preserve">- requires all local government to adopt Local </w:t>
            </w:r>
            <w:r>
              <w:t xml:space="preserve">Government Comprehensive Plans </w:t>
            </w:r>
            <w:r w:rsidRPr="00AB3BFE">
              <w:t xml:space="preserve">that guide future growth and development.  Comprehensive plans contain chapters or "elements" that address future land use, housing, transportation, infrastructure, coastal management, conservation, recreation and open space, intergovernmental coordination, and capital improvements.  </w:t>
            </w:r>
          </w:p>
        </w:tc>
      </w:tr>
    </w:tbl>
    <w:p w:rsidR="007F37F3" w:rsidRDefault="007F37F3">
      <w:r>
        <w:rPr>
          <w:bCs/>
          <w:i/>
        </w:rPr>
        <w:br w:type="page"/>
      </w:r>
    </w:p>
    <w:tbl>
      <w:tblPr>
        <w:tblW w:w="10080" w:type="dxa"/>
        <w:tblInd w:w="115" w:type="dxa"/>
        <w:tblLayout w:type="fixed"/>
        <w:tblCellMar>
          <w:left w:w="115" w:type="dxa"/>
          <w:right w:w="115" w:type="dxa"/>
        </w:tblCellMar>
        <w:tblLook w:val="0000"/>
      </w:tblPr>
      <w:tblGrid>
        <w:gridCol w:w="2253"/>
        <w:gridCol w:w="7827"/>
      </w:tblGrid>
      <w:tr w:rsidR="00225952" w:rsidRPr="007C475C" w:rsidTr="007F37F3">
        <w:tc>
          <w:tcPr>
            <w:tcW w:w="2253" w:type="dxa"/>
          </w:tcPr>
          <w:p w:rsidR="00225952" w:rsidRDefault="00225952" w:rsidP="00B8640B">
            <w:pPr>
              <w:pStyle w:val="Heading4"/>
            </w:pPr>
            <w:r>
              <w:lastRenderedPageBreak/>
              <w:t>Comprehensive Plans</w:t>
            </w:r>
          </w:p>
          <w:p w:rsidR="00225952" w:rsidRDefault="00225952">
            <w:pPr>
              <w:pStyle w:val="HeadSide2"/>
            </w:pPr>
          </w:p>
          <w:p w:rsidR="00225952" w:rsidRDefault="00225952" w:rsidP="00B8640B">
            <w:pPr>
              <w:pStyle w:val="HeadSide2"/>
            </w:pPr>
            <w:r>
              <w:t>DCA reviews for consistency</w:t>
            </w:r>
          </w:p>
        </w:tc>
        <w:tc>
          <w:tcPr>
            <w:tcW w:w="7827" w:type="dxa"/>
          </w:tcPr>
          <w:p w:rsidR="00225952" w:rsidRDefault="00225952">
            <w:r w:rsidRPr="00AB3BFE">
              <w:t xml:space="preserve">Comprehensive plans and plan amendments are key components of the framework for growth management in </w:t>
            </w:r>
            <w:smartTag w:uri="urn:schemas-microsoft-com:office:smarttags" w:element="State">
              <w:smartTag w:uri="urn:schemas-microsoft-com:office:smarttags" w:element="place">
                <w:r w:rsidRPr="00AB3BFE">
                  <w:t>Florida</w:t>
                </w:r>
              </w:smartTag>
            </w:smartTag>
            <w:r w:rsidRPr="00AB3BFE">
              <w:t xml:space="preserve">.  The Department (FDOT) </w:t>
            </w:r>
            <w:r>
              <w:t>provides comments to</w:t>
            </w:r>
            <w:r w:rsidRPr="00AB3BFE">
              <w:t xml:space="preserve"> the Department of Community Affairs (DCA) in reviewing changes that affect transportation. </w:t>
            </w:r>
            <w:r>
              <w:t xml:space="preserve"> DCA is responsible for the overall review process and is the agency with statutory authority to object to and determine whether plan amendments are consistent or not consistent with state law.  Reviews of plan amendments by FDOT are submitted to DCA for its consideration.  While transportation is often a major issue of concern within its reviews, DCA must take into account many other issues, such as the promotion of infill and redevelopment, and the need for affordable housing.</w:t>
            </w:r>
          </w:p>
        </w:tc>
      </w:tr>
      <w:tr w:rsidR="00225952" w:rsidRPr="007C475C" w:rsidTr="007F37F3">
        <w:tc>
          <w:tcPr>
            <w:tcW w:w="2253" w:type="dxa"/>
          </w:tcPr>
          <w:p w:rsidR="00225952" w:rsidRPr="006E5A30" w:rsidRDefault="00225952" w:rsidP="00225952">
            <w:pPr>
              <w:autoSpaceDE w:val="0"/>
              <w:autoSpaceDN w:val="0"/>
              <w:adjustRightInd w:val="0"/>
            </w:pPr>
          </w:p>
        </w:tc>
        <w:tc>
          <w:tcPr>
            <w:tcW w:w="7827" w:type="dxa"/>
          </w:tcPr>
          <w:p w:rsidR="00225952" w:rsidRDefault="00225952">
            <w:r w:rsidRPr="008B3FF5">
              <w:t>FDOT proc</w:t>
            </w:r>
            <w:r>
              <w:t>edure 525-010-101-C states that FDOT D</w:t>
            </w:r>
            <w:r w:rsidRPr="008B3FF5">
              <w:t xml:space="preserve">istrict </w:t>
            </w:r>
            <w:r>
              <w:t xml:space="preserve">plan amendment </w:t>
            </w:r>
            <w:r w:rsidRPr="008B3FF5">
              <w:t xml:space="preserve">reviews will focus on </w:t>
            </w:r>
            <w:r>
              <w:t xml:space="preserve">the </w:t>
            </w:r>
            <w:r w:rsidRPr="008B3FF5">
              <w:t>transportation, land use, intergovernmental coordination, and capital improvements elements of the plan</w:t>
            </w:r>
            <w:r>
              <w:t xml:space="preserve">, </w:t>
            </w:r>
            <w:r w:rsidRPr="008B3FF5">
              <w:t xml:space="preserve">as identified in </w:t>
            </w:r>
            <w:r>
              <w:t xml:space="preserve">Rule </w:t>
            </w:r>
            <w:r w:rsidRPr="008B3FF5">
              <w:rPr>
                <w:bCs/>
                <w:iCs/>
              </w:rPr>
              <w:t>9J-5</w:t>
            </w:r>
            <w:r>
              <w:rPr>
                <w:bCs/>
                <w:iCs/>
              </w:rPr>
              <w:t>.005(1)(c)</w:t>
            </w:r>
            <w:r w:rsidRPr="008B3FF5">
              <w:rPr>
                <w:bCs/>
                <w:iCs/>
              </w:rPr>
              <w:t xml:space="preserve">, </w:t>
            </w:r>
            <w:r>
              <w:t>Florida Administrative Code (F.A.C)</w:t>
            </w:r>
            <w:r>
              <w:rPr>
                <w:bCs/>
                <w:iCs/>
              </w:rPr>
              <w:t>.</w:t>
            </w:r>
            <w:r w:rsidRPr="00A907B8">
              <w:rPr>
                <w:b/>
                <w:bCs/>
                <w:iCs/>
              </w:rPr>
              <w:t xml:space="preserve"> </w:t>
            </w:r>
            <w:r>
              <w:rPr>
                <w:b/>
                <w:bCs/>
                <w:iCs/>
              </w:rPr>
              <w:t xml:space="preserve"> </w:t>
            </w:r>
            <w:r>
              <w:t>T</w:t>
            </w:r>
            <w:r w:rsidRPr="00AB3BFE">
              <w:t>hese elements</w:t>
            </w:r>
            <w:r>
              <w:t xml:space="preserve">, together with the </w:t>
            </w:r>
            <w:r w:rsidRPr="00AB3BFE">
              <w:t>Future Land Use Map</w:t>
            </w:r>
            <w:r>
              <w:t xml:space="preserve"> and </w:t>
            </w:r>
            <w:r w:rsidRPr="00AB3BFE">
              <w:t>Future Transportation Map</w:t>
            </w:r>
            <w:r>
              <w:t>,</w:t>
            </w:r>
            <w:r w:rsidRPr="00AB3BFE">
              <w:t xml:space="preserve"> link land use patterns, transportation systems, and capital improvements projects needed to support development of a community.  Changes to an adopted comprehensive plan may impact the transportation network, including the multimodal components of the network. </w:t>
            </w:r>
          </w:p>
        </w:tc>
      </w:tr>
      <w:tr w:rsidR="00225952" w:rsidRPr="007C475C" w:rsidTr="007F37F3">
        <w:tc>
          <w:tcPr>
            <w:tcW w:w="2253" w:type="dxa"/>
          </w:tcPr>
          <w:p w:rsidR="00225952" w:rsidRDefault="00225952">
            <w:pPr>
              <w:pStyle w:val="HeadSide2"/>
            </w:pPr>
          </w:p>
          <w:p w:rsidR="00225952" w:rsidRDefault="00225952">
            <w:pPr>
              <w:pStyle w:val="HeadSide2"/>
            </w:pPr>
          </w:p>
          <w:p w:rsidR="00225952" w:rsidRDefault="00225952">
            <w:pPr>
              <w:pStyle w:val="HeadSide2"/>
            </w:pPr>
          </w:p>
          <w:p w:rsidR="00225952" w:rsidRDefault="00225952">
            <w:pPr>
              <w:pStyle w:val="HeadSide2"/>
            </w:pPr>
          </w:p>
          <w:p w:rsidR="00225952" w:rsidRDefault="00225952">
            <w:pPr>
              <w:pStyle w:val="HeadSide2"/>
            </w:pPr>
            <w:smartTag w:uri="urn:schemas-microsoft-com:office:smarttags" w:element="place">
              <w:smartTag w:uri="urn:schemas-microsoft-com:office:smarttags" w:element="PlaceName">
                <w:r>
                  <w:t>Future</w:t>
                </w:r>
              </w:smartTag>
              <w:r>
                <w:t xml:space="preserve"> </w:t>
              </w:r>
              <w:smartTag w:uri="urn:schemas-microsoft-com:office:smarttags" w:element="PlaceType">
                <w:r>
                  <w:t>Land</w:t>
                </w:r>
              </w:smartTag>
            </w:smartTag>
            <w:r>
              <w:t xml:space="preserve"> Use and Transportation elements must be consistent</w:t>
            </w:r>
          </w:p>
        </w:tc>
        <w:tc>
          <w:tcPr>
            <w:tcW w:w="7827" w:type="dxa"/>
          </w:tcPr>
          <w:p w:rsidR="00225952" w:rsidRDefault="00225952">
            <w:r w:rsidRPr="00AB3BFE">
              <w:t>The elements of a local government comprehensive plan must be coordinated and consistent</w:t>
            </w:r>
            <w:r>
              <w:t xml:space="preserve"> with</w:t>
            </w:r>
            <w:r w:rsidRPr="00AB3BFE">
              <w:t xml:space="preserve"> (s.163.3177(2), </w:t>
            </w:r>
            <w:r>
              <w:t>Florida Statutes (</w:t>
            </w:r>
            <w:r w:rsidRPr="00AB3BFE">
              <w:t>F.S.</w:t>
            </w:r>
            <w:r>
              <w:t>)</w:t>
            </w:r>
            <w:r w:rsidRPr="00AB3BFE">
              <w:t>, and Rule 9J-5.005(5), F.A.C</w:t>
            </w:r>
            <w:r>
              <w:t>.)</w:t>
            </w:r>
            <w:r w:rsidRPr="00AB3BFE">
              <w:t xml:space="preserve">.  For example, the Future Land Use Element includes goals, objectives and policies </w:t>
            </w:r>
            <w:r>
              <w:t xml:space="preserve">and </w:t>
            </w:r>
            <w:r w:rsidRPr="00AB3BFE">
              <w:t>a Future Land Use Map</w:t>
            </w:r>
            <w:r>
              <w:t xml:space="preserve"> that</w:t>
            </w:r>
            <w:r w:rsidRPr="00AB3BFE">
              <w:t xml:space="preserve"> implement the jurisdiction’s desired land use pattern.  </w:t>
            </w:r>
            <w:r>
              <w:t>Likewise, g</w:t>
            </w:r>
            <w:r w:rsidRPr="00AB3BFE">
              <w:t>oals, objectives and policies creating the jurisdiction’s transportation system are delineated in the Transportation Element</w:t>
            </w:r>
            <w:r>
              <w:t>,</w:t>
            </w:r>
            <w:r w:rsidRPr="00AB3BFE">
              <w:t xml:space="preserve"> and the Future Transportation Map identifies th</w:t>
            </w:r>
            <w:r>
              <w:t>os</w:t>
            </w:r>
            <w:r w:rsidRPr="00AB3BFE">
              <w:t xml:space="preserve">e transportation facilities </w:t>
            </w:r>
            <w:r>
              <w:t xml:space="preserve">necessary to accommodate and </w:t>
            </w:r>
            <w:r w:rsidRPr="00AB3BFE">
              <w:t>serve the future growth and development depicted on the Future Land Use Map</w:t>
            </w:r>
            <w:r>
              <w:t xml:space="preserve"> (FLUM)</w:t>
            </w:r>
            <w:r w:rsidRPr="00AB3BFE">
              <w:t>.  The Capital Improvements Element</w:t>
            </w:r>
            <w:r>
              <w:t xml:space="preserve"> and associated 5-year Schedule of Capital Improvements (which specify the sequencing and funding for transportation projects and other public projects required to maintain adopted Levels of Service)</w:t>
            </w:r>
            <w:r w:rsidRPr="00AB3BFE">
              <w:t xml:space="preserve"> must also be consistent with the Future Land Use and Transportation elements.  The Intergovernmental Coordination Element identifies the agencies and organization</w:t>
            </w:r>
            <w:r>
              <w:t>s</w:t>
            </w:r>
            <w:r w:rsidRPr="00AB3BFE">
              <w:t xml:space="preserve"> with which the local government will coordinate its planning activities and outlines the coordination mechanisms that will be used.</w:t>
            </w:r>
          </w:p>
        </w:tc>
      </w:tr>
    </w:tbl>
    <w:p w:rsidR="00225952" w:rsidRDefault="00225952">
      <w:pPr>
        <w:pStyle w:val="Heading2"/>
        <w:rPr>
          <w:lang w:eastAsia="ko-KR"/>
        </w:rPr>
        <w:sectPr w:rsidR="00225952" w:rsidSect="00832911">
          <w:headerReference w:type="default" r:id="rId138"/>
          <w:pgSz w:w="12240" w:h="15840"/>
          <w:pgMar w:top="1440" w:right="720" w:bottom="1440" w:left="1152" w:header="720" w:footer="720" w:gutter="0"/>
          <w:cols w:space="720"/>
          <w:docGrid w:linePitch="360"/>
        </w:sectPr>
      </w:pPr>
    </w:p>
    <w:p w:rsidR="00225952" w:rsidRDefault="00225952">
      <w:pPr>
        <w:pStyle w:val="Heading2"/>
        <w:rPr>
          <w:lang w:eastAsia="ko-KR"/>
        </w:rPr>
        <w:sectPr w:rsidR="00225952" w:rsidSect="00832911">
          <w:headerReference w:type="default" r:id="rId139"/>
          <w:type w:val="continuous"/>
          <w:pgSz w:w="12240" w:h="15840"/>
          <w:pgMar w:top="1440" w:right="720" w:bottom="1440" w:left="1152" w:header="720" w:footer="720" w:gutter="0"/>
          <w:cols w:space="720"/>
          <w:docGrid w:linePitch="360"/>
        </w:sectPr>
      </w:pPr>
      <w:bookmarkStart w:id="118" w:name="_Toc256487934"/>
    </w:p>
    <w:tbl>
      <w:tblPr>
        <w:tblW w:w="10080" w:type="dxa"/>
        <w:tblInd w:w="115" w:type="dxa"/>
        <w:tblLayout w:type="fixed"/>
        <w:tblCellMar>
          <w:left w:w="115" w:type="dxa"/>
          <w:right w:w="115" w:type="dxa"/>
        </w:tblCellMar>
        <w:tblLook w:val="0000"/>
      </w:tblPr>
      <w:tblGrid>
        <w:gridCol w:w="2253"/>
        <w:gridCol w:w="7827"/>
      </w:tblGrid>
      <w:tr w:rsidR="00225952" w:rsidRPr="007C475C" w:rsidTr="00225952">
        <w:tc>
          <w:tcPr>
            <w:tcW w:w="10080" w:type="dxa"/>
            <w:gridSpan w:val="2"/>
          </w:tcPr>
          <w:p w:rsidR="00225952" w:rsidRDefault="00225952">
            <w:pPr>
              <w:pStyle w:val="Heading2"/>
              <w:rPr>
                <w:lang w:eastAsia="ko-KR"/>
              </w:rPr>
            </w:pPr>
            <w:bookmarkStart w:id="119" w:name="_Toc263447867"/>
            <w:bookmarkStart w:id="120" w:name="_Toc264274112"/>
            <w:r>
              <w:rPr>
                <w:lang w:eastAsia="ko-KR"/>
              </w:rPr>
              <w:lastRenderedPageBreak/>
              <w:t xml:space="preserve">3.2 </w:t>
            </w:r>
            <w:r w:rsidRPr="009E1852">
              <w:rPr>
                <w:lang w:eastAsia="ko-KR"/>
              </w:rPr>
              <w:t>The Comprehensive Plan Amendment Process</w:t>
            </w:r>
            <w:bookmarkEnd w:id="118"/>
            <w:bookmarkEnd w:id="119"/>
            <w:bookmarkEnd w:id="120"/>
          </w:p>
        </w:tc>
      </w:tr>
      <w:tr w:rsidR="00225952" w:rsidRPr="007C475C" w:rsidTr="00225952">
        <w:tc>
          <w:tcPr>
            <w:tcW w:w="2253" w:type="dxa"/>
          </w:tcPr>
          <w:p w:rsidR="00225952" w:rsidRPr="007C475C" w:rsidRDefault="00225952" w:rsidP="00225952">
            <w:pPr>
              <w:pStyle w:val="Heading3"/>
            </w:pPr>
          </w:p>
        </w:tc>
        <w:tc>
          <w:tcPr>
            <w:tcW w:w="7827" w:type="dxa"/>
          </w:tcPr>
          <w:p w:rsidR="00225952" w:rsidRPr="008B3FF5" w:rsidRDefault="00225952" w:rsidP="00225952">
            <w:r>
              <w:t>A citizen, property owner, or the local government itself may initiate an amendment of the local comprehensive plan.  Amendments</w:t>
            </w:r>
            <w:r w:rsidRPr="008C3C91">
              <w:t xml:space="preserve"> </w:t>
            </w:r>
            <w:r>
              <w:t>often</w:t>
            </w:r>
            <w:r w:rsidRPr="008C3C91">
              <w:t xml:space="preserve"> involve changing </w:t>
            </w:r>
            <w:r>
              <w:t>the future land use designation of property to another designation that allows a different</w:t>
            </w:r>
            <w:r w:rsidRPr="008C3C91">
              <w:t xml:space="preserve"> (usually greater) amount of residential development</w:t>
            </w:r>
            <w:r>
              <w:t xml:space="preserve">.  Future Land Use Map changes may alter </w:t>
            </w:r>
            <w:r w:rsidRPr="008C3C91">
              <w:t xml:space="preserve">the intensity of allowed non-residential development or the types of land uses allowed on the property. </w:t>
            </w:r>
            <w:r>
              <w:t xml:space="preserve"> In addition to such Future Land Use Map amendments, changes to the comprehensive plan’s goals, objectives and policies (text) may be requested.</w:t>
            </w:r>
          </w:p>
        </w:tc>
      </w:tr>
      <w:tr w:rsidR="00225952" w:rsidRPr="007C475C" w:rsidTr="00225952">
        <w:tc>
          <w:tcPr>
            <w:tcW w:w="2253" w:type="dxa"/>
          </w:tcPr>
          <w:p w:rsidR="00225952" w:rsidRPr="007C475C" w:rsidRDefault="00225952" w:rsidP="00225952">
            <w:pPr>
              <w:pStyle w:val="Heading3"/>
            </w:pPr>
          </w:p>
        </w:tc>
        <w:tc>
          <w:tcPr>
            <w:tcW w:w="7827" w:type="dxa"/>
          </w:tcPr>
          <w:p w:rsidR="00225952" w:rsidRDefault="00225952">
            <w:r>
              <w:t>The amendment application is first considered by the local planning agency.  P</w:t>
            </w:r>
            <w:r w:rsidRPr="008C3C91">
              <w:t xml:space="preserve">ursuant to s.163.3174, F.S., the local planning agency (usually the planning board or the local governing body) is responsible for </w:t>
            </w:r>
            <w:r>
              <w:t>preparing the comprehensive plan</w:t>
            </w:r>
            <w:r w:rsidRPr="008C3C91">
              <w:t xml:space="preserve"> and plan amendment</w:t>
            </w:r>
            <w:r>
              <w:t>s</w:t>
            </w:r>
            <w:r w:rsidRPr="008C3C91">
              <w:t>, as well as the evaluation and appraisal report</w:t>
            </w:r>
            <w:r>
              <w:t xml:space="preserve"> (see below)</w:t>
            </w:r>
            <w:r w:rsidRPr="008C3C91">
              <w:t xml:space="preserve">.  After a public hearing, the local planning agency makes </w:t>
            </w:r>
            <w:r>
              <w:t>a recommendation</w:t>
            </w:r>
            <w:r w:rsidRPr="008C3C91">
              <w:t xml:space="preserve"> to the governing body regarding the </w:t>
            </w:r>
            <w:r>
              <w:t>requested</w:t>
            </w:r>
            <w:r w:rsidRPr="008C3C91">
              <w:t xml:space="preserve"> plan amendment.</w:t>
            </w:r>
          </w:p>
        </w:tc>
      </w:tr>
      <w:tr w:rsidR="00225952" w:rsidRPr="007C475C" w:rsidTr="00225952">
        <w:tc>
          <w:tcPr>
            <w:tcW w:w="10080" w:type="dxa"/>
            <w:gridSpan w:val="2"/>
          </w:tcPr>
          <w:p w:rsidR="00225952" w:rsidRDefault="00225952" w:rsidP="00225952">
            <w:pPr>
              <w:pStyle w:val="Heading3"/>
            </w:pPr>
            <w:bookmarkStart w:id="121" w:name="_Toc256487935"/>
            <w:bookmarkStart w:id="122" w:name="_Toc263447868"/>
            <w:bookmarkStart w:id="123" w:name="_Toc264274113"/>
            <w:r>
              <w:t>3.2.1</w:t>
            </w:r>
            <w:r w:rsidR="007F37F3">
              <w:t xml:space="preserve"> </w:t>
            </w:r>
            <w:r>
              <w:t xml:space="preserve"> FLUM</w:t>
            </w:r>
            <w:bookmarkEnd w:id="121"/>
            <w:bookmarkEnd w:id="122"/>
            <w:r w:rsidR="007F37F3">
              <w:t xml:space="preserve"> - </w:t>
            </w:r>
            <w:r w:rsidR="007F37F3" w:rsidRPr="007F37F3">
              <w:t>Future Land Use Map</w:t>
            </w:r>
            <w:bookmarkEnd w:id="123"/>
          </w:p>
        </w:tc>
      </w:tr>
      <w:tr w:rsidR="00225952" w:rsidRPr="007C475C" w:rsidTr="00225952">
        <w:tc>
          <w:tcPr>
            <w:tcW w:w="2253" w:type="dxa"/>
          </w:tcPr>
          <w:p w:rsidR="00225952" w:rsidRDefault="00225952">
            <w:pPr>
              <w:pStyle w:val="Heading4"/>
            </w:pPr>
          </w:p>
          <w:p w:rsidR="00225952" w:rsidRDefault="00225952"/>
          <w:p w:rsidR="00225952" w:rsidRDefault="00225952">
            <w:pPr>
              <w:pStyle w:val="HeadSide2"/>
            </w:pPr>
            <w:r>
              <w:t>System must have sufficient capacity for proposed development</w:t>
            </w:r>
          </w:p>
        </w:tc>
        <w:tc>
          <w:tcPr>
            <w:tcW w:w="7827" w:type="dxa"/>
          </w:tcPr>
          <w:p w:rsidR="00225952" w:rsidRDefault="00225952">
            <w:r>
              <w:t xml:space="preserve">Future Land Use Map </w:t>
            </w:r>
            <w:r w:rsidRPr="008C3C91">
              <w:t>amendment</w:t>
            </w:r>
            <w:r>
              <w:t xml:space="preserve">s and text changes to the Traffic Circulation or Transportation Elements </w:t>
            </w:r>
            <w:r w:rsidRPr="008C3C91">
              <w:t xml:space="preserve">should be supported </w:t>
            </w:r>
            <w:r>
              <w:t xml:space="preserve">or </w:t>
            </w:r>
            <w:r w:rsidRPr="008C3C91">
              <w:t xml:space="preserve">justified by a transportation impact analysis included in the amendment package.  The analysis should provide information that will allow a determination of whether the transportation system has sufficient capacity to accommodate the impacts of the proposed level of development and whether mitigation is needed.  </w:t>
            </w:r>
            <w:r>
              <w:t>Many local governments have established thresholds for when an amendment must include a transportation impact analysis, so that amendments which are below the threshold do not need such a supporting analysis.</w:t>
            </w:r>
          </w:p>
        </w:tc>
      </w:tr>
      <w:tr w:rsidR="00225952" w:rsidRPr="007C475C" w:rsidTr="00225952">
        <w:tc>
          <w:tcPr>
            <w:tcW w:w="2253" w:type="dxa"/>
          </w:tcPr>
          <w:p w:rsidR="00225952" w:rsidRPr="007C475C" w:rsidRDefault="00225952" w:rsidP="00225952">
            <w:pPr>
              <w:pStyle w:val="Heading3"/>
            </w:pPr>
          </w:p>
        </w:tc>
        <w:tc>
          <w:tcPr>
            <w:tcW w:w="7827" w:type="dxa"/>
          </w:tcPr>
          <w:p w:rsidR="00225952" w:rsidRDefault="00225952">
            <w:r w:rsidRPr="008B3FF5">
              <w:t xml:space="preserve">The comprehensive plan amendment process is time sensitive with specific limitations on review periods. </w:t>
            </w:r>
            <w:r>
              <w:t xml:space="preserve"> </w:t>
            </w:r>
            <w:r w:rsidRPr="008B3FF5">
              <w:t>The FDOT reviewer sho</w:t>
            </w:r>
            <w:r>
              <w:t>uld thoroughly understand state</w:t>
            </w:r>
            <w:r w:rsidRPr="008B3FF5">
              <w:t xml:space="preserve"> statute and rule requirements regarding comprehensive plan amendments. </w:t>
            </w:r>
            <w:r>
              <w:t xml:space="preserve"> </w:t>
            </w:r>
            <w:r w:rsidRPr="004D42E9">
              <w:t>T</w:t>
            </w:r>
            <w:r w:rsidRPr="006A5A2D">
              <w:t xml:space="preserve">he applicable statutory authority, existing guidance and suggested review procedures are provided in the </w:t>
            </w:r>
            <w:r>
              <w:rPr>
                <w:rFonts w:ascii="Tahoma" w:hAnsi="Tahoma" w:cs="Tahoma"/>
                <w:color w:val="000000"/>
                <w:sz w:val="20"/>
              </w:rPr>
              <w:t xml:space="preserve">resources at the end of this </w:t>
            </w:r>
            <w:r w:rsidR="002274C7">
              <w:rPr>
                <w:rFonts w:ascii="Tahoma" w:hAnsi="Tahoma" w:cs="Tahoma"/>
                <w:color w:val="000000"/>
                <w:sz w:val="20"/>
              </w:rPr>
              <w:t>section</w:t>
            </w:r>
            <w:r w:rsidRPr="006A5A2D">
              <w:t xml:space="preserve">. </w:t>
            </w:r>
          </w:p>
        </w:tc>
      </w:tr>
      <w:tr w:rsidR="00225952" w:rsidRPr="007C475C" w:rsidTr="00225952">
        <w:tc>
          <w:tcPr>
            <w:tcW w:w="2253" w:type="dxa"/>
          </w:tcPr>
          <w:p w:rsidR="00225952" w:rsidRPr="007C475C" w:rsidRDefault="00225952" w:rsidP="00225952">
            <w:pPr>
              <w:pStyle w:val="Heading3"/>
            </w:pPr>
          </w:p>
        </w:tc>
        <w:tc>
          <w:tcPr>
            <w:tcW w:w="7827" w:type="dxa"/>
          </w:tcPr>
          <w:p w:rsidR="00225952" w:rsidRDefault="00225952">
            <w:r>
              <w:t>T</w:t>
            </w:r>
            <w:r w:rsidRPr="006A5A2D">
              <w:t>he large</w:t>
            </w:r>
            <w:r>
              <w:t>-</w:t>
            </w:r>
            <w:r w:rsidRPr="006A5A2D">
              <w:t xml:space="preserve">scale plan amendment process is summarized below.  The statute </w:t>
            </w:r>
            <w:r>
              <w:t xml:space="preserve">provides for </w:t>
            </w:r>
            <w:r w:rsidRPr="006A5A2D">
              <w:t>11 differen</w:t>
            </w:r>
            <w:r>
              <w:t>t</w:t>
            </w:r>
            <w:r w:rsidRPr="006A5A2D">
              <w:t xml:space="preserve"> review processes</w:t>
            </w:r>
            <w:r>
              <w:t xml:space="preserve"> of such amendments</w:t>
            </w:r>
            <w:r w:rsidRPr="006A5A2D">
              <w:t xml:space="preserve">, most of which are applicable in only very limited circumstances.  </w:t>
            </w:r>
            <w:r>
              <w:t xml:space="preserve">Normally, large-scale amendments may be adopted by a local government no more than two times </w:t>
            </w:r>
            <w:r>
              <w:lastRenderedPageBreak/>
              <w:t xml:space="preserve">per year.  However, please be aware that the statute contains 34 exceptions to the twice per year limitation.  </w:t>
            </w:r>
          </w:p>
        </w:tc>
      </w:tr>
      <w:tr w:rsidR="007F37F3" w:rsidRPr="007C475C" w:rsidTr="00225952">
        <w:tc>
          <w:tcPr>
            <w:tcW w:w="2253" w:type="dxa"/>
          </w:tcPr>
          <w:p w:rsidR="007F37F3" w:rsidRPr="007C475C" w:rsidRDefault="007F37F3" w:rsidP="00225952">
            <w:pPr>
              <w:pStyle w:val="Heading3"/>
            </w:pPr>
          </w:p>
        </w:tc>
        <w:tc>
          <w:tcPr>
            <w:tcW w:w="7827" w:type="dxa"/>
          </w:tcPr>
          <w:p w:rsidR="007F37F3" w:rsidRDefault="007F37F3">
            <w:r w:rsidRPr="002F7415">
              <w:rPr>
                <w:sz w:val="22"/>
              </w:rPr>
              <w:t>A pilot review program is detailed in 163.32465 (2).</w:t>
            </w:r>
            <w:r w:rsidRPr="00DA1855">
              <w:t xml:space="preserve"> </w:t>
            </w:r>
            <w:r>
              <w:t>This streamlined review program is applicable to several p</w:t>
            </w:r>
            <w:r w:rsidRPr="00DA1855">
              <w:t xml:space="preserve">ilot local governments </w:t>
            </w:r>
            <w:r>
              <w:t>in</w:t>
            </w:r>
            <w:r w:rsidRPr="00DA1855">
              <w:t xml:space="preserve"> highly developed </w:t>
            </w:r>
            <w:r>
              <w:t>and populated counties.</w:t>
            </w:r>
          </w:p>
        </w:tc>
      </w:tr>
      <w:tr w:rsidR="00225952" w:rsidRPr="007C475C" w:rsidTr="00225952">
        <w:tc>
          <w:tcPr>
            <w:tcW w:w="10080" w:type="dxa"/>
            <w:gridSpan w:val="2"/>
          </w:tcPr>
          <w:p w:rsidR="00225952" w:rsidRDefault="00225952" w:rsidP="00225952">
            <w:pPr>
              <w:pStyle w:val="Heading3"/>
            </w:pPr>
            <w:bookmarkStart w:id="124" w:name="_Toc256487936"/>
            <w:bookmarkStart w:id="125" w:name="_Toc263447869"/>
            <w:bookmarkStart w:id="126" w:name="_Toc264274114"/>
            <w:r>
              <w:rPr>
                <w:lang w:eastAsia="ko-KR"/>
              </w:rPr>
              <w:t xml:space="preserve">3.2.2 Proposed Large </w:t>
            </w:r>
            <w:r w:rsidRPr="008A6AF0">
              <w:t>Scale</w:t>
            </w:r>
            <w:r>
              <w:rPr>
                <w:lang w:eastAsia="ko-KR"/>
              </w:rPr>
              <w:t xml:space="preserve"> Plan Amendment Process</w:t>
            </w:r>
            <w:bookmarkEnd w:id="124"/>
            <w:bookmarkEnd w:id="125"/>
            <w:bookmarkEnd w:id="126"/>
          </w:p>
        </w:tc>
      </w:tr>
      <w:tr w:rsidR="00225952" w:rsidRPr="007C475C" w:rsidTr="00225952">
        <w:tc>
          <w:tcPr>
            <w:tcW w:w="2253" w:type="dxa"/>
          </w:tcPr>
          <w:p w:rsidR="00225952" w:rsidRDefault="00225952" w:rsidP="00B13815">
            <w:pPr>
              <w:pStyle w:val="HeadSide2"/>
              <w:jc w:val="center"/>
            </w:pPr>
            <w:r>
              <w:rPr>
                <w:noProof/>
              </w:rPr>
              <w:drawing>
                <wp:inline distT="0" distB="0" distL="0" distR="0">
                  <wp:extent cx="1143000" cy="1885950"/>
                  <wp:effectExtent l="38100" t="19050" r="19050" b="19050"/>
                  <wp:docPr id="17" name="Picture 6">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1" cstate="print"/>
                          <a:srcRect/>
                          <a:stretch>
                            <a:fillRect/>
                          </a:stretch>
                        </pic:blipFill>
                        <pic:spPr bwMode="auto">
                          <a:xfrm>
                            <a:off x="0" y="0"/>
                            <a:ext cx="1143000" cy="1885950"/>
                          </a:xfrm>
                          <a:prstGeom prst="rect">
                            <a:avLst/>
                          </a:prstGeom>
                          <a:noFill/>
                          <a:ln w="6350" cmpd="sng">
                            <a:solidFill>
                              <a:srgbClr val="808080"/>
                            </a:solidFill>
                            <a:miter lim="800000"/>
                            <a:headEnd/>
                            <a:tailEnd/>
                          </a:ln>
                          <a:effectLst/>
                        </pic:spPr>
                      </pic:pic>
                    </a:graphicData>
                  </a:graphic>
                </wp:inline>
              </w:drawing>
            </w:r>
          </w:p>
          <w:p w:rsidR="00225952" w:rsidRDefault="00A1003E">
            <w:pPr>
              <w:pStyle w:val="HeadSide2"/>
              <w:jc w:val="center"/>
            </w:pPr>
            <w:r w:rsidRPr="00A1003E">
              <w:rPr>
                <w:noProof/>
              </w:rPr>
              <w:drawing>
                <wp:inline distT="0" distB="0" distL="0" distR="0">
                  <wp:extent cx="1280160" cy="494466"/>
                  <wp:effectExtent l="19050" t="0" r="0" b="0"/>
                  <wp:docPr id="548" name="Picture 95" descr="button_PDFlink.png">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button_PDFlink.png"/>
                          <pic:cNvPicPr>
                            <a:picLocks noChangeAspect="1" noChangeArrowheads="1"/>
                          </pic:cNvPicPr>
                        </pic:nvPicPr>
                        <pic:blipFill>
                          <a:blip r:embed="rId15" cstate="print"/>
                          <a:srcRect/>
                          <a:stretch>
                            <a:fillRect/>
                          </a:stretch>
                        </pic:blipFill>
                        <pic:spPr bwMode="auto">
                          <a:xfrm>
                            <a:off x="0" y="0"/>
                            <a:ext cx="1280160" cy="494466"/>
                          </a:xfrm>
                          <a:prstGeom prst="rect">
                            <a:avLst/>
                          </a:prstGeom>
                          <a:noFill/>
                          <a:ln w="9525">
                            <a:noFill/>
                            <a:miter lim="800000"/>
                            <a:headEnd/>
                            <a:tailEnd/>
                          </a:ln>
                        </pic:spPr>
                      </pic:pic>
                    </a:graphicData>
                  </a:graphic>
                </wp:inline>
              </w:drawing>
            </w:r>
          </w:p>
          <w:p w:rsidR="00B13815" w:rsidRDefault="00B13815" w:rsidP="00B13815">
            <w:pPr>
              <w:pStyle w:val="HeadSide2"/>
              <w:jc w:val="center"/>
            </w:pPr>
            <w:r>
              <w:t>Comp Plan Process</w:t>
            </w:r>
          </w:p>
          <w:p w:rsidR="00701DC3" w:rsidRDefault="00701DC3">
            <w:pPr>
              <w:pStyle w:val="HeadSide2"/>
              <w:jc w:val="center"/>
            </w:pPr>
            <w:r>
              <w:t>Flow Chart</w:t>
            </w:r>
          </w:p>
        </w:tc>
        <w:tc>
          <w:tcPr>
            <w:tcW w:w="7827" w:type="dxa"/>
          </w:tcPr>
          <w:p w:rsidR="00225952" w:rsidRDefault="00225952">
            <w:r>
              <w:t xml:space="preserve">After receiving a recommendation from the local planning agency, the local governing body may transmit the requested plan amendment, with or without changes, to DCA.  </w:t>
            </w:r>
            <w:r w:rsidRPr="008C6101">
              <w:t xml:space="preserve">A flow chart illustrating the </w:t>
            </w:r>
            <w:r>
              <w:t>comprehensive plan a</w:t>
            </w:r>
            <w:r w:rsidRPr="008C6101">
              <w:t xml:space="preserve">mendment process can be accessed by clicking on the </w:t>
            </w:r>
            <w:hyperlink r:id="rId142" w:history="1">
              <w:r w:rsidR="007F37F3">
                <w:rPr>
                  <w:rStyle w:val="Hyperlink"/>
                  <w:rFonts w:cstheme="minorBidi"/>
                </w:rPr>
                <w:t>PDF l</w:t>
              </w:r>
              <w:r w:rsidRPr="00701DC3">
                <w:rPr>
                  <w:rStyle w:val="Hyperlink"/>
                  <w:rFonts w:cstheme="minorBidi"/>
                </w:rPr>
                <w:t>ink</w:t>
              </w:r>
            </w:hyperlink>
            <w:r w:rsidR="00701DC3">
              <w:t>.</w:t>
            </w:r>
          </w:p>
          <w:p w:rsidR="00225952" w:rsidRDefault="00225952">
            <w:r>
              <w:t>Assuming the local governing body decides to submit the request as a proposed plan amendment, copies are sent to DCA, FDOT, and other state and regional review agencies (for a complete list see s.163.3184(3), F.S., and Rule 9J-11.009(6), F.A.C.).  The local government may request that the proposed amendment be reviewed and an Objections, Recommendations and Comments (ORC) report be issued by DCA.  Alternatively, the local government may request that the proposed amendment not be reviewed (s.163.3184(3), F.S.).  However, DCA may elect to review the proposed amendment if no review is requested.  In addition, a proposed amendment must be reviewed if requested by a regional planning council or an affected person, as defined in s.163.3184(1), F.S.  DCA will notify the local government within 35 days of receipt of a complete proposed amendment package if the proposed amendment is to be reviewed or not reviewed.  If an amendment seems likely to raise significant transportation issues, DCA will consult with FDOT before making a decision to review or not review an amendment that the local government has requested be not reviewed.</w:t>
            </w:r>
          </w:p>
        </w:tc>
      </w:tr>
      <w:tr w:rsidR="00225952" w:rsidRPr="007C475C" w:rsidTr="00225952">
        <w:tc>
          <w:tcPr>
            <w:tcW w:w="2253" w:type="dxa"/>
          </w:tcPr>
          <w:p w:rsidR="00225952" w:rsidRPr="007C475C" w:rsidRDefault="00225952" w:rsidP="00225952">
            <w:pPr>
              <w:pStyle w:val="Heading3"/>
            </w:pPr>
          </w:p>
        </w:tc>
        <w:tc>
          <w:tcPr>
            <w:tcW w:w="7827" w:type="dxa"/>
          </w:tcPr>
          <w:p w:rsidR="00225952" w:rsidRDefault="00225952">
            <w:r>
              <w:t>If a review is to be conducted, DCA will complete the review within 60 days after receiving the proposed amendment.  DCA will notify the state and regional review agencies that they should submit their reviews of the proposed amendment to DCA within 30 days of receipt of the proposed amendment (DCA will notify FDOT and the other review agencies of the exact date by which their reviews should be received by DCA).  DCA attaches all agency reviews to the ORC Report to ensure that the local government has copies.</w:t>
            </w:r>
          </w:p>
        </w:tc>
      </w:tr>
      <w:tr w:rsidR="00225952" w:rsidRPr="007C475C" w:rsidTr="00225952">
        <w:tc>
          <w:tcPr>
            <w:tcW w:w="2253" w:type="dxa"/>
          </w:tcPr>
          <w:p w:rsidR="00225952" w:rsidRDefault="00225952" w:rsidP="00225952">
            <w:pPr>
              <w:pStyle w:val="Heading3"/>
            </w:pPr>
          </w:p>
          <w:p w:rsidR="00225952" w:rsidRDefault="00225952"/>
          <w:p w:rsidR="00225952" w:rsidRDefault="00CD306D" w:rsidP="00CD306D">
            <w:pPr>
              <w:pStyle w:val="HeadSide20"/>
              <w:spacing w:after="0"/>
              <w:ind w:right="0"/>
              <w:jc w:val="center"/>
            </w:pPr>
            <w:r w:rsidRPr="00CD306D">
              <w:rPr>
                <w:noProof/>
              </w:rPr>
              <w:lastRenderedPageBreak/>
              <w:drawing>
                <wp:inline distT="0" distB="0" distL="0" distR="0">
                  <wp:extent cx="1280160" cy="494466"/>
                  <wp:effectExtent l="19050" t="0" r="0" b="0"/>
                  <wp:docPr id="549" name="Picture 96" descr="button_web.png">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button_web.png"/>
                          <pic:cNvPicPr>
                            <a:picLocks noChangeAspect="1" noChangeArrowheads="1"/>
                          </pic:cNvPicPr>
                        </pic:nvPicPr>
                        <pic:blipFill>
                          <a:blip r:embed="rId26" cstate="print"/>
                          <a:srcRect/>
                          <a:stretch>
                            <a:fillRect/>
                          </a:stretch>
                        </pic:blipFill>
                        <pic:spPr bwMode="auto">
                          <a:xfrm>
                            <a:off x="0" y="0"/>
                            <a:ext cx="1280160" cy="494466"/>
                          </a:xfrm>
                          <a:prstGeom prst="rect">
                            <a:avLst/>
                          </a:prstGeom>
                          <a:noFill/>
                          <a:ln w="9525">
                            <a:noFill/>
                            <a:miter lim="800000"/>
                            <a:headEnd/>
                            <a:tailEnd/>
                          </a:ln>
                        </pic:spPr>
                      </pic:pic>
                    </a:graphicData>
                  </a:graphic>
                </wp:inline>
              </w:drawing>
            </w:r>
            <w:r w:rsidR="00701DC3">
              <w:t>DCA ORC Reports</w:t>
            </w:r>
          </w:p>
        </w:tc>
        <w:tc>
          <w:tcPr>
            <w:tcW w:w="7827" w:type="dxa"/>
          </w:tcPr>
          <w:p w:rsidR="00225952" w:rsidRDefault="00225952">
            <w:r w:rsidRPr="00F13114">
              <w:lastRenderedPageBreak/>
              <w:t xml:space="preserve">The ORC Report </w:t>
            </w:r>
            <w:r>
              <w:t>documents whether a</w:t>
            </w:r>
            <w:r w:rsidRPr="00F13114">
              <w:t xml:space="preserve"> proposed amendment is inconsistent with the provisions of Chapter 163, Part II, F. S., Rule 9J-5, F.A.C., </w:t>
            </w:r>
            <w:r>
              <w:t xml:space="preserve">the applicable strategic regional policy plan, and </w:t>
            </w:r>
            <w:r w:rsidRPr="00F13114">
              <w:t>the State Compreh</w:t>
            </w:r>
            <w:r>
              <w:t xml:space="preserve">ensive Plan (Chapter 187, </w:t>
            </w:r>
            <w:r>
              <w:lastRenderedPageBreak/>
              <w:t>F.S.)</w:t>
            </w:r>
            <w:r w:rsidRPr="00F13114">
              <w:t>.  The report also includes recommendations for revising the proposed amendment so that, if adopted, it would be consistent with these requirements.  DCA post</w:t>
            </w:r>
            <w:r>
              <w:t>s</w:t>
            </w:r>
            <w:r w:rsidRPr="00F13114">
              <w:t xml:space="preserve"> ORC Reports</w:t>
            </w:r>
            <w:r>
              <w:t xml:space="preserve"> on its web site </w:t>
            </w:r>
            <w:r w:rsidRPr="00F13114">
              <w:t xml:space="preserve">(see </w:t>
            </w:r>
            <w:hyperlink r:id="rId144" w:history="1">
              <w:r w:rsidRPr="00F13114">
                <w:rPr>
                  <w:rStyle w:val="Hyperlink"/>
                  <w:szCs w:val="24"/>
                </w:rPr>
                <w:t>Objections, Recommendations and Comments, Reports, Notices of Intent and Public School Interlocal Agreements Online</w:t>
              </w:r>
            </w:hyperlink>
            <w:r w:rsidRPr="00F13114">
              <w:t xml:space="preserve"> web page). </w:t>
            </w:r>
          </w:p>
        </w:tc>
      </w:tr>
      <w:tr w:rsidR="00225952" w:rsidRPr="007C475C" w:rsidTr="00225952">
        <w:tc>
          <w:tcPr>
            <w:tcW w:w="2253" w:type="dxa"/>
          </w:tcPr>
          <w:p w:rsidR="00225952" w:rsidRPr="007C475C" w:rsidRDefault="00225952" w:rsidP="00225952">
            <w:pPr>
              <w:pStyle w:val="Heading3"/>
            </w:pPr>
          </w:p>
        </w:tc>
        <w:tc>
          <w:tcPr>
            <w:tcW w:w="7827" w:type="dxa"/>
          </w:tcPr>
          <w:p w:rsidR="00225952" w:rsidRPr="002352EB" w:rsidRDefault="00225952" w:rsidP="00B8640B">
            <w:pPr>
              <w:spacing w:after="120"/>
              <w:rPr>
                <w:sz w:val="24"/>
                <w:szCs w:val="24"/>
              </w:rPr>
            </w:pPr>
            <w:r>
              <w:t>A new FDOT reviewer may want to refer to an old ORC report prior to review.  This will assist the FDOT reviewer with their comments and to identify who the DCA reviewer for their area is.  It is also suggested that the reviewer coordinate with the DCA reviewer prior to any deadlines.</w:t>
            </w:r>
          </w:p>
        </w:tc>
      </w:tr>
      <w:tr w:rsidR="00225952" w:rsidRPr="007C475C" w:rsidTr="00225952">
        <w:tc>
          <w:tcPr>
            <w:tcW w:w="10080" w:type="dxa"/>
            <w:gridSpan w:val="2"/>
          </w:tcPr>
          <w:p w:rsidR="00225952" w:rsidRDefault="00225952" w:rsidP="00225952">
            <w:pPr>
              <w:pStyle w:val="Heading3"/>
              <w:rPr>
                <w:lang w:eastAsia="ko-KR"/>
              </w:rPr>
            </w:pPr>
            <w:bookmarkStart w:id="127" w:name="_Toc256487937"/>
            <w:bookmarkStart w:id="128" w:name="_Toc263447870"/>
            <w:bookmarkStart w:id="129" w:name="_Toc264274115"/>
            <w:r>
              <w:rPr>
                <w:lang w:eastAsia="ko-KR"/>
              </w:rPr>
              <w:t>3.2.3 Adopted Large Scale Plan Amendment Process</w:t>
            </w:r>
            <w:bookmarkEnd w:id="127"/>
            <w:bookmarkEnd w:id="128"/>
            <w:bookmarkEnd w:id="129"/>
          </w:p>
        </w:tc>
      </w:tr>
      <w:tr w:rsidR="00225952" w:rsidRPr="007C475C" w:rsidTr="00225952">
        <w:tc>
          <w:tcPr>
            <w:tcW w:w="2253" w:type="dxa"/>
          </w:tcPr>
          <w:p w:rsidR="00225952" w:rsidRDefault="00225952">
            <w:pPr>
              <w:pStyle w:val="HeadSide2"/>
            </w:pPr>
            <w:r>
              <w:t xml:space="preserve">Local government decides within </w:t>
            </w:r>
            <w:r w:rsidR="00B8640B">
              <w:br/>
            </w:r>
            <w:r>
              <w:t>60 – 120 days.</w:t>
            </w:r>
          </w:p>
        </w:tc>
        <w:tc>
          <w:tcPr>
            <w:tcW w:w="7827" w:type="dxa"/>
          </w:tcPr>
          <w:p w:rsidR="00225952" w:rsidRPr="008B3FF5" w:rsidRDefault="00225952" w:rsidP="00B8640B">
            <w:pPr>
              <w:spacing w:after="120"/>
            </w:pPr>
            <w:r w:rsidRPr="00F13114">
              <w:t>After receiving the DCA ORC Report, the local government must decide within 60 days whether it will adopt the amendment as proposed</w:t>
            </w:r>
            <w:r>
              <w:t xml:space="preserve"> (transmitted)</w:t>
            </w:r>
            <w:r w:rsidRPr="00F13114">
              <w:t>, adopt the amendment with changes, or not adopt the amendment at all.  In the case of new comprehensive plan and amendments</w:t>
            </w:r>
            <w:r>
              <w:t xml:space="preserve"> that implement the recommendations in an evaluation and appraisal report</w:t>
            </w:r>
            <w:r w:rsidRPr="00F13114">
              <w:t>, the time period to adopt, not adopt or a</w:t>
            </w:r>
            <w:r>
              <w:t xml:space="preserve">dopt with changes is 120 days. </w:t>
            </w:r>
          </w:p>
        </w:tc>
      </w:tr>
      <w:tr w:rsidR="00225952" w:rsidRPr="007C475C" w:rsidTr="00225952">
        <w:tc>
          <w:tcPr>
            <w:tcW w:w="2253" w:type="dxa"/>
          </w:tcPr>
          <w:p w:rsidR="00225952" w:rsidRDefault="00225952">
            <w:pPr>
              <w:pStyle w:val="HeadSide2"/>
            </w:pPr>
          </w:p>
          <w:p w:rsidR="00225952" w:rsidRDefault="00225952">
            <w:pPr>
              <w:pStyle w:val="HeadSide2"/>
            </w:pPr>
            <w:r>
              <w:t>Notice of intent within 20 days.</w:t>
            </w:r>
          </w:p>
        </w:tc>
        <w:tc>
          <w:tcPr>
            <w:tcW w:w="7827" w:type="dxa"/>
          </w:tcPr>
          <w:p w:rsidR="00225952" w:rsidRPr="008B3FF5" w:rsidRDefault="00225952" w:rsidP="00B8640B">
            <w:pPr>
              <w:spacing w:after="120"/>
            </w:pPr>
            <w:r w:rsidRPr="00F13114">
              <w:t>After the local government adopts the amendment, it is submitted to DCA for a compliance review.  If there were no objections to the proposed amendment and the amendment was adopted exactly as proposed, then DCA must issue, within 20 days after receipt of the adopted amendment, a notice of intent finding the amendment in compliance.  The notice is published by DCA in a local newspaper c</w:t>
            </w:r>
            <w:r>
              <w:t xml:space="preserve">hosen by the local government. </w:t>
            </w:r>
          </w:p>
        </w:tc>
      </w:tr>
      <w:tr w:rsidR="00225952" w:rsidRPr="007C475C" w:rsidTr="00225952">
        <w:tc>
          <w:tcPr>
            <w:tcW w:w="2253" w:type="dxa"/>
          </w:tcPr>
          <w:p w:rsidR="00225952" w:rsidRDefault="00225952">
            <w:pPr>
              <w:pStyle w:val="HeadSide2"/>
            </w:pPr>
          </w:p>
          <w:p w:rsidR="00225952" w:rsidRDefault="00225952">
            <w:pPr>
              <w:pStyle w:val="HeadSide2"/>
            </w:pPr>
          </w:p>
          <w:p w:rsidR="00225952" w:rsidRDefault="00225952">
            <w:pPr>
              <w:pStyle w:val="HeadSide2"/>
            </w:pPr>
            <w:r>
              <w:t xml:space="preserve">DCA issues </w:t>
            </w:r>
            <w:r>
              <w:br/>
              <w:t>notice of intent within 45 days</w:t>
            </w:r>
          </w:p>
        </w:tc>
        <w:tc>
          <w:tcPr>
            <w:tcW w:w="7827" w:type="dxa"/>
          </w:tcPr>
          <w:p w:rsidR="00225952" w:rsidRDefault="00225952" w:rsidP="00B8640B">
            <w:pPr>
              <w:spacing w:after="120"/>
            </w:pPr>
            <w:r w:rsidRPr="00F13114">
              <w:t xml:space="preserve">The </w:t>
            </w:r>
            <w:r w:rsidRPr="00594567">
              <w:rPr>
                <w:i/>
              </w:rPr>
              <w:t>adopted</w:t>
            </w:r>
            <w:r w:rsidRPr="00F13114">
              <w:t xml:space="preserve"> amendment may or may not include changes made to the </w:t>
            </w:r>
            <w:r w:rsidRPr="00594567">
              <w:rPr>
                <w:i/>
              </w:rPr>
              <w:t>proposed</w:t>
            </w:r>
            <w:r w:rsidRPr="00F13114">
              <w:t xml:space="preserve"> amendment </w:t>
            </w:r>
            <w:r>
              <w:t>in</w:t>
            </w:r>
            <w:r w:rsidRPr="00F13114">
              <w:t xml:space="preserve"> respon</w:t>
            </w:r>
            <w:r>
              <w:t>se</w:t>
            </w:r>
            <w:r w:rsidRPr="00F13114">
              <w:t xml:space="preserve"> to the objections included in the DCA ORC Report or for some other reason</w:t>
            </w:r>
            <w:r>
              <w:t>, such as reconsideration of the scope of the amendment by the local governing body</w:t>
            </w:r>
            <w:r w:rsidRPr="00F13114">
              <w:t xml:space="preserve">.  </w:t>
            </w:r>
            <w:r>
              <w:t>For amendments that were subject to an ORC Report, r</w:t>
            </w:r>
            <w:r w:rsidRPr="00F13114">
              <w:t>egardless of whether or not changes were made</w:t>
            </w:r>
            <w:r>
              <w:t xml:space="preserve"> to the proposed amendment</w:t>
            </w:r>
            <w:r w:rsidRPr="00F13114">
              <w:t xml:space="preserve">, DCA has 45 days to review the adopted amendment and issue a notice of intent finding the adopted amendment either in compliance or not in compliance.  DCA’s compliance determination is based on the objections included in the ORC Report and any changes made by the local government to the plan amendment as adopted.  If the ORC Report included transportation-related objections, FDOT should carefully review the adopted amendment to see if these objectives have been adequately addressed in the adopted amendment and any concerns should be shared with DCA.  </w:t>
            </w:r>
          </w:p>
          <w:p w:rsidR="00835D35" w:rsidRPr="008B3FF5" w:rsidRDefault="00835D35" w:rsidP="00835D35">
            <w:pPr>
              <w:spacing w:after="240"/>
            </w:pPr>
          </w:p>
        </w:tc>
      </w:tr>
      <w:tr w:rsidR="00225952" w:rsidRPr="007C475C" w:rsidTr="00225952">
        <w:tc>
          <w:tcPr>
            <w:tcW w:w="2253" w:type="dxa"/>
          </w:tcPr>
          <w:p w:rsidR="00225952" w:rsidRDefault="00225952">
            <w:pPr>
              <w:pStyle w:val="HeadSide2"/>
            </w:pPr>
            <w:r>
              <w:lastRenderedPageBreak/>
              <w:t>Amendment goes in effect 21 days after notice.</w:t>
            </w:r>
          </w:p>
        </w:tc>
        <w:tc>
          <w:tcPr>
            <w:tcW w:w="7827" w:type="dxa"/>
          </w:tcPr>
          <w:p w:rsidR="00225952" w:rsidRPr="008B3FF5" w:rsidRDefault="00225952" w:rsidP="00835D35">
            <w:pPr>
              <w:spacing w:after="120"/>
            </w:pPr>
            <w:r w:rsidRPr="00F13114">
              <w:t xml:space="preserve">If DCA finds the plan amendment </w:t>
            </w:r>
            <w:r>
              <w:t>I</w:t>
            </w:r>
            <w:r w:rsidRPr="00F13114">
              <w:t xml:space="preserve">n </w:t>
            </w:r>
            <w:r>
              <w:t>C</w:t>
            </w:r>
            <w:r w:rsidRPr="00F13114">
              <w:t xml:space="preserve">ompliance, </w:t>
            </w:r>
            <w:r>
              <w:t>the amendment goes in effect 21 days after publication of the notice, unless an</w:t>
            </w:r>
            <w:r w:rsidRPr="00F13114">
              <w:t xml:space="preserve"> affected person file</w:t>
            </w:r>
            <w:r>
              <w:t>s</w:t>
            </w:r>
            <w:r w:rsidRPr="00F13114">
              <w:t xml:space="preserve"> a petition with DCA challenging the finding of </w:t>
            </w:r>
            <w:r>
              <w:t>I</w:t>
            </w:r>
            <w:r w:rsidRPr="00F13114">
              <w:t xml:space="preserve">n </w:t>
            </w:r>
            <w:r>
              <w:t>C</w:t>
            </w:r>
            <w:r w:rsidRPr="00F13114">
              <w:t xml:space="preserve">ompliance.  The petition must be filed within 21 days after the publication of the notice.  The petition will request that a hearing be conduction by an administrative law judge of the Division of Administrative Hearings of the Department of Management Services.  After the hearing, the administrative law judge will file a recommended order regarding the compliance of the plan amendment.  DCA will issue a final order if it determines the plan amendment is </w:t>
            </w:r>
            <w:r>
              <w:t>I</w:t>
            </w:r>
            <w:r w:rsidRPr="00F13114">
              <w:t xml:space="preserve">n </w:t>
            </w:r>
            <w:r>
              <w:t>C</w:t>
            </w:r>
            <w:r w:rsidRPr="00F13114">
              <w:t xml:space="preserve">ompliance.  </w:t>
            </w:r>
            <w:r w:rsidRPr="008E6C79">
              <w:rPr>
                <w:spacing w:val="-2"/>
              </w:rPr>
              <w:t>If DCA determines the plan amendment to be Not In Compliance, DCA will submit the recommended order to the Administration Commission for final action.</w:t>
            </w:r>
          </w:p>
        </w:tc>
      </w:tr>
      <w:tr w:rsidR="00225952" w:rsidRPr="007C475C" w:rsidTr="00225952">
        <w:tc>
          <w:tcPr>
            <w:tcW w:w="2253" w:type="dxa"/>
          </w:tcPr>
          <w:p w:rsidR="00225952" w:rsidRPr="007C475C" w:rsidRDefault="00225952" w:rsidP="00225952">
            <w:pPr>
              <w:pStyle w:val="Heading3"/>
            </w:pPr>
          </w:p>
        </w:tc>
        <w:tc>
          <w:tcPr>
            <w:tcW w:w="7827" w:type="dxa"/>
          </w:tcPr>
          <w:p w:rsidR="00225952" w:rsidRPr="008B3FF5" w:rsidRDefault="00225952" w:rsidP="00835D35">
            <w:pPr>
              <w:spacing w:after="120"/>
            </w:pPr>
            <w:r w:rsidRPr="009A074E">
              <w:t xml:space="preserve">If DCA finds the plan amendment </w:t>
            </w:r>
            <w:r>
              <w:t>N</w:t>
            </w:r>
            <w:r w:rsidRPr="009A074E">
              <w:t xml:space="preserve">ot </w:t>
            </w:r>
            <w:r>
              <w:t>I</w:t>
            </w:r>
            <w:r w:rsidRPr="009A074E">
              <w:t xml:space="preserve">n </w:t>
            </w:r>
            <w:r>
              <w:t>C</w:t>
            </w:r>
            <w:r w:rsidRPr="009A074E">
              <w:t xml:space="preserve">ompliance, it will request that the Division of Administrative Hearings schedule a hearing to decide what remedial action should be taken by the local government to bring the amendment into compliance.  </w:t>
            </w:r>
            <w:r>
              <w:t>T</w:t>
            </w:r>
            <w:r w:rsidRPr="009A074E">
              <w:t xml:space="preserve">o avoid </w:t>
            </w:r>
            <w:r>
              <w:t>such</w:t>
            </w:r>
            <w:r w:rsidRPr="009A074E">
              <w:t xml:space="preserve"> hearing</w:t>
            </w:r>
            <w:r>
              <w:t>s</w:t>
            </w:r>
            <w:r w:rsidRPr="009A074E">
              <w:t xml:space="preserve">, DCA and the local government </w:t>
            </w:r>
            <w:r>
              <w:t>may</w:t>
            </w:r>
            <w:r w:rsidRPr="009A074E">
              <w:t xml:space="preserve"> me</w:t>
            </w:r>
            <w:r>
              <w:t>e</w:t>
            </w:r>
            <w:r w:rsidRPr="009A074E">
              <w:t xml:space="preserve">t to discuss the issues and </w:t>
            </w:r>
            <w:r>
              <w:t>r</w:t>
            </w:r>
            <w:r w:rsidRPr="009A074E">
              <w:t xml:space="preserve">each agreement on how the amendment could be revised so that it could be found in compliance.  If transportation issues are involved, FDOT will be consulted by DCA during these negotiations.  If the negotiations are not successful, the hearing will be held.  If transportation issues are to be a subject of the hearing, FDOT may be asked to participate </w:t>
            </w:r>
            <w:r>
              <w:t xml:space="preserve">in the hearing. </w:t>
            </w:r>
          </w:p>
        </w:tc>
      </w:tr>
      <w:tr w:rsidR="00225952" w:rsidRPr="007C475C" w:rsidTr="00225952">
        <w:tc>
          <w:tcPr>
            <w:tcW w:w="2253" w:type="dxa"/>
          </w:tcPr>
          <w:p w:rsidR="00225952" w:rsidRPr="007C475C" w:rsidRDefault="00225952" w:rsidP="00225952">
            <w:pPr>
              <w:pStyle w:val="Heading3"/>
            </w:pPr>
          </w:p>
        </w:tc>
        <w:tc>
          <w:tcPr>
            <w:tcW w:w="7827" w:type="dxa"/>
          </w:tcPr>
          <w:p w:rsidR="00225952" w:rsidRPr="008B3FF5" w:rsidRDefault="00225952" w:rsidP="00835D35">
            <w:pPr>
              <w:spacing w:after="120"/>
            </w:pPr>
            <w:r w:rsidRPr="009A074E">
              <w:t xml:space="preserve">After the hearing the administrative law judge will submit a recommended order to the Administration Commission for final action.  If the Administration Commission finds the amendment is </w:t>
            </w:r>
            <w:r>
              <w:t>N</w:t>
            </w:r>
            <w:r w:rsidRPr="009A074E">
              <w:t xml:space="preserve">ot </w:t>
            </w:r>
            <w:r>
              <w:t>I</w:t>
            </w:r>
            <w:r w:rsidRPr="009A074E">
              <w:t xml:space="preserve">n </w:t>
            </w:r>
            <w:r>
              <w:t>C</w:t>
            </w:r>
            <w:r w:rsidRPr="009A074E">
              <w:t>ompliance, it will specify the remedial action the local government must take to bring the amendment into compliance.  The law specifies certain penalties if the local government does not undertake the remedial actions (s.163.3184(11), F.S.).  Typically, the remedial actions will include amending the comprehensive plan (</w:t>
            </w:r>
            <w:r>
              <w:t xml:space="preserve">such </w:t>
            </w:r>
            <w:r w:rsidRPr="009A074E">
              <w:t>amendment</w:t>
            </w:r>
            <w:r>
              <w:t>s are</w:t>
            </w:r>
            <w:r w:rsidRPr="009A074E">
              <w:t xml:space="preserve"> called remedial amendment</w:t>
            </w:r>
            <w:r>
              <w:t>s</w:t>
            </w:r>
            <w:r w:rsidRPr="009A074E">
              <w:t xml:space="preserve">) to resolve the compliance issues.  If transportation issues are involved, FDOT will be consulted by DCA during the review of the remedial amendment.  </w:t>
            </w:r>
          </w:p>
        </w:tc>
      </w:tr>
    </w:tbl>
    <w:p w:rsidR="00225952" w:rsidRDefault="00225952">
      <w:pPr>
        <w:pStyle w:val="Heading2"/>
        <w:rPr>
          <w:lang w:eastAsia="ko-KR"/>
        </w:rPr>
        <w:sectPr w:rsidR="00225952" w:rsidSect="00832911">
          <w:pgSz w:w="12240" w:h="15840"/>
          <w:pgMar w:top="1440" w:right="720" w:bottom="1440" w:left="1152" w:header="720" w:footer="720" w:gutter="0"/>
          <w:cols w:space="720"/>
          <w:docGrid w:linePitch="360"/>
        </w:sectPr>
      </w:pPr>
    </w:p>
    <w:p w:rsidR="00835D35" w:rsidRDefault="00835D35">
      <w:bookmarkStart w:id="130" w:name="_Toc256487938"/>
      <w:bookmarkStart w:id="131" w:name="_Toc263447871"/>
      <w:bookmarkStart w:id="132" w:name="_Toc264274116"/>
      <w:r>
        <w:rPr>
          <w:b/>
          <w:bCs/>
        </w:rPr>
        <w:lastRenderedPageBreak/>
        <w:br w:type="page"/>
      </w:r>
    </w:p>
    <w:tbl>
      <w:tblPr>
        <w:tblW w:w="10080" w:type="dxa"/>
        <w:tblInd w:w="115" w:type="dxa"/>
        <w:tblLayout w:type="fixed"/>
        <w:tblCellMar>
          <w:left w:w="115" w:type="dxa"/>
          <w:right w:w="115" w:type="dxa"/>
        </w:tblCellMar>
        <w:tblLook w:val="0000"/>
      </w:tblPr>
      <w:tblGrid>
        <w:gridCol w:w="2253"/>
        <w:gridCol w:w="3507"/>
        <w:gridCol w:w="4320"/>
      </w:tblGrid>
      <w:tr w:rsidR="00225952" w:rsidRPr="007C475C" w:rsidTr="00225952">
        <w:tc>
          <w:tcPr>
            <w:tcW w:w="10080" w:type="dxa"/>
            <w:gridSpan w:val="3"/>
          </w:tcPr>
          <w:p w:rsidR="00225952" w:rsidRDefault="00225952">
            <w:pPr>
              <w:pStyle w:val="Heading2"/>
              <w:rPr>
                <w:lang w:eastAsia="ko-KR"/>
              </w:rPr>
            </w:pPr>
            <w:r>
              <w:rPr>
                <w:lang w:eastAsia="ko-KR"/>
              </w:rPr>
              <w:lastRenderedPageBreak/>
              <w:t xml:space="preserve">3.3 Review of </w:t>
            </w:r>
            <w:r w:rsidRPr="008E04D4">
              <w:rPr>
                <w:lang w:eastAsia="ko-KR"/>
              </w:rPr>
              <w:t>Future Land</w:t>
            </w:r>
            <w:r>
              <w:rPr>
                <w:lang w:eastAsia="ko-KR"/>
              </w:rPr>
              <w:t xml:space="preserve"> Use </w:t>
            </w:r>
            <w:r w:rsidRPr="008E04D4">
              <w:rPr>
                <w:lang w:eastAsia="ko-KR"/>
              </w:rPr>
              <w:t xml:space="preserve">Map </w:t>
            </w:r>
            <w:r>
              <w:rPr>
                <w:lang w:eastAsia="ko-KR"/>
              </w:rPr>
              <w:t xml:space="preserve">(FLUM) </w:t>
            </w:r>
            <w:r w:rsidRPr="008E04D4">
              <w:rPr>
                <w:lang w:eastAsia="ko-KR"/>
              </w:rPr>
              <w:t>Amendments</w:t>
            </w:r>
            <w:bookmarkEnd w:id="130"/>
            <w:bookmarkEnd w:id="131"/>
            <w:bookmarkEnd w:id="132"/>
          </w:p>
        </w:tc>
      </w:tr>
      <w:tr w:rsidR="00225952" w:rsidRPr="007C475C" w:rsidTr="00225952">
        <w:tc>
          <w:tcPr>
            <w:tcW w:w="2253" w:type="dxa"/>
          </w:tcPr>
          <w:p w:rsidR="00225952" w:rsidRDefault="00225952">
            <w:pPr>
              <w:pStyle w:val="HeadSide2"/>
            </w:pPr>
            <w:r>
              <w:rPr>
                <w:noProof/>
              </w:rPr>
              <w:drawing>
                <wp:inline distT="0" distB="0" distL="0" distR="0">
                  <wp:extent cx="1276350" cy="1247775"/>
                  <wp:effectExtent l="19050" t="0" r="0" b="0"/>
                  <wp:docPr id="21" name="Picture 8" descr="2020 Miami FL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20 Miami FLUM.png"/>
                          <pic:cNvPicPr>
                            <a:picLocks noChangeAspect="1" noChangeArrowheads="1"/>
                          </pic:cNvPicPr>
                        </pic:nvPicPr>
                        <pic:blipFill>
                          <a:blip r:embed="rId145" cstate="print"/>
                          <a:srcRect/>
                          <a:stretch>
                            <a:fillRect/>
                          </a:stretch>
                        </pic:blipFill>
                        <pic:spPr bwMode="auto">
                          <a:xfrm>
                            <a:off x="0" y="0"/>
                            <a:ext cx="1276350" cy="1247775"/>
                          </a:xfrm>
                          <a:prstGeom prst="rect">
                            <a:avLst/>
                          </a:prstGeom>
                          <a:noFill/>
                          <a:ln w="9525">
                            <a:noFill/>
                            <a:miter lim="800000"/>
                            <a:headEnd/>
                            <a:tailEnd/>
                          </a:ln>
                        </pic:spPr>
                      </pic:pic>
                    </a:graphicData>
                  </a:graphic>
                </wp:inline>
              </w:drawing>
            </w:r>
          </w:p>
        </w:tc>
        <w:tc>
          <w:tcPr>
            <w:tcW w:w="7827" w:type="dxa"/>
            <w:gridSpan w:val="2"/>
          </w:tcPr>
          <w:p w:rsidR="00225952" w:rsidRPr="008B3FF5" w:rsidRDefault="00225952" w:rsidP="00225952">
            <w:r w:rsidRPr="008C6101">
              <w:t xml:space="preserve">The </w:t>
            </w:r>
            <w:r>
              <w:t>Future Land Use Element</w:t>
            </w:r>
            <w:r w:rsidRPr="008C6101">
              <w:t xml:space="preserve"> </w:t>
            </w:r>
            <w:r>
              <w:t>and the accompanying Future Land Use Map (FLUM) implement</w:t>
            </w:r>
            <w:r w:rsidRPr="008C6101">
              <w:t xml:space="preserve"> a jurisdiction’s vision for its future</w:t>
            </w:r>
            <w:r>
              <w:t xml:space="preserve">.  </w:t>
            </w:r>
            <w:r w:rsidRPr="008C6101">
              <w:t xml:space="preserve">Each future land use category must be defined in terms of uses </w:t>
            </w:r>
            <w:r>
              <w:t>allowed</w:t>
            </w:r>
            <w:r w:rsidRPr="008C6101">
              <w:t>, and must include standards to be followed in the control and distribution of population densities and building and structure intensities</w:t>
            </w:r>
            <w:r>
              <w:t xml:space="preserve">.  </w:t>
            </w:r>
            <w:r w:rsidRPr="008C6101">
              <w:t xml:space="preserve">The proposed distribution, location, and extent of the various categories of land use </w:t>
            </w:r>
            <w:r>
              <w:t>are depicted</w:t>
            </w:r>
            <w:r w:rsidRPr="008C6101">
              <w:t xml:space="preserve"> on </w:t>
            </w:r>
            <w:r>
              <w:t>the</w:t>
            </w:r>
            <w:r w:rsidRPr="008C6101">
              <w:t xml:space="preserve"> </w:t>
            </w:r>
            <w:r>
              <w:t>FLUM and</w:t>
            </w:r>
            <w:r w:rsidRPr="008C6101">
              <w:t xml:space="preserve"> supplemented by goals, measurable objectives</w:t>
            </w:r>
            <w:r>
              <w:t xml:space="preserve">, and policies.  </w:t>
            </w:r>
          </w:p>
        </w:tc>
      </w:tr>
      <w:tr w:rsidR="00225952" w:rsidRPr="007C475C" w:rsidTr="00225952">
        <w:tc>
          <w:tcPr>
            <w:tcW w:w="10080" w:type="dxa"/>
            <w:gridSpan w:val="3"/>
          </w:tcPr>
          <w:p w:rsidR="00225952" w:rsidRPr="008C6101" w:rsidRDefault="00225952" w:rsidP="00225952">
            <w:pPr>
              <w:pStyle w:val="Heading3"/>
            </w:pPr>
            <w:bookmarkStart w:id="133" w:name="_Toc256487939"/>
            <w:bookmarkStart w:id="134" w:name="_Toc263447872"/>
            <w:bookmarkStart w:id="135" w:name="_Toc264274117"/>
            <w:r>
              <w:rPr>
                <w:lang w:eastAsia="ko-KR"/>
              </w:rPr>
              <w:t xml:space="preserve">3.3.1 </w:t>
            </w:r>
            <w:r w:rsidRPr="009D5551">
              <w:t>Legal Authorities</w:t>
            </w:r>
            <w:bookmarkEnd w:id="133"/>
            <w:bookmarkEnd w:id="134"/>
            <w:bookmarkEnd w:id="135"/>
          </w:p>
        </w:tc>
      </w:tr>
      <w:tr w:rsidR="00225952" w:rsidRPr="007C475C" w:rsidTr="00225952">
        <w:tc>
          <w:tcPr>
            <w:tcW w:w="2253" w:type="dxa"/>
          </w:tcPr>
          <w:p w:rsidR="00225952" w:rsidRPr="007C475C" w:rsidRDefault="00225952" w:rsidP="00225952">
            <w:pPr>
              <w:pStyle w:val="Heading3"/>
            </w:pPr>
          </w:p>
        </w:tc>
        <w:tc>
          <w:tcPr>
            <w:tcW w:w="7827" w:type="dxa"/>
            <w:gridSpan w:val="2"/>
          </w:tcPr>
          <w:p w:rsidR="00225952" w:rsidRPr="008C6101" w:rsidRDefault="00225952" w:rsidP="008E6C79">
            <w:pPr>
              <w:spacing w:after="0"/>
            </w:pPr>
            <w:r>
              <w:t>FDOT</w:t>
            </w:r>
            <w:r w:rsidRPr="008C6101">
              <w:t xml:space="preserve"> reviews </w:t>
            </w:r>
            <w:r>
              <w:t>amendments to the adopted Future Land Use Map (FLUM) under the following authorities</w:t>
            </w:r>
            <w:r w:rsidRPr="008C6101">
              <w:t>:</w:t>
            </w:r>
          </w:p>
        </w:tc>
      </w:tr>
      <w:tr w:rsidR="00B8640B" w:rsidRPr="007C475C" w:rsidTr="00B8640B">
        <w:tc>
          <w:tcPr>
            <w:tcW w:w="2253" w:type="dxa"/>
          </w:tcPr>
          <w:p w:rsidR="00B8640B" w:rsidRPr="007C475C" w:rsidRDefault="00B8640B" w:rsidP="00225952">
            <w:pPr>
              <w:pStyle w:val="Heading3"/>
            </w:pPr>
          </w:p>
        </w:tc>
        <w:tc>
          <w:tcPr>
            <w:tcW w:w="3507" w:type="dxa"/>
          </w:tcPr>
          <w:p w:rsidR="00B8640B" w:rsidRPr="0040638D" w:rsidRDefault="00B8640B" w:rsidP="00225952">
            <w:pPr>
              <w:autoSpaceDE w:val="0"/>
              <w:autoSpaceDN w:val="0"/>
              <w:adjustRightInd w:val="0"/>
              <w:spacing w:after="0"/>
              <w:ind w:right="432"/>
              <w:rPr>
                <w:b/>
                <w:sz w:val="24"/>
                <w:szCs w:val="24"/>
              </w:rPr>
            </w:pPr>
            <w:r w:rsidRPr="0040638D">
              <w:rPr>
                <w:b/>
                <w:sz w:val="24"/>
                <w:szCs w:val="24"/>
              </w:rPr>
              <w:t>Florida Stat</w:t>
            </w:r>
            <w:r>
              <w:rPr>
                <w:b/>
                <w:sz w:val="24"/>
                <w:szCs w:val="24"/>
              </w:rPr>
              <w:t>utes (F.S.):</w:t>
            </w:r>
          </w:p>
          <w:p w:rsidR="00B8640B" w:rsidRPr="008C6101" w:rsidRDefault="00B8640B" w:rsidP="00AD2D7A">
            <w:pPr>
              <w:pStyle w:val="BulletA"/>
              <w:numPr>
                <w:ilvl w:val="0"/>
                <w:numId w:val="141"/>
              </w:numPr>
            </w:pPr>
            <w:r>
              <w:t>Section 163.3184(3), F.S.</w:t>
            </w:r>
          </w:p>
          <w:p w:rsidR="00B8640B" w:rsidRDefault="00B8640B" w:rsidP="00AD2D7A">
            <w:pPr>
              <w:pStyle w:val="BulletA"/>
              <w:numPr>
                <w:ilvl w:val="0"/>
                <w:numId w:val="141"/>
              </w:numPr>
            </w:pPr>
            <w:r>
              <w:t>Section 163.3184(4), F.S.</w:t>
            </w:r>
          </w:p>
        </w:tc>
        <w:tc>
          <w:tcPr>
            <w:tcW w:w="4320" w:type="dxa"/>
          </w:tcPr>
          <w:p w:rsidR="00B8640B" w:rsidRPr="00CA5343" w:rsidRDefault="00B8640B" w:rsidP="00225952">
            <w:pPr>
              <w:autoSpaceDE w:val="0"/>
              <w:autoSpaceDN w:val="0"/>
              <w:adjustRightInd w:val="0"/>
              <w:spacing w:after="0"/>
              <w:ind w:right="432"/>
              <w:rPr>
                <w:b/>
                <w:sz w:val="24"/>
                <w:szCs w:val="24"/>
                <w:lang w:val="es-MX"/>
              </w:rPr>
            </w:pPr>
            <w:r w:rsidRPr="00CA5343">
              <w:rPr>
                <w:b/>
                <w:sz w:val="24"/>
                <w:szCs w:val="24"/>
                <w:lang w:val="es-MX"/>
              </w:rPr>
              <w:t>Florida Administrative Code (F.A.C.):</w:t>
            </w:r>
          </w:p>
          <w:p w:rsidR="00B8640B" w:rsidRPr="008C6101" w:rsidRDefault="00B8640B" w:rsidP="00AD2D7A">
            <w:pPr>
              <w:pStyle w:val="BulletA"/>
              <w:numPr>
                <w:ilvl w:val="0"/>
                <w:numId w:val="142"/>
              </w:numPr>
            </w:pPr>
            <w:r>
              <w:t>Rule</w:t>
            </w:r>
            <w:r w:rsidRPr="008C6101">
              <w:t xml:space="preserve"> 9J-</w:t>
            </w:r>
            <w:r>
              <w:t>HH</w:t>
            </w:r>
            <w:r w:rsidRPr="008C6101">
              <w:t>5</w:t>
            </w:r>
            <w:r>
              <w:t>, F.A.C.</w:t>
            </w:r>
          </w:p>
          <w:p w:rsidR="00B8640B" w:rsidRPr="00B8640B" w:rsidRDefault="00B8640B" w:rsidP="00AD2D7A">
            <w:pPr>
              <w:pStyle w:val="BulletA"/>
              <w:numPr>
                <w:ilvl w:val="0"/>
                <w:numId w:val="142"/>
              </w:numPr>
            </w:pPr>
            <w:r>
              <w:t>Rule</w:t>
            </w:r>
            <w:r w:rsidRPr="008C6101">
              <w:t xml:space="preserve"> 9J-11</w:t>
            </w:r>
            <w:r>
              <w:t>, F.A.C.</w:t>
            </w:r>
          </w:p>
        </w:tc>
      </w:tr>
      <w:tr w:rsidR="00B8640B" w:rsidRPr="007C475C" w:rsidTr="00225952">
        <w:tc>
          <w:tcPr>
            <w:tcW w:w="2253" w:type="dxa"/>
          </w:tcPr>
          <w:p w:rsidR="00B8640B" w:rsidRPr="007C475C" w:rsidRDefault="00745389" w:rsidP="00CC002A">
            <w:pPr>
              <w:pStyle w:val="ResourceLink"/>
            </w:pPr>
            <w:hyperlink w:anchor="R2" w:history="1">
              <w:r w:rsidR="00B13815" w:rsidRPr="00B13815">
                <w:rPr>
                  <w:rStyle w:val="Hyperlink"/>
                </w:rPr>
                <w:sym w:font="Wingdings" w:char="F0E8"/>
              </w:r>
            </w:hyperlink>
          </w:p>
        </w:tc>
        <w:tc>
          <w:tcPr>
            <w:tcW w:w="7827" w:type="dxa"/>
            <w:gridSpan w:val="2"/>
          </w:tcPr>
          <w:p w:rsidR="00B8640B" w:rsidRPr="00F468AA" w:rsidRDefault="00B8640B" w:rsidP="008E6C79">
            <w:pPr>
              <w:pStyle w:val="ResourceNotTOC0"/>
              <w:rPr>
                <w:color w:val="99FF99"/>
              </w:rPr>
            </w:pPr>
            <w:r w:rsidRPr="00701DC3">
              <w:rPr>
                <w:color w:val="auto"/>
              </w:rPr>
              <w:t>Resource Guide 2.</w:t>
            </w:r>
            <w:r w:rsidRPr="00D2249E">
              <w:t xml:space="preserve">   </w:t>
            </w:r>
            <w:r>
              <w:tab/>
              <w:t>Online Resources</w:t>
            </w:r>
          </w:p>
        </w:tc>
      </w:tr>
      <w:tr w:rsidR="00225952" w:rsidRPr="007C475C" w:rsidTr="00225952">
        <w:tc>
          <w:tcPr>
            <w:tcW w:w="2253" w:type="dxa"/>
          </w:tcPr>
          <w:p w:rsidR="00225952" w:rsidRPr="007C475C" w:rsidRDefault="00745389" w:rsidP="00CC002A">
            <w:pPr>
              <w:pStyle w:val="ResourceLink"/>
            </w:pPr>
            <w:hyperlink w:anchor="R8" w:history="1">
              <w:r w:rsidR="00B13815" w:rsidRPr="00B13815">
                <w:rPr>
                  <w:rStyle w:val="Hyperlink"/>
                </w:rPr>
                <w:sym w:font="Wingdings" w:char="F0E8"/>
              </w:r>
            </w:hyperlink>
          </w:p>
        </w:tc>
        <w:tc>
          <w:tcPr>
            <w:tcW w:w="7827" w:type="dxa"/>
            <w:gridSpan w:val="2"/>
          </w:tcPr>
          <w:p w:rsidR="00225952" w:rsidRPr="0040638D" w:rsidRDefault="00225952" w:rsidP="008E6C79">
            <w:pPr>
              <w:pStyle w:val="ResourceNotTOC0"/>
              <w:rPr>
                <w:szCs w:val="24"/>
              </w:rPr>
            </w:pPr>
            <w:r w:rsidRPr="00701DC3">
              <w:rPr>
                <w:color w:val="auto"/>
              </w:rPr>
              <w:t>Resource Guide 8.</w:t>
            </w:r>
            <w:r w:rsidRPr="00D2249E">
              <w:t xml:space="preserve">  </w:t>
            </w:r>
            <w:r w:rsidRPr="00D2249E">
              <w:tab/>
            </w:r>
            <w:r w:rsidRPr="003A55BB">
              <w:t>LGCP Amendment Review Checklist</w:t>
            </w:r>
            <w:r>
              <w:t xml:space="preserve"> </w:t>
            </w:r>
          </w:p>
        </w:tc>
      </w:tr>
      <w:tr w:rsidR="00225952" w:rsidRPr="007C475C" w:rsidTr="00225952">
        <w:tc>
          <w:tcPr>
            <w:tcW w:w="10080" w:type="dxa"/>
            <w:gridSpan w:val="3"/>
          </w:tcPr>
          <w:p w:rsidR="00225952" w:rsidRDefault="00225952">
            <w:pPr>
              <w:pStyle w:val="Heading3"/>
            </w:pPr>
            <w:bookmarkStart w:id="136" w:name="_Toc256487940"/>
            <w:bookmarkStart w:id="137" w:name="_Toc263447873"/>
            <w:bookmarkStart w:id="138" w:name="_Toc264274118"/>
            <w:r>
              <w:t xml:space="preserve">3.3.2 </w:t>
            </w:r>
            <w:r w:rsidRPr="008C6101">
              <w:t>Review Procedure</w:t>
            </w:r>
            <w:bookmarkEnd w:id="136"/>
            <w:bookmarkEnd w:id="137"/>
            <w:bookmarkEnd w:id="138"/>
          </w:p>
        </w:tc>
      </w:tr>
      <w:tr w:rsidR="00225952" w:rsidRPr="007C475C" w:rsidTr="00225952">
        <w:tc>
          <w:tcPr>
            <w:tcW w:w="2253" w:type="dxa"/>
          </w:tcPr>
          <w:p w:rsidR="00225952" w:rsidRDefault="00225952" w:rsidP="00225952">
            <w:pPr>
              <w:pStyle w:val="HeadSideMain"/>
            </w:pPr>
            <w:r w:rsidRPr="008956F2">
              <w:t xml:space="preserve">Required Information </w:t>
            </w:r>
          </w:p>
        </w:tc>
        <w:tc>
          <w:tcPr>
            <w:tcW w:w="7827" w:type="dxa"/>
            <w:gridSpan w:val="2"/>
          </w:tcPr>
          <w:p w:rsidR="00225952" w:rsidRDefault="00225952" w:rsidP="00714A65">
            <w:pPr>
              <w:spacing w:after="60"/>
            </w:pPr>
            <w:r>
              <w:t>T</w:t>
            </w:r>
            <w:r w:rsidRPr="008C6101">
              <w:t xml:space="preserve">he </w:t>
            </w:r>
            <w:r>
              <w:t>F</w:t>
            </w:r>
            <w:r w:rsidRPr="008C6101">
              <w:t xml:space="preserve">DOT reviewer should </w:t>
            </w:r>
            <w:r>
              <w:t xml:space="preserve">be familiar with </w:t>
            </w:r>
            <w:r w:rsidRPr="008C6101">
              <w:t xml:space="preserve">the </w:t>
            </w:r>
            <w:r>
              <w:t>following information prior to beginning a review of a proposed FLUM change.  The transmitted plan amendment package received from the local government will contain the following data</w:t>
            </w:r>
            <w:r w:rsidRPr="008C6101">
              <w:t>:</w:t>
            </w:r>
          </w:p>
          <w:p w:rsidR="00225952" w:rsidRPr="008C6101" w:rsidRDefault="00225952" w:rsidP="00AD2D7A">
            <w:pPr>
              <w:pStyle w:val="BulletA"/>
              <w:numPr>
                <w:ilvl w:val="0"/>
                <w:numId w:val="77"/>
              </w:numPr>
            </w:pPr>
            <w:r>
              <w:t>P</w:t>
            </w:r>
            <w:r w:rsidRPr="008C6101">
              <w:t>roposed</w:t>
            </w:r>
            <w:r>
              <w:t xml:space="preserve"> changes to the goals, objectives and polices</w:t>
            </w:r>
            <w:r w:rsidRPr="008C6101">
              <w:t xml:space="preserve">, if </w:t>
            </w:r>
            <w:r>
              <w:t>any</w:t>
            </w:r>
            <w:r w:rsidRPr="008C6101">
              <w:t>.</w:t>
            </w:r>
          </w:p>
          <w:p w:rsidR="00225952" w:rsidRPr="008C6101" w:rsidRDefault="00225952" w:rsidP="00AD2D7A">
            <w:pPr>
              <w:pStyle w:val="BulletA"/>
              <w:numPr>
                <w:ilvl w:val="0"/>
                <w:numId w:val="77"/>
              </w:numPr>
              <w:rPr>
                <w:b/>
              </w:rPr>
            </w:pPr>
            <w:r w:rsidRPr="008C6101">
              <w:t>A description of the proposed FLUM chang</w:t>
            </w:r>
            <w:r>
              <w:t xml:space="preserve">e, including the maximum allowed </w:t>
            </w:r>
            <w:r w:rsidRPr="008C6101">
              <w:t>densities and intensities of the</w:t>
            </w:r>
            <w:r>
              <w:t xml:space="preserve"> existing and proposed land use(</w:t>
            </w:r>
            <w:r w:rsidRPr="008C6101">
              <w:t>s</w:t>
            </w:r>
            <w:r>
              <w:t>).</w:t>
            </w:r>
          </w:p>
          <w:p w:rsidR="00225952" w:rsidRPr="008C6101" w:rsidRDefault="00225952" w:rsidP="00AD2D7A">
            <w:pPr>
              <w:pStyle w:val="BulletA"/>
              <w:numPr>
                <w:ilvl w:val="0"/>
                <w:numId w:val="77"/>
              </w:numPr>
              <w:rPr>
                <w:b/>
              </w:rPr>
            </w:pPr>
            <w:r w:rsidRPr="008C6101">
              <w:t xml:space="preserve">A map </w:t>
            </w:r>
            <w:r>
              <w:t>depicting the location of</w:t>
            </w:r>
            <w:r w:rsidRPr="008C6101">
              <w:t xml:space="preserve"> the proposed land use change and the surrounding area</w:t>
            </w:r>
            <w:r>
              <w:t xml:space="preserve"> as well as the existing FLUM.</w:t>
            </w:r>
          </w:p>
          <w:p w:rsidR="00225952" w:rsidRPr="00C152CA" w:rsidRDefault="00225952" w:rsidP="00AD2D7A">
            <w:pPr>
              <w:pStyle w:val="BulletA"/>
              <w:numPr>
                <w:ilvl w:val="0"/>
                <w:numId w:val="77"/>
              </w:numPr>
              <w:rPr>
                <w:b/>
              </w:rPr>
            </w:pPr>
            <w:r w:rsidRPr="008C6101">
              <w:t>A transportation analysis of the availability of transp</w:t>
            </w:r>
            <w:r>
              <w:t xml:space="preserve">ortation facilities consistent </w:t>
            </w:r>
            <w:r w:rsidRPr="008C6101">
              <w:t xml:space="preserve">with </w:t>
            </w:r>
            <w:r>
              <w:t xml:space="preserve">Rule </w:t>
            </w:r>
            <w:r w:rsidRPr="008C6101">
              <w:t>9J-5.019</w:t>
            </w:r>
            <w:r>
              <w:t>(3)(a), F.A.C.</w:t>
            </w:r>
          </w:p>
          <w:p w:rsidR="00225952" w:rsidRDefault="00225952" w:rsidP="00AD2D7A">
            <w:pPr>
              <w:pStyle w:val="BulletA"/>
              <w:numPr>
                <w:ilvl w:val="0"/>
                <w:numId w:val="77"/>
              </w:numPr>
            </w:pPr>
            <w:r>
              <w:t>A map of the st</w:t>
            </w:r>
            <w:r w:rsidRPr="008C6101">
              <w:t>udy area</w:t>
            </w:r>
            <w:r>
              <w:t xml:space="preserve"> roadways.</w:t>
            </w:r>
          </w:p>
          <w:p w:rsidR="00225952" w:rsidRDefault="00225952" w:rsidP="00AD2D7A">
            <w:pPr>
              <w:pStyle w:val="BulletA"/>
              <w:numPr>
                <w:ilvl w:val="0"/>
                <w:numId w:val="77"/>
              </w:numPr>
              <w:rPr>
                <w:b/>
              </w:rPr>
            </w:pPr>
            <w:r w:rsidRPr="008C6101">
              <w:t>If a travel demand model is used, the model files used for the short term and long term analyses</w:t>
            </w:r>
            <w:r>
              <w:t xml:space="preserve">. </w:t>
            </w:r>
          </w:p>
          <w:p w:rsidR="00225952" w:rsidRDefault="00225952" w:rsidP="00AD2D7A">
            <w:pPr>
              <w:pStyle w:val="BulletA"/>
              <w:numPr>
                <w:ilvl w:val="0"/>
                <w:numId w:val="77"/>
              </w:numPr>
            </w:pPr>
            <w:r w:rsidRPr="008C6101">
              <w:t>Copies of the analysis spreadsheets</w:t>
            </w:r>
            <w:r>
              <w:t xml:space="preserve"> showing t</w:t>
            </w:r>
            <w:r w:rsidRPr="008C6101">
              <w:t>rip generation</w:t>
            </w:r>
            <w:r>
              <w:t>, i</w:t>
            </w:r>
            <w:r w:rsidRPr="008C6101">
              <w:t>nternal trip capture</w:t>
            </w:r>
            <w:r>
              <w:t>, p</w:t>
            </w:r>
            <w:r w:rsidRPr="008C6101">
              <w:t>ass-by trips</w:t>
            </w:r>
            <w:r>
              <w:t>, t</w:t>
            </w:r>
            <w:r w:rsidRPr="008C6101">
              <w:t>ransit trips</w:t>
            </w:r>
            <w:r>
              <w:t>, t</w:t>
            </w:r>
            <w:r w:rsidRPr="008C6101">
              <w:t>rip distribution and assignment</w:t>
            </w:r>
            <w:r>
              <w:t xml:space="preserve">, </w:t>
            </w:r>
            <w:r>
              <w:lastRenderedPageBreak/>
              <w:t>b</w:t>
            </w:r>
            <w:r w:rsidRPr="008C6101">
              <w:t>ackground traffic</w:t>
            </w:r>
            <w:r>
              <w:t>, t</w:t>
            </w:r>
            <w:r w:rsidRPr="008C6101">
              <w:t>otal traffic</w:t>
            </w:r>
            <w:r>
              <w:t>, s</w:t>
            </w:r>
            <w:r w:rsidRPr="008C6101">
              <w:t>hort-term (five-year) analysis</w:t>
            </w:r>
            <w:r>
              <w:t xml:space="preserve">, and a long-term </w:t>
            </w:r>
            <w:r w:rsidRPr="008C6101">
              <w:t>analysis</w:t>
            </w:r>
            <w:r>
              <w:t xml:space="preserve"> that is consistent with the long-term planning timeframe of the comprehensive plan.</w:t>
            </w:r>
          </w:p>
        </w:tc>
      </w:tr>
      <w:tr w:rsidR="00225952" w:rsidRPr="007C475C" w:rsidTr="00225952">
        <w:tc>
          <w:tcPr>
            <w:tcW w:w="2253" w:type="dxa"/>
          </w:tcPr>
          <w:p w:rsidR="00225952" w:rsidRDefault="00225952" w:rsidP="00225952">
            <w:pPr>
              <w:pStyle w:val="HeadSideMain"/>
              <w:rPr>
                <w:lang w:eastAsia="ko-KR"/>
              </w:rPr>
            </w:pPr>
            <w:r w:rsidRPr="008956F2">
              <w:rPr>
                <w:lang w:eastAsia="ko-KR"/>
              </w:rPr>
              <w:lastRenderedPageBreak/>
              <w:t>Key Review Points</w:t>
            </w:r>
          </w:p>
        </w:tc>
        <w:tc>
          <w:tcPr>
            <w:tcW w:w="7827" w:type="dxa"/>
            <w:gridSpan w:val="2"/>
          </w:tcPr>
          <w:p w:rsidR="00225952" w:rsidRPr="004A18E8" w:rsidRDefault="00225952" w:rsidP="00701DC3">
            <w:pPr>
              <w:rPr>
                <w:rFonts w:cs="Arial"/>
                <w:b/>
                <w:bCs/>
                <w:iCs/>
              </w:rPr>
            </w:pPr>
            <w:r w:rsidRPr="008C6101">
              <w:t>FLUM amendments change an adopted land use classification as dep</w:t>
            </w:r>
            <w:r>
              <w:t xml:space="preserve">icted on the map.  These changes </w:t>
            </w:r>
            <w:r w:rsidRPr="008C6101">
              <w:t xml:space="preserve">have </w:t>
            </w:r>
            <w:r>
              <w:t>a great</w:t>
            </w:r>
            <w:r w:rsidRPr="008C6101">
              <w:t xml:space="preserve"> potential to affect the transportation system</w:t>
            </w:r>
            <w:r>
              <w:t xml:space="preserve">.  The amendment should identify the impacts that the proposed change will have on the transportation system and any improvements needed to mitigate these impacts.  These improvements should then be incorporated into the Transportation Element and scheduled for construction in the Five-Year Schedule of Capital Improvements (located in the Capital Improvements Element). </w:t>
            </w:r>
          </w:p>
        </w:tc>
      </w:tr>
      <w:tr w:rsidR="00225952" w:rsidRPr="007C475C" w:rsidTr="00225952">
        <w:tc>
          <w:tcPr>
            <w:tcW w:w="2253" w:type="dxa"/>
          </w:tcPr>
          <w:p w:rsidR="00225952" w:rsidRPr="008956F2" w:rsidRDefault="00225952" w:rsidP="00225952">
            <w:pPr>
              <w:pStyle w:val="HeadSideMain"/>
            </w:pPr>
          </w:p>
        </w:tc>
        <w:tc>
          <w:tcPr>
            <w:tcW w:w="7827" w:type="dxa"/>
            <w:gridSpan w:val="2"/>
          </w:tcPr>
          <w:p w:rsidR="00225952" w:rsidRDefault="00225952" w:rsidP="00714A65">
            <w:pPr>
              <w:spacing w:after="60"/>
            </w:pPr>
            <w:r>
              <w:t>Review of FLUM amendments focus on</w:t>
            </w:r>
            <w:r w:rsidRPr="008C6101">
              <w:t xml:space="preserve">: </w:t>
            </w:r>
          </w:p>
          <w:p w:rsidR="00225952" w:rsidRDefault="00225952" w:rsidP="00AD2D7A">
            <w:pPr>
              <w:pStyle w:val="BulletA"/>
              <w:numPr>
                <w:ilvl w:val="0"/>
                <w:numId w:val="143"/>
              </w:numPr>
            </w:pPr>
            <w:r>
              <w:t>whether the FLUM</w:t>
            </w:r>
            <w:r w:rsidRPr="008C6101">
              <w:t xml:space="preserve"> and the Future Transportation Map are </w:t>
            </w:r>
            <w:r>
              <w:t xml:space="preserve">coordinated and consistent, </w:t>
            </w:r>
          </w:p>
          <w:p w:rsidR="00225952" w:rsidRDefault="00225952" w:rsidP="00AD2D7A">
            <w:pPr>
              <w:pStyle w:val="BulletA"/>
              <w:numPr>
                <w:ilvl w:val="0"/>
                <w:numId w:val="143"/>
              </w:numPr>
            </w:pPr>
            <w:r w:rsidRPr="008C6101">
              <w:t xml:space="preserve">whether the </w:t>
            </w:r>
            <w:r>
              <w:t>a</w:t>
            </w:r>
            <w:r w:rsidRPr="008C6101">
              <w:t xml:space="preserve">dopted </w:t>
            </w:r>
            <w:r>
              <w:t>LOS</w:t>
            </w:r>
            <w:r w:rsidRPr="008C6101">
              <w:t xml:space="preserve"> standard </w:t>
            </w:r>
            <w:r>
              <w:t xml:space="preserve">or other mobility performance measures </w:t>
            </w:r>
            <w:r w:rsidRPr="008C6101">
              <w:t>will be achieved and maintained over a five-year period even with the additional</w:t>
            </w:r>
            <w:r>
              <w:t xml:space="preserve"> development potential associated with the amendment;</w:t>
            </w:r>
          </w:p>
          <w:p w:rsidR="00225952" w:rsidRDefault="00225952" w:rsidP="00AD2D7A">
            <w:pPr>
              <w:pStyle w:val="BulletA"/>
              <w:numPr>
                <w:ilvl w:val="0"/>
                <w:numId w:val="143"/>
              </w:numPr>
            </w:pPr>
            <w:r>
              <w:t xml:space="preserve">whether the infrastructure needs associated with the amendment are reflected in the Capital Improvements Element and on the Future Transportation Map; and </w:t>
            </w:r>
          </w:p>
          <w:p w:rsidR="00225952" w:rsidRDefault="00225952" w:rsidP="00AD2D7A">
            <w:pPr>
              <w:pStyle w:val="BulletA"/>
              <w:numPr>
                <w:ilvl w:val="0"/>
                <w:numId w:val="143"/>
              </w:numPr>
            </w:pPr>
            <w:r>
              <w:t>whether the amendment is supported by relevant and appropriate data and analysis applied in a professionally acceptable manner.</w:t>
            </w:r>
          </w:p>
        </w:tc>
      </w:tr>
      <w:tr w:rsidR="00225952" w:rsidRPr="007C475C" w:rsidTr="00225952">
        <w:tc>
          <w:tcPr>
            <w:tcW w:w="2253" w:type="dxa"/>
          </w:tcPr>
          <w:p w:rsidR="00225952" w:rsidRPr="008956F2" w:rsidRDefault="00225952" w:rsidP="00225952">
            <w:pPr>
              <w:pStyle w:val="HeadSideMain"/>
            </w:pPr>
          </w:p>
        </w:tc>
        <w:tc>
          <w:tcPr>
            <w:tcW w:w="7827" w:type="dxa"/>
            <w:gridSpan w:val="2"/>
          </w:tcPr>
          <w:p w:rsidR="00225952" w:rsidRDefault="00225952" w:rsidP="00225952">
            <w:r w:rsidRPr="00F13114">
              <w:t xml:space="preserve">Interagency coordination between FDOT and the DCA is critical in implementing effective transportation and land use planning (FDOT Procedure </w:t>
            </w:r>
            <w:r>
              <w:t>525-010-101-C)</w:t>
            </w:r>
            <w:r w:rsidRPr="00F13114">
              <w:t xml:space="preserve">.  After the District submits its plan amendment review, the District should communicate with the DCA </w:t>
            </w:r>
            <w:r>
              <w:t>plan reviewer assigned to the community that submitted the amendment</w:t>
            </w:r>
            <w:r w:rsidRPr="00F13114">
              <w:t xml:space="preserve"> to assist in determining whether a transportation issue</w:t>
            </w:r>
            <w:r>
              <w:t xml:space="preserve"> sh</w:t>
            </w:r>
            <w:r w:rsidRPr="00F13114">
              <w:t xml:space="preserve">ould </w:t>
            </w:r>
            <w:r>
              <w:t xml:space="preserve">be </w:t>
            </w:r>
            <w:r w:rsidRPr="00F13114">
              <w:t>inclu</w:t>
            </w:r>
            <w:r>
              <w:t>ded</w:t>
            </w:r>
            <w:r w:rsidRPr="00F13114">
              <w:t xml:space="preserve"> in the </w:t>
            </w:r>
            <w:r w:rsidRPr="00F13114">
              <w:rPr>
                <w:bCs/>
                <w:iCs/>
              </w:rPr>
              <w:t>ORC Report</w:t>
            </w:r>
            <w:r w:rsidRPr="00F13114">
              <w:t>.  DCA</w:t>
            </w:r>
            <w:r>
              <w:t>, the District,</w:t>
            </w:r>
            <w:r w:rsidRPr="00F13114">
              <w:t xml:space="preserve"> and the local government may participate in conference calls to discuss </w:t>
            </w:r>
            <w:r>
              <w:t>transportation-related issues</w:t>
            </w:r>
            <w:r w:rsidRPr="00F13114">
              <w:t xml:space="preserve">. </w:t>
            </w:r>
          </w:p>
          <w:p w:rsidR="00225952" w:rsidRDefault="00225952" w:rsidP="00225952">
            <w:r w:rsidRPr="00F13114">
              <w:t xml:space="preserve">The FDOT reviewer should focus on the general issues outlined in the LGCP Amendment Review Checklist </w:t>
            </w:r>
            <w:r>
              <w:rPr>
                <w:rFonts w:ascii="Tahoma" w:hAnsi="Tahoma" w:cs="Tahoma"/>
                <w:color w:val="000000"/>
                <w:sz w:val="20"/>
              </w:rPr>
              <w:t xml:space="preserve">in </w:t>
            </w:r>
            <w:hyperlink w:anchor="R8" w:history="1">
              <w:r w:rsidRPr="00D1578E">
                <w:rPr>
                  <w:rStyle w:val="Hyperlink"/>
                  <w:rFonts w:ascii="Tahoma" w:hAnsi="Tahoma" w:cs="Tahoma"/>
                  <w:sz w:val="20"/>
                </w:rPr>
                <w:t>Resource Guide 8</w:t>
              </w:r>
            </w:hyperlink>
            <w:r>
              <w:t xml:space="preserve"> </w:t>
            </w:r>
            <w:r w:rsidRPr="00F13114">
              <w:t>when conducting a FLUM</w:t>
            </w:r>
            <w:r>
              <w:t xml:space="preserve"> amendment impact evaluation.  The c</w:t>
            </w:r>
            <w:r w:rsidRPr="00F13114">
              <w:t>hecklist response</w:t>
            </w:r>
            <w:r>
              <w:t>s</w:t>
            </w:r>
            <w:r w:rsidRPr="00F13114">
              <w:t xml:space="preserve"> and the FDOT reviewer’s comments should form the basis of the FDOT’s formal </w:t>
            </w:r>
            <w:r>
              <w:t xml:space="preserve">review of an amendment. </w:t>
            </w:r>
          </w:p>
        </w:tc>
      </w:tr>
    </w:tbl>
    <w:p w:rsidR="00835D35" w:rsidRDefault="00835D35">
      <w:r>
        <w:rPr>
          <w:b/>
          <w:bCs/>
        </w:rPr>
        <w:br w:type="page"/>
      </w:r>
    </w:p>
    <w:tbl>
      <w:tblPr>
        <w:tblW w:w="10080" w:type="dxa"/>
        <w:tblInd w:w="115" w:type="dxa"/>
        <w:tblLayout w:type="fixed"/>
        <w:tblCellMar>
          <w:left w:w="115" w:type="dxa"/>
          <w:right w:w="115" w:type="dxa"/>
        </w:tblCellMar>
        <w:tblLook w:val="0000"/>
      </w:tblPr>
      <w:tblGrid>
        <w:gridCol w:w="2253"/>
        <w:gridCol w:w="7827"/>
      </w:tblGrid>
      <w:tr w:rsidR="00225952" w:rsidRPr="007C475C" w:rsidTr="00225952">
        <w:tc>
          <w:tcPr>
            <w:tcW w:w="2253" w:type="dxa"/>
          </w:tcPr>
          <w:p w:rsidR="00B8640B" w:rsidRDefault="00B8640B" w:rsidP="00B8640B">
            <w:pPr>
              <w:pStyle w:val="Heading4"/>
            </w:pPr>
            <w:r>
              <w:lastRenderedPageBreak/>
              <w:t>Floor Area Ratio (FAR)</w:t>
            </w:r>
          </w:p>
          <w:p w:rsidR="00225952" w:rsidRPr="008956F2" w:rsidRDefault="00225952" w:rsidP="00225952">
            <w:r>
              <w:rPr>
                <w:noProof/>
              </w:rPr>
              <w:drawing>
                <wp:inline distT="0" distB="0" distL="0" distR="0">
                  <wp:extent cx="1284605" cy="3335020"/>
                  <wp:effectExtent l="19050" t="0" r="0" b="0"/>
                  <wp:docPr id="22" name="Picture 8" descr="F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R.png"/>
                          <pic:cNvPicPr/>
                        </pic:nvPicPr>
                        <pic:blipFill>
                          <a:blip r:embed="rId146" cstate="print"/>
                          <a:stretch>
                            <a:fillRect/>
                          </a:stretch>
                        </pic:blipFill>
                        <pic:spPr>
                          <a:xfrm>
                            <a:off x="0" y="0"/>
                            <a:ext cx="1284605" cy="3335020"/>
                          </a:xfrm>
                          <a:prstGeom prst="rect">
                            <a:avLst/>
                          </a:prstGeom>
                        </pic:spPr>
                      </pic:pic>
                    </a:graphicData>
                  </a:graphic>
                </wp:inline>
              </w:drawing>
            </w:r>
          </w:p>
        </w:tc>
        <w:tc>
          <w:tcPr>
            <w:tcW w:w="7827" w:type="dxa"/>
          </w:tcPr>
          <w:p w:rsidR="00225952" w:rsidRDefault="00225952" w:rsidP="00225952">
            <w:r>
              <w:t xml:space="preserve">Typically, FLUM amendments propose changes to the density or intensity of the land use for a particular property.  </w:t>
            </w:r>
            <w:r w:rsidRPr="008C6101">
              <w:t>A</w:t>
            </w:r>
            <w:r>
              <w:t>n</w:t>
            </w:r>
            <w:r w:rsidRPr="008C6101">
              <w:t xml:space="preserve"> </w:t>
            </w:r>
            <w:r>
              <w:t>accompanying</w:t>
            </w:r>
            <w:r w:rsidRPr="008C6101">
              <w:t xml:space="preserve"> transportation impact analysis may convert the broad land use descriptions into </w:t>
            </w:r>
            <w:r>
              <w:t>quantifiable units.  This is usually done</w:t>
            </w:r>
            <w:r w:rsidRPr="008C6101">
              <w:t xml:space="preserve"> for commercial and office land uses where square footages are calculated from gross acreages using </w:t>
            </w:r>
            <w:r>
              <w:t>Floor Area Ratios (FAR</w:t>
            </w:r>
            <w:r w:rsidRPr="008C6101">
              <w:t>s</w:t>
            </w:r>
            <w:r>
              <w:t xml:space="preserve">). </w:t>
            </w:r>
          </w:p>
          <w:p w:rsidR="00225952" w:rsidRDefault="00225952" w:rsidP="00225952">
            <w:r>
              <w:t>The FAR is the ratio of the</w:t>
            </w:r>
            <w:r w:rsidRPr="008C6101">
              <w:t xml:space="preserve"> </w:t>
            </w:r>
            <w:r>
              <w:t>gross square footage of a structure to the area of the site.  The higher the ratio, the greater the intensity of the individual site development.  Thus, a FLUM change to a category with a larger FAR will imply greater area (as square feet) of particular uses which in turn may affect trip generation and distribution, site access and levels of service.</w:t>
            </w:r>
          </w:p>
          <w:p w:rsidR="00225952" w:rsidRDefault="00225952" w:rsidP="00225952"/>
          <w:p w:rsidR="00784F8A" w:rsidRDefault="00784F8A" w:rsidP="00784F8A">
            <w:pPr>
              <w:pStyle w:val="Exhibit"/>
            </w:pPr>
            <w:r>
              <w:t>Exhibit 23</w:t>
            </w:r>
          </w:p>
          <w:p w:rsidR="00225952" w:rsidRPr="00F468AA" w:rsidRDefault="00225952" w:rsidP="00784F8A">
            <w:pPr>
              <w:pStyle w:val="ExhibitTitle"/>
            </w:pPr>
            <w:r w:rsidRPr="00F468AA">
              <w:t>Different Buildings with the same floor area (FAR 1.0)</w:t>
            </w:r>
          </w:p>
        </w:tc>
      </w:tr>
      <w:tr w:rsidR="00225952" w:rsidRPr="007C475C" w:rsidTr="00225952">
        <w:tc>
          <w:tcPr>
            <w:tcW w:w="2253" w:type="dxa"/>
          </w:tcPr>
          <w:p w:rsidR="00225952" w:rsidRDefault="00225952" w:rsidP="00B8640B">
            <w:pPr>
              <w:pStyle w:val="Heading4"/>
            </w:pPr>
            <w:r w:rsidRPr="008956F2">
              <w:t>Impervious Surface Ratio (ISR)</w:t>
            </w:r>
          </w:p>
        </w:tc>
        <w:tc>
          <w:tcPr>
            <w:tcW w:w="7827" w:type="dxa"/>
          </w:tcPr>
          <w:p w:rsidR="00225952" w:rsidRDefault="00225952" w:rsidP="00225952">
            <w:r>
              <w:t xml:space="preserve">A companion measure, Impervious Surface Ratio (ISR) describes the </w:t>
            </w:r>
            <w:r w:rsidRPr="000F0B89">
              <w:rPr>
                <w:rFonts w:cs="Arial"/>
              </w:rPr>
              <w:t>relationship between the total impervious surface area on a site and the gross land area. Though this may not affect trip generation specifically, a higher ISR indicates that more storm water will need to be accommodated off the site.</w:t>
            </w:r>
          </w:p>
        </w:tc>
      </w:tr>
      <w:tr w:rsidR="00225952" w:rsidRPr="007C475C" w:rsidTr="00225952">
        <w:tc>
          <w:tcPr>
            <w:tcW w:w="2253" w:type="dxa"/>
          </w:tcPr>
          <w:p w:rsidR="00225952" w:rsidRPr="008956F2" w:rsidRDefault="00225952" w:rsidP="00225952">
            <w:pPr>
              <w:pStyle w:val="HeadSideMain"/>
            </w:pPr>
          </w:p>
        </w:tc>
        <w:tc>
          <w:tcPr>
            <w:tcW w:w="7827" w:type="dxa"/>
          </w:tcPr>
          <w:p w:rsidR="00225952" w:rsidRDefault="00225952" w:rsidP="00225952">
            <w:r w:rsidRPr="008C6101">
              <w:t>T</w:t>
            </w:r>
            <w:r>
              <w:t>he Future Land Use Element should specify maximum FARs for every land use category that allows non-residential land uses.  T</w:t>
            </w:r>
            <w:r w:rsidRPr="008C6101">
              <w:t>he maximum FARs should form the basis of all analyses</w:t>
            </w:r>
            <w:r>
              <w:t xml:space="preserve">.  </w:t>
            </w:r>
            <w:r w:rsidRPr="008C6101">
              <w:t>The FDOT reviewer should be familiar with the jurisdiction’s land use c</w:t>
            </w:r>
            <w:r>
              <w:t xml:space="preserve">ategories, </w:t>
            </w:r>
            <w:r w:rsidRPr="008C6101">
              <w:t xml:space="preserve">how </w:t>
            </w:r>
            <w:r>
              <w:t xml:space="preserve">the </w:t>
            </w:r>
            <w:r w:rsidRPr="008C6101">
              <w:t>FAR is determined</w:t>
            </w:r>
            <w:r>
              <w:t>, and its influence on land use and transportation</w:t>
            </w:r>
            <w:r w:rsidRPr="002F514C">
              <w:t>.</w:t>
            </w:r>
            <w:r w:rsidR="00835D35">
              <w:tab/>
            </w:r>
            <w:r w:rsidRPr="002F514C">
              <w:t xml:space="preserve"> </w:t>
            </w:r>
          </w:p>
        </w:tc>
      </w:tr>
      <w:tr w:rsidR="00225952" w:rsidRPr="007C475C" w:rsidTr="00225952">
        <w:tc>
          <w:tcPr>
            <w:tcW w:w="2253" w:type="dxa"/>
          </w:tcPr>
          <w:p w:rsidR="00225952" w:rsidRPr="008956F2" w:rsidRDefault="00B8640B" w:rsidP="00225952">
            <w:pPr>
              <w:pStyle w:val="HeadSideMain"/>
            </w:pPr>
            <w:r>
              <w:rPr>
                <w:b w:val="0"/>
                <w:bCs w:val="0"/>
                <w:i w:val="0"/>
              </w:rPr>
              <w:br w:type="page"/>
            </w:r>
          </w:p>
        </w:tc>
        <w:tc>
          <w:tcPr>
            <w:tcW w:w="7827" w:type="dxa"/>
          </w:tcPr>
          <w:p w:rsidR="00225952" w:rsidRPr="002F514C" w:rsidRDefault="00225952" w:rsidP="00225952">
            <w:pPr>
              <w:rPr>
                <w:rFonts w:eastAsia="Batang" w:cs="Slimbach-Book"/>
                <w:lang w:eastAsia="ko-KR"/>
              </w:rPr>
            </w:pPr>
            <w:r>
              <w:t>A FLUM</w:t>
            </w:r>
            <w:r w:rsidRPr="008C6101">
              <w:t xml:space="preserve"> amendment </w:t>
            </w:r>
            <w:r>
              <w:t xml:space="preserve">may </w:t>
            </w:r>
            <w:r w:rsidRPr="008C6101">
              <w:t>create</w:t>
            </w:r>
            <w:r>
              <w:t xml:space="preserve"> an inconsistency between the Future L</w:t>
            </w:r>
            <w:r w:rsidRPr="008C6101">
              <w:t>and</w:t>
            </w:r>
            <w:r>
              <w:t xml:space="preserve"> U</w:t>
            </w:r>
            <w:r w:rsidRPr="008C6101">
              <w:t xml:space="preserve">se and </w:t>
            </w:r>
            <w:r>
              <w:t>Transportation element</w:t>
            </w:r>
            <w:r w:rsidRPr="008C6101">
              <w:t>s</w:t>
            </w:r>
            <w:r>
              <w:t xml:space="preserve"> if the land use change </w:t>
            </w:r>
            <w:r w:rsidRPr="008C6101">
              <w:t xml:space="preserve">causes </w:t>
            </w:r>
            <w:r>
              <w:t>a</w:t>
            </w:r>
            <w:r w:rsidRPr="008C6101">
              <w:t xml:space="preserve"> transportation </w:t>
            </w:r>
            <w:r>
              <w:t>fac</w:t>
            </w:r>
            <w:r w:rsidRPr="008C6101">
              <w:t xml:space="preserve">ility to fall below its </w:t>
            </w:r>
            <w:r>
              <w:t xml:space="preserve">adopted LOS </w:t>
            </w:r>
            <w:r w:rsidRPr="00227ED7">
              <w:t>standard</w:t>
            </w:r>
            <w:r>
              <w:t xml:space="preserve"> or other mobility performance measures</w:t>
            </w:r>
            <w:r w:rsidRPr="00227ED7">
              <w:t>.  This inconsistency may be evident from the supporting transportation analysis.</w:t>
            </w:r>
            <w:r>
              <w:t xml:space="preserve"> </w:t>
            </w:r>
            <w:r w:rsidRPr="00227ED7">
              <w:t xml:space="preserve"> In this</w:t>
            </w:r>
            <w:r>
              <w:t xml:space="preserve"> case, the FDOT reviewer should identify the inconsistency and suggest methods to remedy it</w:t>
            </w:r>
            <w:r w:rsidRPr="002F514C">
              <w:t xml:space="preserve">. </w:t>
            </w:r>
          </w:p>
          <w:p w:rsidR="00225952" w:rsidRPr="004A18E8" w:rsidRDefault="00225952" w:rsidP="00225952">
            <w:pPr>
              <w:rPr>
                <w:b/>
                <w:sz w:val="24"/>
                <w:szCs w:val="24"/>
                <w:u w:val="single"/>
              </w:rPr>
            </w:pPr>
            <w:r w:rsidRPr="0040638D">
              <w:rPr>
                <w:sz w:val="24"/>
                <w:szCs w:val="24"/>
              </w:rPr>
              <w:t xml:space="preserve">Any </w:t>
            </w:r>
            <w:r>
              <w:rPr>
                <w:sz w:val="24"/>
                <w:szCs w:val="24"/>
              </w:rPr>
              <w:t>FLUM amendment should include an</w:t>
            </w:r>
            <w:r w:rsidRPr="008C6101">
              <w:rPr>
                <w:sz w:val="24"/>
                <w:szCs w:val="24"/>
              </w:rPr>
              <w:t xml:space="preserve"> analysis </w:t>
            </w:r>
            <w:r>
              <w:t>demonstrating internal consistency and the continued coordination</w:t>
            </w:r>
            <w:r>
              <w:rPr>
                <w:rStyle w:val="CommentReference"/>
              </w:rPr>
              <w:t> </w:t>
            </w:r>
            <w:r w:rsidRPr="008C6101">
              <w:rPr>
                <w:sz w:val="24"/>
                <w:szCs w:val="24"/>
              </w:rPr>
              <w:t xml:space="preserve">of the transportation and </w:t>
            </w:r>
            <w:r>
              <w:rPr>
                <w:sz w:val="24"/>
                <w:szCs w:val="24"/>
              </w:rPr>
              <w:t xml:space="preserve">future </w:t>
            </w:r>
            <w:r w:rsidRPr="008C6101">
              <w:rPr>
                <w:sz w:val="24"/>
                <w:szCs w:val="24"/>
              </w:rPr>
              <w:t>land use elements</w:t>
            </w:r>
            <w:r>
              <w:rPr>
                <w:sz w:val="24"/>
                <w:szCs w:val="24"/>
              </w:rPr>
              <w:t>.</w:t>
            </w:r>
            <w:r w:rsidRPr="008C6101">
              <w:rPr>
                <w:sz w:val="24"/>
                <w:szCs w:val="24"/>
              </w:rPr>
              <w:t xml:space="preserve">  The transportation analysis should determine whether the existing</w:t>
            </w:r>
            <w:r>
              <w:rPr>
                <w:sz w:val="24"/>
                <w:szCs w:val="24"/>
              </w:rPr>
              <w:t>, committed or planned</w:t>
            </w:r>
            <w:r w:rsidRPr="008C6101">
              <w:rPr>
                <w:sz w:val="24"/>
                <w:szCs w:val="24"/>
              </w:rPr>
              <w:t xml:space="preserve"> transportation </w:t>
            </w:r>
            <w:r>
              <w:rPr>
                <w:sz w:val="24"/>
                <w:szCs w:val="24"/>
              </w:rPr>
              <w:t>fac</w:t>
            </w:r>
            <w:r w:rsidRPr="008C6101">
              <w:rPr>
                <w:sz w:val="24"/>
                <w:szCs w:val="24"/>
              </w:rPr>
              <w:t xml:space="preserve">ilities are sufficient to </w:t>
            </w:r>
            <w:r w:rsidRPr="008C6101">
              <w:rPr>
                <w:sz w:val="24"/>
                <w:szCs w:val="24"/>
              </w:rPr>
              <w:lastRenderedPageBreak/>
              <w:t>accommodate any new growth impacts</w:t>
            </w:r>
            <w:r>
              <w:rPr>
                <w:sz w:val="24"/>
                <w:szCs w:val="24"/>
              </w:rPr>
              <w:t>.</w:t>
            </w:r>
          </w:p>
        </w:tc>
      </w:tr>
      <w:tr w:rsidR="00225952" w:rsidRPr="007C475C" w:rsidTr="00225952">
        <w:tc>
          <w:tcPr>
            <w:tcW w:w="2253" w:type="dxa"/>
          </w:tcPr>
          <w:p w:rsidR="00225952" w:rsidRPr="008956F2" w:rsidRDefault="00225952" w:rsidP="00225952">
            <w:pPr>
              <w:pStyle w:val="HeadSideMain"/>
            </w:pPr>
          </w:p>
        </w:tc>
        <w:tc>
          <w:tcPr>
            <w:tcW w:w="7827" w:type="dxa"/>
          </w:tcPr>
          <w:p w:rsidR="00225952" w:rsidRPr="004A18E8" w:rsidRDefault="00225952" w:rsidP="00225952">
            <w:pPr>
              <w:rPr>
                <w:sz w:val="24"/>
                <w:szCs w:val="24"/>
              </w:rPr>
            </w:pPr>
            <w:r w:rsidRPr="008C6101">
              <w:rPr>
                <w:sz w:val="24"/>
                <w:szCs w:val="24"/>
              </w:rPr>
              <w:t>This test occurs at two levels: (1)</w:t>
            </w:r>
            <w:r>
              <w:rPr>
                <w:sz w:val="24"/>
                <w:szCs w:val="24"/>
              </w:rPr>
              <w:t xml:space="preserve"> whether the FLUM</w:t>
            </w:r>
            <w:r w:rsidRPr="008C6101">
              <w:rPr>
                <w:sz w:val="24"/>
                <w:szCs w:val="24"/>
              </w:rPr>
              <w:t xml:space="preserve"> and the Future Transportation Map are coordinated and consistent, and (2) whether the </w:t>
            </w:r>
            <w:r>
              <w:rPr>
                <w:sz w:val="24"/>
                <w:szCs w:val="24"/>
              </w:rPr>
              <w:t>a</w:t>
            </w:r>
            <w:r w:rsidRPr="008C6101">
              <w:rPr>
                <w:sz w:val="24"/>
                <w:szCs w:val="24"/>
              </w:rPr>
              <w:t xml:space="preserve">dopted </w:t>
            </w:r>
            <w:r>
              <w:rPr>
                <w:sz w:val="24"/>
                <w:szCs w:val="24"/>
              </w:rPr>
              <w:t>LOS</w:t>
            </w:r>
            <w:r w:rsidRPr="008C6101">
              <w:rPr>
                <w:sz w:val="24"/>
                <w:szCs w:val="24"/>
              </w:rPr>
              <w:t xml:space="preserve"> standard will be achieved and maintained over a five-year period even with the additional</w:t>
            </w:r>
            <w:r>
              <w:rPr>
                <w:sz w:val="24"/>
                <w:szCs w:val="24"/>
              </w:rPr>
              <w:t xml:space="preserve"> development potential associated with the amendment.</w:t>
            </w:r>
          </w:p>
        </w:tc>
      </w:tr>
      <w:tr w:rsidR="00225952" w:rsidRPr="007C475C" w:rsidTr="00225952">
        <w:tc>
          <w:tcPr>
            <w:tcW w:w="2253" w:type="dxa"/>
          </w:tcPr>
          <w:p w:rsidR="00225952" w:rsidRPr="008956F2" w:rsidRDefault="00225952" w:rsidP="00225952">
            <w:pPr>
              <w:pStyle w:val="HeadSideMain"/>
            </w:pPr>
          </w:p>
        </w:tc>
        <w:tc>
          <w:tcPr>
            <w:tcW w:w="7827" w:type="dxa"/>
          </w:tcPr>
          <w:p w:rsidR="00225952" w:rsidRPr="004A18E8" w:rsidRDefault="00225952" w:rsidP="00225952">
            <w:pPr>
              <w:rPr>
                <w:sz w:val="24"/>
                <w:szCs w:val="24"/>
              </w:rPr>
            </w:pPr>
            <w:r>
              <w:rPr>
                <w:sz w:val="24"/>
                <w:szCs w:val="24"/>
              </w:rPr>
              <w:t>The LOS</w:t>
            </w:r>
            <w:r w:rsidRPr="008C6101">
              <w:rPr>
                <w:sz w:val="24"/>
                <w:szCs w:val="24"/>
              </w:rPr>
              <w:t xml:space="preserve"> </w:t>
            </w:r>
            <w:r>
              <w:rPr>
                <w:sz w:val="24"/>
                <w:szCs w:val="24"/>
              </w:rPr>
              <w:t xml:space="preserve">standard </w:t>
            </w:r>
            <w:r w:rsidRPr="008C6101">
              <w:rPr>
                <w:sz w:val="24"/>
                <w:szCs w:val="24"/>
              </w:rPr>
              <w:t xml:space="preserve">determines whether a roadway has sufficient capacity to accommodate the impacts associated with the </w:t>
            </w:r>
            <w:r>
              <w:rPr>
                <w:sz w:val="24"/>
                <w:szCs w:val="24"/>
              </w:rPr>
              <w:t xml:space="preserve">proposed </w:t>
            </w:r>
            <w:r w:rsidRPr="008C6101">
              <w:rPr>
                <w:sz w:val="24"/>
                <w:szCs w:val="24"/>
              </w:rPr>
              <w:t>la</w:t>
            </w:r>
            <w:r>
              <w:rPr>
                <w:sz w:val="24"/>
                <w:szCs w:val="24"/>
              </w:rPr>
              <w:t xml:space="preserve">nd use change.  It </w:t>
            </w:r>
            <w:r w:rsidRPr="008C6101">
              <w:rPr>
                <w:sz w:val="24"/>
                <w:szCs w:val="24"/>
              </w:rPr>
              <w:t xml:space="preserve">is </w:t>
            </w:r>
            <w:r>
              <w:rPr>
                <w:sz w:val="24"/>
                <w:szCs w:val="24"/>
              </w:rPr>
              <w:t>also expressed as the</w:t>
            </w:r>
            <w:r w:rsidRPr="008C6101">
              <w:rPr>
                <w:sz w:val="24"/>
                <w:szCs w:val="24"/>
              </w:rPr>
              <w:t xml:space="preserve"> maximum service volume established by policy in the comprehensive plan for a specific roadway.  </w:t>
            </w:r>
          </w:p>
        </w:tc>
      </w:tr>
      <w:tr w:rsidR="00225952" w:rsidRPr="007C475C" w:rsidTr="00225952">
        <w:tc>
          <w:tcPr>
            <w:tcW w:w="2253" w:type="dxa"/>
          </w:tcPr>
          <w:p w:rsidR="00225952" w:rsidRPr="008956F2" w:rsidRDefault="00225952" w:rsidP="00225952">
            <w:pPr>
              <w:pStyle w:val="HeadSideMain"/>
            </w:pPr>
          </w:p>
        </w:tc>
        <w:tc>
          <w:tcPr>
            <w:tcW w:w="7827" w:type="dxa"/>
          </w:tcPr>
          <w:p w:rsidR="00225952" w:rsidRPr="008C6101" w:rsidRDefault="00225952" w:rsidP="00225952">
            <w:r>
              <w:t xml:space="preserve">FDOT establishes LOS standards by </w:t>
            </w:r>
            <w:r w:rsidRPr="008C6101">
              <w:t>Rule 14-94, F.A.C., on roadways that are a part of the Strategic Intermodal System</w:t>
            </w:r>
            <w:r>
              <w:t xml:space="preserve"> (SIS).  For SIS roadway facilities, </w:t>
            </w:r>
            <w:r w:rsidRPr="008C6101">
              <w:t>local government comprehensive plans</w:t>
            </w:r>
            <w:r>
              <w:t xml:space="preserve"> must adopt the LOS standard established by FDOT (see </w:t>
            </w:r>
            <w:hyperlink r:id="rId147" w:anchor="0163.3180" w:history="1">
              <w:r w:rsidRPr="00A27260">
                <w:rPr>
                  <w:rStyle w:val="Hyperlink"/>
                  <w:szCs w:val="24"/>
                </w:rPr>
                <w:t>s.163.3180(10), F.S.</w:t>
              </w:r>
            </w:hyperlink>
            <w:r>
              <w:t xml:space="preserve">).  </w:t>
            </w:r>
            <w:r>
              <w:rPr>
                <w:rFonts w:cs="Calibri"/>
                <w:szCs w:val="23"/>
              </w:rPr>
              <w:t>In TCEAs created by s.163.3180(5)(b), F.S., local governments no longer have to consult with FDOT on impacts to the SIS and TRIP funded roadways. In TCEAs designated under s.163.3180(5)(b)7., F.S., local governments must continue to consult with the state land planning agency and FDOT to assess impacts on adopted level of service standards established for regional transportation facilities identified in the Strategic Regional Policy Plan, including SIS and TRIP funded roadways, and provide a plan for mitigation of impacts to the SIS</w:t>
            </w:r>
          </w:p>
        </w:tc>
      </w:tr>
      <w:tr w:rsidR="00225952" w:rsidRPr="007C475C" w:rsidTr="00225952">
        <w:tc>
          <w:tcPr>
            <w:tcW w:w="2253" w:type="dxa"/>
          </w:tcPr>
          <w:p w:rsidR="00225952" w:rsidRPr="008956F2" w:rsidRDefault="00225952" w:rsidP="00225952">
            <w:pPr>
              <w:pStyle w:val="HeadSideMain"/>
            </w:pPr>
          </w:p>
        </w:tc>
        <w:tc>
          <w:tcPr>
            <w:tcW w:w="7827" w:type="dxa"/>
          </w:tcPr>
          <w:p w:rsidR="00225952" w:rsidRDefault="00225952" w:rsidP="00225952">
            <w:r>
              <w:t xml:space="preserve">On other roadways, local governments may </w:t>
            </w:r>
            <w:r w:rsidRPr="008C6101">
              <w:t>establi</w:t>
            </w:r>
            <w:r>
              <w:t xml:space="preserve">sh adequate LOS </w:t>
            </w:r>
            <w:r w:rsidRPr="008C6101">
              <w:t>standard</w:t>
            </w:r>
            <w:r>
              <w:t>s</w:t>
            </w:r>
            <w:r>
              <w:rPr>
                <w:rFonts w:ascii="Tahoma" w:hAnsi="Tahoma" w:cs="Tahoma"/>
                <w:color w:val="000000"/>
                <w:sz w:val="20"/>
              </w:rPr>
              <w:t xml:space="preserve"> or mobility performance measures </w:t>
            </w:r>
            <w:r w:rsidRPr="008C6101">
              <w:t xml:space="preserve"> that need not be consistent with any FDOT LOS standard</w:t>
            </w:r>
            <w:r>
              <w:t>.</w:t>
            </w:r>
          </w:p>
        </w:tc>
      </w:tr>
      <w:tr w:rsidR="00225952" w:rsidRPr="007C475C" w:rsidTr="00225952">
        <w:tc>
          <w:tcPr>
            <w:tcW w:w="2253" w:type="dxa"/>
          </w:tcPr>
          <w:p w:rsidR="00225952" w:rsidRPr="008956F2" w:rsidRDefault="00225952" w:rsidP="00225952">
            <w:pPr>
              <w:pStyle w:val="HeadSideMain"/>
            </w:pPr>
          </w:p>
        </w:tc>
        <w:tc>
          <w:tcPr>
            <w:tcW w:w="7827" w:type="dxa"/>
          </w:tcPr>
          <w:p w:rsidR="00225952" w:rsidRDefault="00225952" w:rsidP="00225952">
            <w:r w:rsidRPr="008C6101">
              <w:t>A failing system indicates that transportation improvements need to be included in the comprehensive plan amendment</w:t>
            </w:r>
            <w:r>
              <w:t xml:space="preserve">.  </w:t>
            </w:r>
            <w:r w:rsidRPr="008C6101">
              <w:t xml:space="preserve">For instance, the data and analysis may show </w:t>
            </w:r>
            <w:r>
              <w:t xml:space="preserve">the </w:t>
            </w:r>
            <w:r w:rsidRPr="008C6101">
              <w:t xml:space="preserve">need for </w:t>
            </w:r>
            <w:r>
              <w:t>improved transit service, bicycle/pedestrian access, intersection improvements or a</w:t>
            </w:r>
            <w:r w:rsidRPr="008C6101">
              <w:t xml:space="preserve"> new or expanded road</w:t>
            </w:r>
            <w:r>
              <w:t xml:space="preserve">.  </w:t>
            </w:r>
            <w:r w:rsidRPr="008C6101">
              <w:t>I</w:t>
            </w:r>
            <w:r>
              <w:t xml:space="preserve">f the Future Transportation Map </w:t>
            </w:r>
            <w:r w:rsidRPr="008C6101">
              <w:t>does not show those improvements, then the propos</w:t>
            </w:r>
            <w:r>
              <w:t>ed amendment</w:t>
            </w:r>
            <w:r w:rsidRPr="008C6101">
              <w:t xml:space="preserve"> is inconsis</w:t>
            </w:r>
            <w:r>
              <w:t>tent with the map. In that case t</w:t>
            </w:r>
            <w:r w:rsidRPr="008C6101">
              <w:t xml:space="preserve">he local government will need to propose </w:t>
            </w:r>
            <w:r>
              <w:t xml:space="preserve">transportation strategies to meet adopted standards.  </w:t>
            </w:r>
            <w:r w:rsidRPr="008C6101">
              <w:t>The Future Transportation Map will also need to be amended.</w:t>
            </w:r>
          </w:p>
          <w:p w:rsidR="00087603" w:rsidRDefault="00087603" w:rsidP="00087603">
            <w:pPr>
              <w:spacing w:after="360"/>
            </w:pPr>
          </w:p>
          <w:p w:rsidR="00087603" w:rsidRDefault="00087603" w:rsidP="00225952"/>
        </w:tc>
      </w:tr>
      <w:tr w:rsidR="00225952" w:rsidRPr="007C475C" w:rsidTr="00225952">
        <w:tc>
          <w:tcPr>
            <w:tcW w:w="2253" w:type="dxa"/>
          </w:tcPr>
          <w:p w:rsidR="00225952" w:rsidRPr="008956F2" w:rsidRDefault="00225952" w:rsidP="00225952">
            <w:pPr>
              <w:pStyle w:val="HeadSideMain"/>
            </w:pPr>
          </w:p>
        </w:tc>
        <w:tc>
          <w:tcPr>
            <w:tcW w:w="7827" w:type="dxa"/>
          </w:tcPr>
          <w:p w:rsidR="00225952" w:rsidRPr="00DB0A6D" w:rsidRDefault="00225952" w:rsidP="00225952">
            <w:pPr>
              <w:rPr>
                <w:spacing w:val="-4"/>
              </w:rPr>
            </w:pPr>
            <w:r w:rsidRPr="00DB0A6D">
              <w:rPr>
                <w:spacing w:val="-4"/>
              </w:rPr>
              <w:t>An analysis that shows a deficiency in the transportation network may also recommend mitigation projects.  These improvements should already be in the Five-Year Schedule of Capital Improvements of the Capital Improvements Element or added in the same amendment cycle.  The requirements relating to the Capital Improvements Element are in s.163.3177(3), F.S., and Rule 9J-5.016, F.A.C.</w:t>
            </w:r>
          </w:p>
        </w:tc>
      </w:tr>
      <w:tr w:rsidR="00225952" w:rsidRPr="007C475C" w:rsidTr="00225952">
        <w:tc>
          <w:tcPr>
            <w:tcW w:w="2253" w:type="dxa"/>
          </w:tcPr>
          <w:p w:rsidR="00225952" w:rsidRDefault="00CD306D" w:rsidP="00CD306D">
            <w:pPr>
              <w:pStyle w:val="HeadSideMain"/>
              <w:jc w:val="center"/>
            </w:pPr>
            <w:r w:rsidRPr="00CD306D">
              <w:rPr>
                <w:noProof/>
              </w:rPr>
              <w:drawing>
                <wp:inline distT="0" distB="0" distL="0" distR="0">
                  <wp:extent cx="1280160" cy="494466"/>
                  <wp:effectExtent l="19050" t="0" r="0" b="0"/>
                  <wp:docPr id="550" name="Picture 90" descr="button_PDFlink.png">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button_PDFlink.png"/>
                          <pic:cNvPicPr>
                            <a:picLocks noChangeAspect="1" noChangeArrowheads="1"/>
                          </pic:cNvPicPr>
                        </pic:nvPicPr>
                        <pic:blipFill>
                          <a:blip r:embed="rId15" cstate="print"/>
                          <a:srcRect/>
                          <a:stretch>
                            <a:fillRect/>
                          </a:stretch>
                        </pic:blipFill>
                        <pic:spPr bwMode="auto">
                          <a:xfrm>
                            <a:off x="0" y="0"/>
                            <a:ext cx="1280160" cy="494466"/>
                          </a:xfrm>
                          <a:prstGeom prst="rect">
                            <a:avLst/>
                          </a:prstGeom>
                          <a:noFill/>
                          <a:ln w="9525">
                            <a:noFill/>
                            <a:miter lim="800000"/>
                            <a:headEnd/>
                            <a:tailEnd/>
                          </a:ln>
                        </pic:spPr>
                      </pic:pic>
                    </a:graphicData>
                  </a:graphic>
                </wp:inline>
              </w:drawing>
            </w:r>
          </w:p>
          <w:p w:rsidR="00CD306D" w:rsidRPr="008956F2" w:rsidRDefault="00CD306D" w:rsidP="00CD306D">
            <w:pPr>
              <w:pStyle w:val="HeadSide20"/>
              <w:ind w:right="0"/>
              <w:jc w:val="center"/>
            </w:pPr>
            <w:r>
              <w:t>Mobility Techniques</w:t>
            </w:r>
          </w:p>
        </w:tc>
        <w:tc>
          <w:tcPr>
            <w:tcW w:w="7827" w:type="dxa"/>
          </w:tcPr>
          <w:p w:rsidR="00225952" w:rsidRDefault="00225952" w:rsidP="00225952">
            <w:r>
              <w:t xml:space="preserve">The Department has published a recommended standard methodology for CPAs. This text is included in </w:t>
            </w:r>
            <w:hyperlink w:anchor="R9" w:history="1">
              <w:r w:rsidRPr="0056380B">
                <w:rPr>
                  <w:rStyle w:val="Hyperlink"/>
                  <w:rFonts w:cstheme="minorBidi"/>
                </w:rPr>
                <w:t>Resource Guide 9</w:t>
              </w:r>
            </w:hyperlink>
            <w:r>
              <w:t xml:space="preserve">. This suggested methodology was published in the FDOT report:  </w:t>
            </w:r>
            <w:hyperlink r:id="rId149" w:history="1">
              <w:r w:rsidRPr="000E24FC">
                <w:rPr>
                  <w:rStyle w:val="Hyperlink"/>
                  <w:szCs w:val="24"/>
                </w:rPr>
                <w:t>Documenting Improved Mobility Techniques on SIS and TRIP Facilities</w:t>
              </w:r>
            </w:hyperlink>
            <w:r>
              <w:t xml:space="preserve"> also referred to as LOS Issue Paper 13.</w:t>
            </w:r>
          </w:p>
        </w:tc>
      </w:tr>
    </w:tbl>
    <w:p w:rsidR="00225952" w:rsidRDefault="00225952">
      <w:pPr>
        <w:pStyle w:val="Heading2"/>
        <w:rPr>
          <w:lang w:eastAsia="ko-KR"/>
        </w:rPr>
        <w:sectPr w:rsidR="00225952" w:rsidSect="00832911">
          <w:headerReference w:type="default" r:id="rId150"/>
          <w:type w:val="continuous"/>
          <w:pgSz w:w="12240" w:h="15840"/>
          <w:pgMar w:top="1440" w:right="720" w:bottom="1440" w:left="1152" w:header="720" w:footer="720" w:gutter="0"/>
          <w:cols w:space="720"/>
          <w:docGrid w:linePitch="360"/>
        </w:sectPr>
      </w:pPr>
    </w:p>
    <w:tbl>
      <w:tblPr>
        <w:tblW w:w="10080" w:type="dxa"/>
        <w:tblInd w:w="115" w:type="dxa"/>
        <w:tblLayout w:type="fixed"/>
        <w:tblCellMar>
          <w:left w:w="115" w:type="dxa"/>
          <w:right w:w="115" w:type="dxa"/>
        </w:tblCellMar>
        <w:tblLook w:val="0000"/>
      </w:tblPr>
      <w:tblGrid>
        <w:gridCol w:w="2253"/>
        <w:gridCol w:w="3687"/>
        <w:gridCol w:w="4140"/>
      </w:tblGrid>
      <w:tr w:rsidR="00225952" w:rsidRPr="007C475C" w:rsidTr="00225952">
        <w:tc>
          <w:tcPr>
            <w:tcW w:w="10080" w:type="dxa"/>
            <w:gridSpan w:val="3"/>
          </w:tcPr>
          <w:p w:rsidR="00225952" w:rsidRDefault="00225952">
            <w:pPr>
              <w:pStyle w:val="Heading2"/>
            </w:pPr>
            <w:bookmarkStart w:id="139" w:name="_Toc256487941"/>
            <w:bookmarkStart w:id="140" w:name="_Toc263447874"/>
            <w:bookmarkStart w:id="141" w:name="_Toc264274119"/>
            <w:r>
              <w:rPr>
                <w:lang w:eastAsia="ko-KR"/>
              </w:rPr>
              <w:lastRenderedPageBreak/>
              <w:t xml:space="preserve">3.4 Review of </w:t>
            </w:r>
            <w:r w:rsidRPr="0040638D">
              <w:rPr>
                <w:lang w:eastAsia="ko-KR"/>
              </w:rPr>
              <w:t>Text Amendments</w:t>
            </w:r>
            <w:bookmarkEnd w:id="139"/>
            <w:bookmarkEnd w:id="140"/>
            <w:bookmarkEnd w:id="141"/>
            <w:r w:rsidRPr="0040638D">
              <w:rPr>
                <w:lang w:eastAsia="ko-KR"/>
              </w:rPr>
              <w:t xml:space="preserve"> </w:t>
            </w:r>
          </w:p>
        </w:tc>
      </w:tr>
      <w:tr w:rsidR="00225952" w:rsidRPr="007C475C" w:rsidTr="00225952">
        <w:tc>
          <w:tcPr>
            <w:tcW w:w="2253" w:type="dxa"/>
          </w:tcPr>
          <w:p w:rsidR="00225952" w:rsidRPr="008956F2" w:rsidRDefault="00225952" w:rsidP="00225952">
            <w:pPr>
              <w:pStyle w:val="HeadSideMain"/>
            </w:pPr>
          </w:p>
        </w:tc>
        <w:tc>
          <w:tcPr>
            <w:tcW w:w="7827" w:type="dxa"/>
            <w:gridSpan w:val="2"/>
          </w:tcPr>
          <w:p w:rsidR="00225952" w:rsidRDefault="00225952" w:rsidP="00225952">
            <w:r>
              <w:t>Text amendments are changes to the goals, objectives and policies of the adopted comprehensive plan.  Text amendments require an assessment of how proposed changes in policy affect the transportation system.  For example, an amendment of the policy that establishes maximum development densities for a particular FLUM category does not alter the map itself, but may result in additional trips on facilities that serve areas designated by the FLUM category.  Text amendments may modify levels of service standards for specific local facilities, revise criteria for facility prioritization or funding, or establish which modes are to serve specific land uses or districts within the jurisdiction.</w:t>
            </w:r>
          </w:p>
        </w:tc>
      </w:tr>
      <w:tr w:rsidR="00AD5BD3" w:rsidRPr="007C475C" w:rsidTr="00E422F7">
        <w:tc>
          <w:tcPr>
            <w:tcW w:w="2253" w:type="dxa"/>
          </w:tcPr>
          <w:p w:rsidR="00AD5BD3" w:rsidRPr="008956F2" w:rsidRDefault="00AD5BD3" w:rsidP="00225952">
            <w:pPr>
              <w:pStyle w:val="HeadSideMain"/>
            </w:pPr>
            <w:bookmarkStart w:id="142" w:name="_Toc256487942"/>
            <w:r w:rsidRPr="001443C2">
              <w:t>Legal Authorities</w:t>
            </w:r>
            <w:bookmarkEnd w:id="142"/>
          </w:p>
        </w:tc>
        <w:tc>
          <w:tcPr>
            <w:tcW w:w="3687" w:type="dxa"/>
          </w:tcPr>
          <w:p w:rsidR="00AD5BD3" w:rsidRPr="0040638D" w:rsidRDefault="00AD5BD3" w:rsidP="00225952">
            <w:pPr>
              <w:autoSpaceDE w:val="0"/>
              <w:autoSpaceDN w:val="0"/>
              <w:adjustRightInd w:val="0"/>
              <w:spacing w:after="60"/>
              <w:ind w:right="432"/>
              <w:rPr>
                <w:b/>
                <w:sz w:val="24"/>
                <w:szCs w:val="24"/>
              </w:rPr>
            </w:pPr>
            <w:r w:rsidRPr="0040638D">
              <w:rPr>
                <w:b/>
                <w:sz w:val="24"/>
                <w:szCs w:val="24"/>
              </w:rPr>
              <w:t>Florida Stat</w:t>
            </w:r>
            <w:r>
              <w:rPr>
                <w:b/>
                <w:sz w:val="24"/>
                <w:szCs w:val="24"/>
              </w:rPr>
              <w:t>utes (F.S.):</w:t>
            </w:r>
          </w:p>
          <w:p w:rsidR="00AD5BD3" w:rsidRPr="00AD5BD3" w:rsidRDefault="00AD5BD3" w:rsidP="00AD2D7A">
            <w:pPr>
              <w:pStyle w:val="BulletA"/>
              <w:numPr>
                <w:ilvl w:val="0"/>
                <w:numId w:val="100"/>
              </w:numPr>
              <w:ind w:left="720"/>
            </w:pPr>
            <w:r>
              <w:t xml:space="preserve">Section </w:t>
            </w:r>
            <w:r w:rsidRPr="00AD5BD3">
              <w:t>163.3184(3), F.S.</w:t>
            </w:r>
          </w:p>
          <w:p w:rsidR="00AD5BD3" w:rsidRPr="00AD5BD3" w:rsidRDefault="00AD5BD3" w:rsidP="00AD2D7A">
            <w:pPr>
              <w:pStyle w:val="BulletA"/>
              <w:numPr>
                <w:ilvl w:val="0"/>
                <w:numId w:val="99"/>
              </w:numPr>
              <w:ind w:left="720"/>
              <w:rPr>
                <w:szCs w:val="24"/>
              </w:rPr>
            </w:pPr>
            <w:r w:rsidRPr="00AD5BD3">
              <w:rPr>
                <w:szCs w:val="24"/>
              </w:rPr>
              <w:t>Section 163.3184(4), F.S.</w:t>
            </w:r>
          </w:p>
          <w:p w:rsidR="00AD5BD3" w:rsidRPr="00CA5343" w:rsidRDefault="00AD5BD3" w:rsidP="00225952">
            <w:pPr>
              <w:autoSpaceDE w:val="0"/>
              <w:autoSpaceDN w:val="0"/>
              <w:adjustRightInd w:val="0"/>
              <w:spacing w:after="60"/>
              <w:ind w:right="432"/>
              <w:rPr>
                <w:b/>
                <w:sz w:val="24"/>
                <w:szCs w:val="24"/>
                <w:lang w:val="es-MX"/>
              </w:rPr>
            </w:pPr>
          </w:p>
        </w:tc>
        <w:tc>
          <w:tcPr>
            <w:tcW w:w="4140" w:type="dxa"/>
          </w:tcPr>
          <w:p w:rsidR="00AD5BD3" w:rsidRPr="00AD5BD3" w:rsidRDefault="00AD5BD3" w:rsidP="00AD5BD3">
            <w:pPr>
              <w:spacing w:after="60"/>
              <w:rPr>
                <w:b/>
                <w:sz w:val="24"/>
                <w:lang w:val="es-MX"/>
              </w:rPr>
            </w:pPr>
            <w:r w:rsidRPr="00AD5BD3">
              <w:rPr>
                <w:b/>
                <w:sz w:val="24"/>
                <w:lang w:val="es-MX"/>
              </w:rPr>
              <w:t>Florida Administrative Code (F.A.C.):</w:t>
            </w:r>
          </w:p>
          <w:p w:rsidR="00AD5BD3" w:rsidRPr="00AD5BD3" w:rsidRDefault="00AD5BD3" w:rsidP="00AD2D7A">
            <w:pPr>
              <w:pStyle w:val="BulletA"/>
              <w:numPr>
                <w:ilvl w:val="0"/>
                <w:numId w:val="101"/>
              </w:numPr>
            </w:pPr>
            <w:r w:rsidRPr="00AD5BD3">
              <w:t>Rule 9J-5.006, F.A.C.</w:t>
            </w:r>
          </w:p>
          <w:p w:rsidR="00AD5BD3" w:rsidRPr="00AD5BD3" w:rsidRDefault="00AD5BD3" w:rsidP="00AD2D7A">
            <w:pPr>
              <w:pStyle w:val="BulletA"/>
              <w:numPr>
                <w:ilvl w:val="0"/>
                <w:numId w:val="101"/>
              </w:numPr>
            </w:pPr>
            <w:r w:rsidRPr="00AD5BD3">
              <w:t>Rule 9J-5.016, F.A.C.</w:t>
            </w:r>
          </w:p>
          <w:p w:rsidR="00AD5BD3" w:rsidRPr="00AD5BD3" w:rsidRDefault="00AD5BD3" w:rsidP="00AD2D7A">
            <w:pPr>
              <w:pStyle w:val="BulletA"/>
              <w:numPr>
                <w:ilvl w:val="0"/>
                <w:numId w:val="101"/>
              </w:numPr>
            </w:pPr>
            <w:r w:rsidRPr="00AD5BD3">
              <w:t>Rule 9J</w:t>
            </w:r>
            <w:r>
              <w:t>-5.019, F.A.C.</w:t>
            </w:r>
          </w:p>
        </w:tc>
      </w:tr>
      <w:tr w:rsidR="00B13815" w:rsidRPr="007C475C" w:rsidTr="00225952">
        <w:tc>
          <w:tcPr>
            <w:tcW w:w="2253" w:type="dxa"/>
          </w:tcPr>
          <w:p w:rsidR="00B13815" w:rsidRDefault="00745389" w:rsidP="00CC002A">
            <w:pPr>
              <w:pStyle w:val="ResourceLink"/>
            </w:pPr>
            <w:hyperlink w:anchor="R2" w:history="1">
              <w:r w:rsidR="00B13815" w:rsidRPr="00196442">
                <w:rPr>
                  <w:rStyle w:val="Hyperlink"/>
                </w:rPr>
                <w:sym w:font="Wingdings" w:char="F0E8"/>
              </w:r>
            </w:hyperlink>
          </w:p>
        </w:tc>
        <w:tc>
          <w:tcPr>
            <w:tcW w:w="7827" w:type="dxa"/>
            <w:gridSpan w:val="2"/>
          </w:tcPr>
          <w:p w:rsidR="00B13815" w:rsidRPr="0040638D" w:rsidRDefault="00B13815" w:rsidP="00AD5BD3">
            <w:pPr>
              <w:pStyle w:val="ResourceNotTOC"/>
              <w:rPr>
                <w:szCs w:val="24"/>
              </w:rPr>
            </w:pPr>
            <w:r w:rsidRPr="00AD5BD3">
              <w:rPr>
                <w:color w:val="auto"/>
              </w:rPr>
              <w:t>Resource Guide 2.</w:t>
            </w:r>
            <w:r>
              <w:t xml:space="preserve"> </w:t>
            </w:r>
            <w:r w:rsidRPr="00EF76FE">
              <w:t xml:space="preserve"> </w:t>
            </w:r>
            <w:r>
              <w:tab/>
            </w:r>
            <w:r>
              <w:rPr>
                <w:lang w:eastAsia="ko-KR"/>
              </w:rPr>
              <w:t>Online Resources</w:t>
            </w:r>
          </w:p>
        </w:tc>
      </w:tr>
      <w:tr w:rsidR="00B13815" w:rsidRPr="007C475C" w:rsidTr="00225952">
        <w:tc>
          <w:tcPr>
            <w:tcW w:w="2253" w:type="dxa"/>
          </w:tcPr>
          <w:p w:rsidR="00B13815" w:rsidRDefault="00745389" w:rsidP="00CC002A">
            <w:pPr>
              <w:pStyle w:val="ResourceLink"/>
            </w:pPr>
            <w:hyperlink w:anchor="R4" w:history="1">
              <w:r w:rsidR="00B13815" w:rsidRPr="00196442">
                <w:rPr>
                  <w:rStyle w:val="Hyperlink"/>
                </w:rPr>
                <w:sym w:font="Wingdings" w:char="F0E8"/>
              </w:r>
            </w:hyperlink>
          </w:p>
        </w:tc>
        <w:tc>
          <w:tcPr>
            <w:tcW w:w="7827" w:type="dxa"/>
            <w:gridSpan w:val="2"/>
          </w:tcPr>
          <w:p w:rsidR="00B13815" w:rsidRPr="0040638D" w:rsidRDefault="00B13815" w:rsidP="00714A65">
            <w:pPr>
              <w:pStyle w:val="ResourceNotTOC"/>
              <w:rPr>
                <w:szCs w:val="24"/>
              </w:rPr>
            </w:pPr>
            <w:r>
              <w:rPr>
                <w:color w:val="1D1B11"/>
              </w:rPr>
              <w:t>Resource Guide</w:t>
            </w:r>
            <w:r w:rsidRPr="00D2249E">
              <w:rPr>
                <w:color w:val="1D1B11"/>
              </w:rPr>
              <w:t xml:space="preserve"> 4</w:t>
            </w:r>
            <w:r>
              <w:rPr>
                <w:color w:val="1D1B11"/>
              </w:rPr>
              <w:t xml:space="preserve">.  </w:t>
            </w:r>
            <w:r w:rsidRPr="00EF76FE">
              <w:t xml:space="preserve"> </w:t>
            </w:r>
            <w:r>
              <w:tab/>
            </w:r>
            <w:r w:rsidRPr="00EF76FE">
              <w:t>Existing Guidance</w:t>
            </w:r>
            <w:r>
              <w:t xml:space="preserve"> </w:t>
            </w:r>
          </w:p>
        </w:tc>
      </w:tr>
      <w:tr w:rsidR="00B13815" w:rsidRPr="007C475C" w:rsidTr="00225952">
        <w:tc>
          <w:tcPr>
            <w:tcW w:w="2253" w:type="dxa"/>
          </w:tcPr>
          <w:p w:rsidR="00B13815" w:rsidRDefault="00745389" w:rsidP="00CC002A">
            <w:pPr>
              <w:pStyle w:val="ResourceLink"/>
            </w:pPr>
            <w:hyperlink w:anchor="R8" w:history="1">
              <w:r w:rsidR="00B13815" w:rsidRPr="00196442">
                <w:rPr>
                  <w:rStyle w:val="Hyperlink"/>
                </w:rPr>
                <w:sym w:font="Wingdings" w:char="F0E8"/>
              </w:r>
            </w:hyperlink>
          </w:p>
        </w:tc>
        <w:tc>
          <w:tcPr>
            <w:tcW w:w="7827" w:type="dxa"/>
            <w:gridSpan w:val="2"/>
          </w:tcPr>
          <w:p w:rsidR="00B13815" w:rsidRPr="0040638D" w:rsidRDefault="00B13815" w:rsidP="00714A65">
            <w:pPr>
              <w:pStyle w:val="ResourceNotTOC"/>
              <w:rPr>
                <w:szCs w:val="24"/>
              </w:rPr>
            </w:pPr>
            <w:r>
              <w:rPr>
                <w:color w:val="1D1B11"/>
              </w:rPr>
              <w:t>Resource Guide</w:t>
            </w:r>
            <w:r w:rsidRPr="00EF76FE">
              <w:rPr>
                <w:color w:val="1D1B11"/>
                <w:lang w:eastAsia="ko-KR"/>
              </w:rPr>
              <w:t xml:space="preserve"> </w:t>
            </w:r>
            <w:r>
              <w:rPr>
                <w:color w:val="1D1B11"/>
                <w:lang w:eastAsia="ko-KR"/>
              </w:rPr>
              <w:t xml:space="preserve"> </w:t>
            </w:r>
            <w:r w:rsidRPr="00EF76FE">
              <w:rPr>
                <w:color w:val="1D1B11"/>
                <w:lang w:eastAsia="ko-KR"/>
              </w:rPr>
              <w:t>8</w:t>
            </w:r>
            <w:r>
              <w:rPr>
                <w:color w:val="1D1B11"/>
                <w:lang w:eastAsia="ko-KR"/>
              </w:rPr>
              <w:t xml:space="preserve">. </w:t>
            </w:r>
            <w:r w:rsidRPr="00EF76FE">
              <w:rPr>
                <w:lang w:eastAsia="ko-KR"/>
              </w:rPr>
              <w:t xml:space="preserve"> </w:t>
            </w:r>
            <w:r w:rsidRPr="00EF76FE">
              <w:rPr>
                <w:lang w:eastAsia="ko-KR"/>
              </w:rPr>
              <w:tab/>
              <w:t>LGCP Amendment Review Checklist</w:t>
            </w:r>
            <w:r>
              <w:rPr>
                <w:lang w:eastAsia="ko-KR"/>
              </w:rPr>
              <w:t xml:space="preserve"> </w:t>
            </w:r>
          </w:p>
        </w:tc>
      </w:tr>
    </w:tbl>
    <w:p w:rsidR="00E422F7" w:rsidRDefault="00E422F7">
      <w:bookmarkStart w:id="143" w:name="_Toc256487943"/>
      <w:bookmarkStart w:id="144" w:name="_Toc263447875"/>
      <w:r>
        <w:rPr>
          <w:b/>
          <w:bCs/>
        </w:rPr>
        <w:br w:type="page"/>
      </w:r>
    </w:p>
    <w:tbl>
      <w:tblPr>
        <w:tblW w:w="10080" w:type="dxa"/>
        <w:tblInd w:w="115" w:type="dxa"/>
        <w:tblLayout w:type="fixed"/>
        <w:tblCellMar>
          <w:left w:w="115" w:type="dxa"/>
          <w:right w:w="115" w:type="dxa"/>
        </w:tblCellMar>
        <w:tblLook w:val="0000"/>
      </w:tblPr>
      <w:tblGrid>
        <w:gridCol w:w="2253"/>
        <w:gridCol w:w="7827"/>
      </w:tblGrid>
      <w:tr w:rsidR="00225952" w:rsidRPr="007C475C" w:rsidTr="00225952">
        <w:tc>
          <w:tcPr>
            <w:tcW w:w="10080" w:type="dxa"/>
            <w:gridSpan w:val="2"/>
          </w:tcPr>
          <w:p w:rsidR="00225952" w:rsidRDefault="00225952">
            <w:pPr>
              <w:pStyle w:val="Heading3"/>
            </w:pPr>
            <w:bookmarkStart w:id="145" w:name="_Toc264274120"/>
            <w:r>
              <w:lastRenderedPageBreak/>
              <w:t xml:space="preserve">3.4.1  </w:t>
            </w:r>
            <w:r w:rsidRPr="008D3AD2">
              <w:t>Review Procedure</w:t>
            </w:r>
            <w:bookmarkEnd w:id="143"/>
            <w:bookmarkEnd w:id="144"/>
            <w:bookmarkEnd w:id="145"/>
          </w:p>
        </w:tc>
      </w:tr>
      <w:tr w:rsidR="00225952" w:rsidRPr="007C475C" w:rsidTr="00225952">
        <w:tc>
          <w:tcPr>
            <w:tcW w:w="2253" w:type="dxa"/>
          </w:tcPr>
          <w:p w:rsidR="00225952" w:rsidRPr="008956F2" w:rsidRDefault="00225952" w:rsidP="00225952">
            <w:pPr>
              <w:pStyle w:val="HeadSideMain"/>
            </w:pPr>
          </w:p>
        </w:tc>
        <w:tc>
          <w:tcPr>
            <w:tcW w:w="7827" w:type="dxa"/>
          </w:tcPr>
          <w:p w:rsidR="00225952" w:rsidRDefault="00225952" w:rsidP="00FA4797">
            <w:pPr>
              <w:spacing w:after="60"/>
            </w:pPr>
            <w:r>
              <w:t xml:space="preserve">Text amendments in any element should be </w:t>
            </w:r>
            <w:r w:rsidRPr="008C6101">
              <w:t>reviewed for potential impacts to the transportation system</w:t>
            </w:r>
            <w:r>
              <w:t xml:space="preserve"> </w:t>
            </w:r>
            <w:r w:rsidRPr="008C6101">
              <w:t xml:space="preserve">in a similar manner to </w:t>
            </w:r>
            <w:r>
              <w:t>the reviews of Future Land Use M</w:t>
            </w:r>
            <w:r w:rsidRPr="008C6101">
              <w:t xml:space="preserve">ap </w:t>
            </w:r>
            <w:r>
              <w:t>amendments.</w:t>
            </w:r>
          </w:p>
        </w:tc>
      </w:tr>
      <w:tr w:rsidR="00225952" w:rsidRPr="007C475C" w:rsidTr="00225952">
        <w:tc>
          <w:tcPr>
            <w:tcW w:w="2253" w:type="dxa"/>
          </w:tcPr>
          <w:p w:rsidR="00225952" w:rsidRDefault="00225952" w:rsidP="00225952">
            <w:pPr>
              <w:pStyle w:val="HeadSideMain"/>
            </w:pPr>
            <w:r w:rsidRPr="008956F2">
              <w:t xml:space="preserve">Required </w:t>
            </w:r>
            <w:r w:rsidRPr="0093057D">
              <w:t>Information</w:t>
            </w:r>
          </w:p>
          <w:p w:rsidR="00225952" w:rsidRPr="008956F2" w:rsidRDefault="00225952" w:rsidP="00225952">
            <w:pPr>
              <w:pStyle w:val="HeadSideMain"/>
            </w:pPr>
          </w:p>
        </w:tc>
        <w:tc>
          <w:tcPr>
            <w:tcW w:w="7827" w:type="dxa"/>
          </w:tcPr>
          <w:p w:rsidR="00225952" w:rsidRDefault="00225952" w:rsidP="00AD2D7A">
            <w:pPr>
              <w:pStyle w:val="BulletA"/>
              <w:numPr>
                <w:ilvl w:val="0"/>
                <w:numId w:val="80"/>
              </w:numPr>
            </w:pPr>
            <w:r w:rsidRPr="008C6101">
              <w:t xml:space="preserve">Proposed </w:t>
            </w:r>
            <w:r>
              <w:t xml:space="preserve">text </w:t>
            </w:r>
            <w:r w:rsidRPr="008C6101">
              <w:t>amendment package</w:t>
            </w:r>
          </w:p>
          <w:p w:rsidR="00225952" w:rsidRPr="008C6101" w:rsidRDefault="00225952" w:rsidP="00AD2D7A">
            <w:pPr>
              <w:pStyle w:val="BulletA"/>
              <w:numPr>
                <w:ilvl w:val="0"/>
                <w:numId w:val="80"/>
              </w:numPr>
            </w:pPr>
            <w:r w:rsidRPr="008C6101">
              <w:t>Any data and analysis used to support the amendment</w:t>
            </w:r>
          </w:p>
          <w:p w:rsidR="00225952" w:rsidRPr="008C6101" w:rsidRDefault="00225952" w:rsidP="00AD2D7A">
            <w:pPr>
              <w:pStyle w:val="BulletA"/>
              <w:numPr>
                <w:ilvl w:val="0"/>
                <w:numId w:val="80"/>
              </w:numPr>
            </w:pPr>
            <w:r>
              <w:t>Demonstration of financial f</w:t>
            </w:r>
            <w:r w:rsidRPr="008C6101">
              <w:t>easibility</w:t>
            </w:r>
            <w:r>
              <w:t>, if required, in the CIE.</w:t>
            </w:r>
          </w:p>
          <w:p w:rsidR="00225952" w:rsidRDefault="00225952" w:rsidP="00AD2D7A">
            <w:pPr>
              <w:pStyle w:val="BulletA"/>
              <w:numPr>
                <w:ilvl w:val="0"/>
                <w:numId w:val="80"/>
              </w:numPr>
              <w:rPr>
                <w:bCs/>
                <w:u w:val="single"/>
              </w:rPr>
            </w:pPr>
            <w:r>
              <w:t>Current</w:t>
            </w:r>
            <w:r w:rsidRPr="008C6101">
              <w:t xml:space="preserve"> </w:t>
            </w:r>
            <w:r>
              <w:t>Capital Improvements Element</w:t>
            </w:r>
            <w:r w:rsidRPr="008C6101">
              <w:t xml:space="preserve"> and </w:t>
            </w:r>
            <w:r>
              <w:t xml:space="preserve">Five-Year </w:t>
            </w:r>
            <w:r w:rsidRPr="008C6101">
              <w:t>Schedule of Capital Improvements</w:t>
            </w:r>
            <w:r>
              <w:t>, if required.</w:t>
            </w:r>
          </w:p>
        </w:tc>
      </w:tr>
      <w:tr w:rsidR="00225952" w:rsidRPr="007C475C" w:rsidTr="00225952">
        <w:tc>
          <w:tcPr>
            <w:tcW w:w="2253" w:type="dxa"/>
          </w:tcPr>
          <w:p w:rsidR="00225952" w:rsidRPr="002F514C" w:rsidRDefault="00225952" w:rsidP="00225952">
            <w:pPr>
              <w:pStyle w:val="HeadSideMain"/>
            </w:pPr>
            <w:r w:rsidRPr="002F514C">
              <w:rPr>
                <w:lang w:eastAsia="ko-KR"/>
              </w:rPr>
              <w:t>Key Review Points</w:t>
            </w:r>
          </w:p>
          <w:p w:rsidR="00225952" w:rsidRPr="008956F2" w:rsidRDefault="00225952" w:rsidP="00225952">
            <w:pPr>
              <w:pStyle w:val="HeadSideMain"/>
            </w:pPr>
          </w:p>
        </w:tc>
        <w:tc>
          <w:tcPr>
            <w:tcW w:w="7827" w:type="dxa"/>
          </w:tcPr>
          <w:p w:rsidR="00225952" w:rsidRDefault="00225952" w:rsidP="00225952">
            <w:r>
              <w:t xml:space="preserve">Future land use, transportation, and projects in the Five-Year Schedule of Capital Improvements all affect the efficiency of the transportation system.  </w:t>
            </w:r>
            <w:r>
              <w:rPr>
                <w:rFonts w:eastAsia="Batang" w:cs="Slimbach-Book"/>
                <w:lang w:eastAsia="ko-KR"/>
              </w:rPr>
              <w:t xml:space="preserve">Text amendments should be analyzed for internal consistency and impacts on land use patterns and transportation systems.  The FDOT reviewer should coordinate with DCA when reviewing text changes to plan elements.  </w:t>
            </w:r>
          </w:p>
        </w:tc>
      </w:tr>
    </w:tbl>
    <w:p w:rsidR="00225952" w:rsidRDefault="00225952" w:rsidP="00225952">
      <w:pPr>
        <w:pStyle w:val="Heading2"/>
        <w:sectPr w:rsidR="00225952" w:rsidSect="00832911">
          <w:headerReference w:type="default" r:id="rId151"/>
          <w:type w:val="continuous"/>
          <w:pgSz w:w="12240" w:h="15840"/>
          <w:pgMar w:top="1440" w:right="720" w:bottom="1440" w:left="1152" w:header="720" w:footer="720" w:gutter="0"/>
          <w:cols w:space="720"/>
          <w:docGrid w:linePitch="360"/>
        </w:sectPr>
      </w:pPr>
    </w:p>
    <w:tbl>
      <w:tblPr>
        <w:tblW w:w="10080" w:type="dxa"/>
        <w:tblInd w:w="115" w:type="dxa"/>
        <w:tblLayout w:type="fixed"/>
        <w:tblCellMar>
          <w:left w:w="115" w:type="dxa"/>
          <w:right w:w="115" w:type="dxa"/>
        </w:tblCellMar>
        <w:tblLook w:val="0000"/>
      </w:tblPr>
      <w:tblGrid>
        <w:gridCol w:w="2253"/>
        <w:gridCol w:w="7827"/>
      </w:tblGrid>
      <w:tr w:rsidR="00225952" w:rsidRPr="007C475C" w:rsidTr="00225952">
        <w:tc>
          <w:tcPr>
            <w:tcW w:w="10080" w:type="dxa"/>
            <w:gridSpan w:val="2"/>
          </w:tcPr>
          <w:p w:rsidR="00225952" w:rsidRDefault="00225952" w:rsidP="00225952">
            <w:pPr>
              <w:pStyle w:val="Heading2"/>
            </w:pPr>
            <w:bookmarkStart w:id="146" w:name="_Toc256487944"/>
            <w:bookmarkStart w:id="147" w:name="_Toc263447876"/>
            <w:bookmarkStart w:id="148" w:name="_Toc264274121"/>
            <w:r>
              <w:lastRenderedPageBreak/>
              <w:t>3.5 Future Land Use Element</w:t>
            </w:r>
            <w:bookmarkEnd w:id="146"/>
            <w:bookmarkEnd w:id="147"/>
            <w:bookmarkEnd w:id="148"/>
          </w:p>
        </w:tc>
      </w:tr>
      <w:tr w:rsidR="00225952" w:rsidRPr="007C475C" w:rsidTr="00225952">
        <w:tc>
          <w:tcPr>
            <w:tcW w:w="2253" w:type="dxa"/>
          </w:tcPr>
          <w:p w:rsidR="00225952" w:rsidRPr="008956F2" w:rsidRDefault="00225952" w:rsidP="00225952">
            <w:pPr>
              <w:pStyle w:val="HeadSideMain"/>
            </w:pPr>
          </w:p>
        </w:tc>
        <w:tc>
          <w:tcPr>
            <w:tcW w:w="7827" w:type="dxa"/>
          </w:tcPr>
          <w:p w:rsidR="00225952" w:rsidRPr="00924FDD" w:rsidRDefault="00225952" w:rsidP="00FA4797">
            <w:pPr>
              <w:spacing w:after="60"/>
            </w:pPr>
            <w:r w:rsidRPr="008C6101">
              <w:t>This element contains goals, objectives and policies that implement the land development pattern for the jurisdiction</w:t>
            </w:r>
            <w:r>
              <w:t xml:space="preserve">.  </w:t>
            </w:r>
            <w:r w:rsidRPr="008C6101">
              <w:t>The re</w:t>
            </w:r>
            <w:r>
              <w:t>viewer should be familiar with s.1</w:t>
            </w:r>
            <w:r w:rsidRPr="008C6101">
              <w:t>63.3177</w:t>
            </w:r>
            <w:r>
              <w:t>(6)(a)</w:t>
            </w:r>
            <w:r w:rsidRPr="008C6101">
              <w:t>, F.S.</w:t>
            </w:r>
            <w:r>
              <w:t>,</w:t>
            </w:r>
            <w:r w:rsidRPr="008C6101">
              <w:t xml:space="preserve"> which specifies the criteria for the e</w:t>
            </w:r>
            <w:r>
              <w:t xml:space="preserve">lement.  Several of these affect </w:t>
            </w:r>
            <w:r w:rsidRPr="008C6101">
              <w:t>the form and efficiency of the transport</w:t>
            </w:r>
            <w:r>
              <w:t>ation system.  These criteria include</w:t>
            </w:r>
            <w:r w:rsidRPr="00924FDD">
              <w:t xml:space="preserve">: </w:t>
            </w:r>
          </w:p>
          <w:p w:rsidR="00225952" w:rsidRDefault="00225952" w:rsidP="00AD2D7A">
            <w:pPr>
              <w:pStyle w:val="BulletA"/>
              <w:numPr>
                <w:ilvl w:val="0"/>
                <w:numId w:val="81"/>
              </w:numPr>
              <w:rPr>
                <w:b/>
                <w:bCs/>
                <w:noProof/>
              </w:rPr>
            </w:pPr>
            <w:r w:rsidRPr="008C6101">
              <w:rPr>
                <w:noProof/>
              </w:rPr>
              <w:t>Encourage the redevelopment and renewal of blighted areas;</w:t>
            </w:r>
          </w:p>
          <w:p w:rsidR="00225952" w:rsidRDefault="00225952" w:rsidP="00AD2D7A">
            <w:pPr>
              <w:pStyle w:val="BulletA"/>
              <w:numPr>
                <w:ilvl w:val="0"/>
                <w:numId w:val="81"/>
              </w:numPr>
              <w:rPr>
                <w:b/>
                <w:bCs/>
                <w:noProof/>
              </w:rPr>
            </w:pPr>
            <w:r w:rsidRPr="008C6101">
              <w:rPr>
                <w:noProof/>
              </w:rPr>
              <w:t>Encourage the elimination or reduction of uses inconsistent with the community’s character and future land uses;</w:t>
            </w:r>
            <w:r>
              <w:rPr>
                <w:noProof/>
              </w:rPr>
              <w:t xml:space="preserve"> and</w:t>
            </w:r>
          </w:p>
          <w:p w:rsidR="00225952" w:rsidRDefault="00225952" w:rsidP="00AD2D7A">
            <w:pPr>
              <w:pStyle w:val="BulletA"/>
              <w:numPr>
                <w:ilvl w:val="0"/>
                <w:numId w:val="81"/>
              </w:numPr>
              <w:rPr>
                <w:b/>
                <w:bCs/>
                <w:noProof/>
              </w:rPr>
            </w:pPr>
            <w:r w:rsidRPr="008C6101">
              <w:rPr>
                <w:noProof/>
              </w:rPr>
              <w:t>Discourage th</w:t>
            </w:r>
            <w:r>
              <w:rPr>
                <w:noProof/>
              </w:rPr>
              <w:t>e proliferation of urban sprawl.</w:t>
            </w:r>
          </w:p>
        </w:tc>
      </w:tr>
      <w:tr w:rsidR="00225952" w:rsidRPr="007C475C" w:rsidTr="00225952">
        <w:tc>
          <w:tcPr>
            <w:tcW w:w="2253" w:type="dxa"/>
          </w:tcPr>
          <w:p w:rsidR="00225952" w:rsidRPr="008956F2" w:rsidRDefault="00225952" w:rsidP="00225952">
            <w:pPr>
              <w:pStyle w:val="HeadSideMain"/>
            </w:pPr>
          </w:p>
        </w:tc>
        <w:tc>
          <w:tcPr>
            <w:tcW w:w="7827" w:type="dxa"/>
          </w:tcPr>
          <w:p w:rsidR="00225952" w:rsidRDefault="00225952">
            <w:pPr>
              <w:widowControl w:val="0"/>
              <w:tabs>
                <w:tab w:val="left" w:pos="360"/>
              </w:tabs>
              <w:overflowPunct w:val="0"/>
              <w:autoSpaceDE w:val="0"/>
              <w:autoSpaceDN w:val="0"/>
              <w:adjustRightInd w:val="0"/>
              <w:spacing w:after="120"/>
              <w:ind w:right="288"/>
              <w:textAlignment w:val="baseline"/>
              <w:rPr>
                <w:noProof/>
                <w:color w:val="000000"/>
                <w:sz w:val="24"/>
                <w:szCs w:val="24"/>
              </w:rPr>
            </w:pPr>
            <w:r w:rsidRPr="008C6101">
              <w:rPr>
                <w:noProof/>
                <w:color w:val="000000"/>
                <w:sz w:val="24"/>
                <w:szCs w:val="24"/>
              </w:rPr>
              <w:t xml:space="preserve">Discouraging urban sprawl </w:t>
            </w:r>
            <w:r>
              <w:rPr>
                <w:noProof/>
                <w:color w:val="000000"/>
                <w:sz w:val="24"/>
                <w:szCs w:val="24"/>
              </w:rPr>
              <w:t>is critical in implementing tran</w:t>
            </w:r>
            <w:r w:rsidRPr="008C6101">
              <w:rPr>
                <w:noProof/>
                <w:color w:val="000000"/>
                <w:sz w:val="24"/>
                <w:szCs w:val="24"/>
              </w:rPr>
              <w:t>sportation and land use planning</w:t>
            </w:r>
            <w:r>
              <w:rPr>
                <w:noProof/>
                <w:color w:val="000000"/>
                <w:sz w:val="24"/>
                <w:szCs w:val="24"/>
              </w:rPr>
              <w:t xml:space="preserve">.  </w:t>
            </w:r>
            <w:r w:rsidRPr="008C6101">
              <w:rPr>
                <w:noProof/>
                <w:color w:val="000000"/>
                <w:sz w:val="24"/>
                <w:szCs w:val="24"/>
              </w:rPr>
              <w:t>It accomplishes many related planning objectives</w:t>
            </w:r>
            <w:r>
              <w:rPr>
                <w:noProof/>
                <w:color w:val="000000"/>
                <w:sz w:val="24"/>
                <w:szCs w:val="24"/>
              </w:rPr>
              <w:t xml:space="preserve">.  </w:t>
            </w:r>
            <w:r w:rsidRPr="008C6101">
              <w:rPr>
                <w:noProof/>
                <w:color w:val="000000"/>
                <w:sz w:val="24"/>
                <w:szCs w:val="24"/>
              </w:rPr>
              <w:t>Rule 9J-5.006(5)</w:t>
            </w:r>
            <w:r>
              <w:rPr>
                <w:noProof/>
                <w:color w:val="000000"/>
                <w:sz w:val="24"/>
                <w:szCs w:val="24"/>
              </w:rPr>
              <w:t>(g), F.A.C.,</w:t>
            </w:r>
            <w:r w:rsidRPr="008C6101">
              <w:rPr>
                <w:noProof/>
                <w:color w:val="000000"/>
                <w:sz w:val="24"/>
                <w:szCs w:val="24"/>
              </w:rPr>
              <w:t xml:space="preserve"> provides a method of determining whether or not a plan or plan amendment discourages the</w:t>
            </w:r>
            <w:r>
              <w:rPr>
                <w:noProof/>
                <w:color w:val="000000"/>
                <w:sz w:val="24"/>
                <w:szCs w:val="24"/>
              </w:rPr>
              <w:t xml:space="preserve"> proliferation of urban sprawl.  </w:t>
            </w:r>
            <w:r w:rsidRPr="008C6101">
              <w:rPr>
                <w:noProof/>
                <w:color w:val="000000"/>
                <w:sz w:val="24"/>
                <w:szCs w:val="24"/>
              </w:rPr>
              <w:t>The reviewer should be fami</w:t>
            </w:r>
            <w:r>
              <w:rPr>
                <w:noProof/>
                <w:color w:val="000000"/>
                <w:sz w:val="24"/>
                <w:szCs w:val="24"/>
              </w:rPr>
              <w:t xml:space="preserve">liar with this section of Rule </w:t>
            </w:r>
            <w:r w:rsidRPr="008C6101">
              <w:rPr>
                <w:noProof/>
                <w:color w:val="000000"/>
                <w:sz w:val="24"/>
                <w:szCs w:val="24"/>
              </w:rPr>
              <w:t>9J-5</w:t>
            </w:r>
            <w:r>
              <w:rPr>
                <w:noProof/>
                <w:color w:val="000000"/>
                <w:sz w:val="24"/>
                <w:szCs w:val="24"/>
              </w:rPr>
              <w:t>,</w:t>
            </w:r>
            <w:r w:rsidRPr="008C6101">
              <w:rPr>
                <w:noProof/>
                <w:color w:val="000000"/>
                <w:sz w:val="24"/>
                <w:szCs w:val="24"/>
              </w:rPr>
              <w:t xml:space="preserve"> </w:t>
            </w:r>
            <w:r>
              <w:rPr>
                <w:noProof/>
                <w:color w:val="000000"/>
                <w:sz w:val="24"/>
                <w:szCs w:val="24"/>
              </w:rPr>
              <w:t xml:space="preserve">F.A.C., </w:t>
            </w:r>
            <w:r w:rsidRPr="008C6101">
              <w:rPr>
                <w:noProof/>
                <w:color w:val="000000"/>
                <w:sz w:val="24"/>
                <w:szCs w:val="24"/>
              </w:rPr>
              <w:t>to assure that tran</w:t>
            </w:r>
            <w:r>
              <w:rPr>
                <w:noProof/>
                <w:color w:val="000000"/>
                <w:sz w:val="24"/>
                <w:szCs w:val="24"/>
              </w:rPr>
              <w:t>sportation and land use goals, objectives and policies</w:t>
            </w:r>
            <w:r w:rsidRPr="008C6101">
              <w:rPr>
                <w:noProof/>
                <w:color w:val="000000"/>
                <w:sz w:val="24"/>
                <w:szCs w:val="24"/>
              </w:rPr>
              <w:t xml:space="preserve"> </w:t>
            </w:r>
            <w:r>
              <w:rPr>
                <w:color w:val="000000"/>
              </w:rPr>
              <w:t>adequately discourage the proliferation of urban sprawl</w:t>
            </w:r>
            <w:r>
              <w:rPr>
                <w:rStyle w:val="CommentReference"/>
              </w:rPr>
              <w:t>.</w:t>
            </w:r>
          </w:p>
        </w:tc>
      </w:tr>
    </w:tbl>
    <w:p w:rsidR="00225952" w:rsidRDefault="00225952">
      <w:pPr>
        <w:pStyle w:val="Heading2"/>
        <w:rPr>
          <w:lang w:eastAsia="ko-KR"/>
        </w:rPr>
        <w:sectPr w:rsidR="00225952" w:rsidSect="00832911">
          <w:type w:val="continuous"/>
          <w:pgSz w:w="12240" w:h="15840"/>
          <w:pgMar w:top="1440" w:right="720" w:bottom="1440" w:left="1152" w:header="720" w:footer="720" w:gutter="0"/>
          <w:cols w:space="720"/>
          <w:docGrid w:linePitch="360"/>
        </w:sectPr>
      </w:pPr>
    </w:p>
    <w:p w:rsidR="00FA4797" w:rsidRDefault="00FA4797">
      <w:bookmarkStart w:id="149" w:name="_Toc256487945"/>
      <w:bookmarkStart w:id="150" w:name="_Toc263447877"/>
      <w:r>
        <w:rPr>
          <w:b/>
          <w:bCs/>
        </w:rPr>
        <w:lastRenderedPageBreak/>
        <w:br w:type="page"/>
      </w:r>
    </w:p>
    <w:tbl>
      <w:tblPr>
        <w:tblW w:w="10080" w:type="dxa"/>
        <w:tblInd w:w="115" w:type="dxa"/>
        <w:tblLayout w:type="fixed"/>
        <w:tblCellMar>
          <w:left w:w="115" w:type="dxa"/>
          <w:right w:w="115" w:type="dxa"/>
        </w:tblCellMar>
        <w:tblLook w:val="0000"/>
      </w:tblPr>
      <w:tblGrid>
        <w:gridCol w:w="2253"/>
        <w:gridCol w:w="7827"/>
      </w:tblGrid>
      <w:tr w:rsidR="00225952" w:rsidRPr="007C475C" w:rsidTr="00225952">
        <w:tc>
          <w:tcPr>
            <w:tcW w:w="10080" w:type="dxa"/>
            <w:gridSpan w:val="2"/>
          </w:tcPr>
          <w:p w:rsidR="00225952" w:rsidRDefault="00225952">
            <w:pPr>
              <w:pStyle w:val="Heading2"/>
              <w:rPr>
                <w:noProof/>
                <w:color w:val="000000"/>
                <w:sz w:val="24"/>
                <w:szCs w:val="24"/>
              </w:rPr>
            </w:pPr>
            <w:bookmarkStart w:id="151" w:name="_Toc264274122"/>
            <w:r>
              <w:rPr>
                <w:lang w:eastAsia="ko-KR"/>
              </w:rPr>
              <w:lastRenderedPageBreak/>
              <w:t>3.6 Transportation Element</w:t>
            </w:r>
            <w:bookmarkEnd w:id="149"/>
            <w:bookmarkEnd w:id="150"/>
            <w:bookmarkEnd w:id="151"/>
          </w:p>
        </w:tc>
      </w:tr>
      <w:tr w:rsidR="00225952" w:rsidRPr="007C475C" w:rsidTr="00225952">
        <w:tc>
          <w:tcPr>
            <w:tcW w:w="2253" w:type="dxa"/>
          </w:tcPr>
          <w:p w:rsidR="00225952" w:rsidRPr="008956F2" w:rsidRDefault="00225952" w:rsidP="00225952">
            <w:pPr>
              <w:pStyle w:val="HeadSideMain"/>
            </w:pPr>
          </w:p>
        </w:tc>
        <w:tc>
          <w:tcPr>
            <w:tcW w:w="7827" w:type="dxa"/>
          </w:tcPr>
          <w:p w:rsidR="00225952" w:rsidRDefault="00225952" w:rsidP="00087603">
            <w:pPr>
              <w:spacing w:after="120"/>
              <w:rPr>
                <w:lang w:eastAsia="ko-KR"/>
              </w:rPr>
            </w:pPr>
            <w:r>
              <w:rPr>
                <w:lang w:eastAsia="ko-KR"/>
              </w:rPr>
              <w:t>The transportation-related comprehensive plan requirements are not identical for all communities.  Local governments located within the urbanized area of an MPO must include a Transportation Element in their comprehensive plan addressing all modes of transportation, including mass transit, ports and aviation, consistent with the requirements of s.163.3177(6)(j), F.S.  Local governments located outside the urbanized area of an MPO have fewer requirements in their Traffic Circulation Element (s.163.3177(6)(b), F.S.).  Furthermore, municipalities having a population greater than 50,000 and counties having a population greater than 75,000 that are located outside the urbanized portion of an MPO must include a Mass Transit Element and a Port, Aviation, and Related Facilities Element (note that at this time this requirement applies to only two counties, Citrus and Monroe).</w:t>
            </w:r>
          </w:p>
        </w:tc>
      </w:tr>
      <w:tr w:rsidR="00225952" w:rsidRPr="007C475C" w:rsidTr="00225952">
        <w:tc>
          <w:tcPr>
            <w:tcW w:w="2253" w:type="dxa"/>
          </w:tcPr>
          <w:p w:rsidR="00225952" w:rsidRPr="008956F2" w:rsidRDefault="00225952" w:rsidP="00225952">
            <w:pPr>
              <w:pStyle w:val="HeadSideMain"/>
            </w:pPr>
          </w:p>
        </w:tc>
        <w:tc>
          <w:tcPr>
            <w:tcW w:w="7827" w:type="dxa"/>
          </w:tcPr>
          <w:p w:rsidR="00225952" w:rsidRDefault="00225952" w:rsidP="00087603">
            <w:pPr>
              <w:spacing w:after="120"/>
              <w:rPr>
                <w:lang w:eastAsia="ko-KR"/>
              </w:rPr>
            </w:pPr>
            <w:r>
              <w:rPr>
                <w:lang w:eastAsia="ko-KR"/>
              </w:rPr>
              <w:t xml:space="preserve">Any text amendment to the Mass Transit Element or Port, Aviation, and Related Facilities Element should be reviewed for internal consistency with other portions of the comprehensive plan and for effects on the existing and future transportation network.  </w:t>
            </w:r>
          </w:p>
        </w:tc>
      </w:tr>
      <w:tr w:rsidR="00225952" w:rsidRPr="007C475C" w:rsidTr="00225952">
        <w:tc>
          <w:tcPr>
            <w:tcW w:w="2253" w:type="dxa"/>
          </w:tcPr>
          <w:p w:rsidR="00225952" w:rsidRPr="008956F2" w:rsidRDefault="00225952" w:rsidP="00225952">
            <w:pPr>
              <w:pStyle w:val="HeadSideMain"/>
            </w:pPr>
          </w:p>
        </w:tc>
        <w:tc>
          <w:tcPr>
            <w:tcW w:w="7827" w:type="dxa"/>
          </w:tcPr>
          <w:p w:rsidR="00225952" w:rsidRPr="008C6101" w:rsidRDefault="00225952" w:rsidP="00087603">
            <w:pPr>
              <w:spacing w:after="120"/>
              <w:rPr>
                <w:rFonts w:cs="Calibri"/>
                <w:color w:val="000000"/>
              </w:rPr>
            </w:pPr>
            <w:r w:rsidRPr="008C6101">
              <w:rPr>
                <w:lang w:eastAsia="ko-KR"/>
              </w:rPr>
              <w:t xml:space="preserve">The </w:t>
            </w:r>
            <w:r>
              <w:rPr>
                <w:lang w:eastAsia="ko-KR"/>
              </w:rPr>
              <w:t>Transportation Element</w:t>
            </w:r>
            <w:r w:rsidRPr="008C6101">
              <w:rPr>
                <w:lang w:eastAsia="ko-KR"/>
              </w:rPr>
              <w:t xml:space="preserve"> prov</w:t>
            </w:r>
            <w:r>
              <w:rPr>
                <w:lang w:eastAsia="ko-KR"/>
              </w:rPr>
              <w:t xml:space="preserve">ides goals, objectives, and policies for the </w:t>
            </w:r>
            <w:r w:rsidRPr="008C6101">
              <w:rPr>
                <w:lang w:eastAsia="ko-KR"/>
              </w:rPr>
              <w:t>future transportation modes and needs</w:t>
            </w:r>
            <w:r>
              <w:rPr>
                <w:lang w:eastAsia="ko-KR"/>
              </w:rPr>
              <w:t xml:space="preserve"> (s.163.3177(6)(j), F.S., and Rule 9</w:t>
            </w:r>
            <w:r w:rsidRPr="008C6101">
              <w:rPr>
                <w:lang w:eastAsia="ko-KR"/>
              </w:rPr>
              <w:t xml:space="preserve">J-5.019, F.A.C.).  The element should be </w:t>
            </w:r>
            <w:r>
              <w:rPr>
                <w:lang w:eastAsia="ko-KR"/>
              </w:rPr>
              <w:t xml:space="preserve">coordinated with </w:t>
            </w:r>
            <w:r w:rsidRPr="008C6101">
              <w:rPr>
                <w:lang w:eastAsia="ko-KR"/>
              </w:rPr>
              <w:t>other local and regional transportation plans</w:t>
            </w:r>
            <w:r>
              <w:rPr>
                <w:lang w:eastAsia="ko-KR"/>
              </w:rPr>
              <w:t xml:space="preserve">.  </w:t>
            </w:r>
            <w:r>
              <w:rPr>
                <w:rFonts w:cs="Calibri"/>
                <w:color w:val="000000"/>
              </w:rPr>
              <w:t xml:space="preserve">It should address </w:t>
            </w:r>
            <w:r w:rsidRPr="008C6101">
              <w:rPr>
                <w:rFonts w:cs="Calibri"/>
                <w:color w:val="000000"/>
              </w:rPr>
              <w:t>traffic circulation, alternative modes of transpo</w:t>
            </w:r>
            <w:r>
              <w:rPr>
                <w:rFonts w:cs="Calibri"/>
                <w:color w:val="000000"/>
              </w:rPr>
              <w:t>rtation, multimodal level of service standards, and transit objectives.</w:t>
            </w:r>
          </w:p>
          <w:p w:rsidR="00225952" w:rsidRDefault="00225952" w:rsidP="00087603">
            <w:pPr>
              <w:spacing w:after="120"/>
              <w:rPr>
                <w:lang w:eastAsia="ko-KR"/>
              </w:rPr>
            </w:pPr>
            <w:r w:rsidRPr="008C6101">
              <w:t>T</w:t>
            </w:r>
            <w:r w:rsidRPr="008C6101">
              <w:rPr>
                <w:lang w:eastAsia="ko-KR"/>
              </w:rPr>
              <w:t xml:space="preserve">he </w:t>
            </w:r>
            <w:r>
              <w:rPr>
                <w:lang w:eastAsia="ko-KR"/>
              </w:rPr>
              <w:t>Transportation Element</w:t>
            </w:r>
            <w:r w:rsidRPr="008C6101">
              <w:rPr>
                <w:lang w:eastAsia="ko-KR"/>
              </w:rPr>
              <w:t xml:space="preserve"> and </w:t>
            </w:r>
            <w:r>
              <w:rPr>
                <w:lang w:eastAsia="ko-KR"/>
              </w:rPr>
              <w:t>Future Land Use Element</w:t>
            </w:r>
            <w:r w:rsidRPr="008C6101">
              <w:rPr>
                <w:lang w:eastAsia="ko-KR"/>
              </w:rPr>
              <w:t xml:space="preserve"> should </w:t>
            </w:r>
            <w:r>
              <w:t>demonstrate internal consistency and continued coordination</w:t>
            </w:r>
            <w:r w:rsidRPr="008C6101" w:rsidDel="0078670E">
              <w:rPr>
                <w:lang w:eastAsia="ko-KR"/>
              </w:rPr>
              <w:t xml:space="preserve"> </w:t>
            </w:r>
            <w:r>
              <w:rPr>
                <w:lang w:eastAsia="ko-KR"/>
              </w:rPr>
              <w:t xml:space="preserve">with </w:t>
            </w:r>
            <w:r w:rsidRPr="008C6101">
              <w:rPr>
                <w:lang w:eastAsia="ko-KR"/>
              </w:rPr>
              <w:t>each other</w:t>
            </w:r>
            <w:r>
              <w:rPr>
                <w:lang w:eastAsia="ko-KR"/>
              </w:rPr>
              <w:t xml:space="preserve">.  </w:t>
            </w:r>
            <w:r w:rsidRPr="008C6101">
              <w:rPr>
                <w:lang w:eastAsia="ko-KR"/>
              </w:rPr>
              <w:t xml:space="preserve">Coordination and consistency between these two elements will help </w:t>
            </w:r>
            <w:r>
              <w:rPr>
                <w:lang w:eastAsia="ko-KR"/>
              </w:rPr>
              <w:t xml:space="preserve">jurisdictions to </w:t>
            </w:r>
            <w:r w:rsidRPr="008C6101">
              <w:rPr>
                <w:lang w:eastAsia="ko-KR"/>
              </w:rPr>
              <w:t>create a cohesive development pattern and transportation system</w:t>
            </w:r>
            <w:r>
              <w:rPr>
                <w:lang w:eastAsia="ko-KR"/>
              </w:rPr>
              <w:t>.</w:t>
            </w:r>
          </w:p>
        </w:tc>
      </w:tr>
      <w:tr w:rsidR="00225952" w:rsidRPr="007C475C" w:rsidTr="00225952">
        <w:tc>
          <w:tcPr>
            <w:tcW w:w="2253" w:type="dxa"/>
          </w:tcPr>
          <w:p w:rsidR="00225952" w:rsidRPr="008956F2" w:rsidRDefault="00225952" w:rsidP="00225952">
            <w:pPr>
              <w:pStyle w:val="HeadSideMain"/>
            </w:pPr>
          </w:p>
        </w:tc>
        <w:tc>
          <w:tcPr>
            <w:tcW w:w="7827" w:type="dxa"/>
          </w:tcPr>
          <w:p w:rsidR="00225952" w:rsidRDefault="00225952" w:rsidP="00FA4797">
            <w:pPr>
              <w:spacing w:after="60"/>
              <w:rPr>
                <w:lang w:eastAsia="ko-KR"/>
              </w:rPr>
            </w:pPr>
            <w:r w:rsidRPr="008C6101">
              <w:rPr>
                <w:lang w:eastAsia="ko-KR"/>
              </w:rPr>
              <w:t xml:space="preserve">A text change to the </w:t>
            </w:r>
            <w:r>
              <w:rPr>
                <w:lang w:eastAsia="ko-KR"/>
              </w:rPr>
              <w:t>Transportation Element</w:t>
            </w:r>
            <w:r w:rsidRPr="008C6101">
              <w:rPr>
                <w:lang w:eastAsia="ko-KR"/>
              </w:rPr>
              <w:t xml:space="preserve"> may result from a FLUM</w:t>
            </w:r>
            <w:r>
              <w:rPr>
                <w:lang w:eastAsia="ko-KR"/>
              </w:rPr>
              <w:t xml:space="preserve"> amendment</w:t>
            </w:r>
            <w:r w:rsidRPr="008C6101">
              <w:rPr>
                <w:lang w:eastAsia="ko-KR"/>
              </w:rPr>
              <w:t>, an EAR-based amendment, or a need to update</w:t>
            </w:r>
            <w:r>
              <w:rPr>
                <w:lang w:eastAsia="ko-KR"/>
              </w:rPr>
              <w:t xml:space="preserve"> or revise </w:t>
            </w:r>
            <w:r w:rsidRPr="008C6101">
              <w:rPr>
                <w:lang w:eastAsia="ko-KR"/>
              </w:rPr>
              <w:t>the element</w:t>
            </w:r>
            <w:r>
              <w:rPr>
                <w:lang w:eastAsia="ko-KR"/>
              </w:rPr>
              <w:t>.  Any change to the Transportation Element may influence land use strategies and capital projects.  The FDOT reviewer should be aware of the following potential changes:</w:t>
            </w:r>
          </w:p>
          <w:p w:rsidR="00225952" w:rsidRDefault="00225952" w:rsidP="00714A65">
            <w:pPr>
              <w:pStyle w:val="BulletA"/>
              <w:rPr>
                <w:lang w:eastAsia="ko-KR"/>
              </w:rPr>
            </w:pPr>
            <w:r>
              <w:rPr>
                <w:lang w:eastAsia="ko-KR"/>
              </w:rPr>
              <w:t>1.</w:t>
            </w:r>
            <w:r>
              <w:rPr>
                <w:lang w:eastAsia="ko-KR"/>
              </w:rPr>
              <w:tab/>
              <w:t>A change in level of service standards for any mode</w:t>
            </w:r>
          </w:p>
          <w:p w:rsidR="00225952" w:rsidRDefault="00225952" w:rsidP="00714A65">
            <w:pPr>
              <w:pStyle w:val="BulletA"/>
              <w:rPr>
                <w:lang w:eastAsia="ko-KR"/>
              </w:rPr>
            </w:pPr>
            <w:r>
              <w:rPr>
                <w:lang w:eastAsia="ko-KR"/>
              </w:rPr>
              <w:t>2.</w:t>
            </w:r>
            <w:r>
              <w:rPr>
                <w:lang w:eastAsia="ko-KR"/>
              </w:rPr>
              <w:tab/>
              <w:t>Land use strategies to promote bicycle and walking</w:t>
            </w:r>
          </w:p>
          <w:p w:rsidR="00225952" w:rsidRDefault="00225952" w:rsidP="00714A65">
            <w:pPr>
              <w:pStyle w:val="BulletA"/>
              <w:rPr>
                <w:lang w:eastAsia="ko-KR"/>
              </w:rPr>
            </w:pPr>
            <w:r>
              <w:rPr>
                <w:lang w:eastAsia="ko-KR"/>
              </w:rPr>
              <w:t>3.</w:t>
            </w:r>
            <w:r>
              <w:rPr>
                <w:lang w:eastAsia="ko-KR"/>
              </w:rPr>
              <w:tab/>
              <w:t>Measures to preserve, acquire or protect transportation rights-of-way</w:t>
            </w:r>
          </w:p>
          <w:p w:rsidR="00225952" w:rsidRPr="0093057D" w:rsidRDefault="00225952" w:rsidP="00087603">
            <w:pPr>
              <w:pStyle w:val="BulletA"/>
              <w:spacing w:after="360"/>
              <w:rPr>
                <w:lang w:eastAsia="ko-KR"/>
              </w:rPr>
            </w:pPr>
            <w:r>
              <w:rPr>
                <w:lang w:eastAsia="ko-KR"/>
              </w:rPr>
              <w:t>4.</w:t>
            </w:r>
            <w:r>
              <w:rPr>
                <w:lang w:eastAsia="ko-KR"/>
              </w:rPr>
              <w:tab/>
              <w:t>Changes to a concurrency exception area (see below)</w:t>
            </w:r>
          </w:p>
        </w:tc>
      </w:tr>
      <w:tr w:rsidR="00225952" w:rsidRPr="007C475C" w:rsidTr="00225952">
        <w:tc>
          <w:tcPr>
            <w:tcW w:w="2253" w:type="dxa"/>
          </w:tcPr>
          <w:p w:rsidR="00225952" w:rsidRPr="008956F2" w:rsidRDefault="00225952" w:rsidP="00225952">
            <w:pPr>
              <w:pStyle w:val="HeadSideMain"/>
            </w:pPr>
          </w:p>
        </w:tc>
        <w:tc>
          <w:tcPr>
            <w:tcW w:w="7827" w:type="dxa"/>
          </w:tcPr>
          <w:p w:rsidR="00225952" w:rsidRDefault="00225952" w:rsidP="00225952">
            <w:pPr>
              <w:rPr>
                <w:lang w:eastAsia="ko-KR"/>
              </w:rPr>
            </w:pPr>
            <w:r>
              <w:rPr>
                <w:lang w:eastAsia="ko-KR"/>
              </w:rPr>
              <w:t xml:space="preserve">The text amendment </w:t>
            </w:r>
            <w:r w:rsidRPr="008C6101">
              <w:rPr>
                <w:lang w:eastAsia="ko-KR"/>
              </w:rPr>
              <w:t>should be reviewed for consi</w:t>
            </w:r>
            <w:r>
              <w:rPr>
                <w:lang w:eastAsia="ko-KR"/>
              </w:rPr>
              <w:t xml:space="preserve">stency with the Future Land Use and Capital Improvements Elements.  </w:t>
            </w:r>
            <w:r w:rsidRPr="008C6101">
              <w:rPr>
                <w:lang w:eastAsia="ko-KR"/>
              </w:rPr>
              <w:t xml:space="preserve">The FDOT reviewer and local government staff should be communicating frequently while the element is being developed or amended. </w:t>
            </w:r>
          </w:p>
        </w:tc>
      </w:tr>
    </w:tbl>
    <w:p w:rsidR="00225952" w:rsidRDefault="00225952">
      <w:pPr>
        <w:pStyle w:val="Heading2"/>
        <w:rPr>
          <w:lang w:eastAsia="ko-KR"/>
        </w:rPr>
        <w:sectPr w:rsidR="00225952" w:rsidSect="00832911">
          <w:headerReference w:type="default" r:id="rId152"/>
          <w:type w:val="continuous"/>
          <w:pgSz w:w="12240" w:h="15840"/>
          <w:pgMar w:top="1440" w:right="720" w:bottom="1440" w:left="1152" w:header="720" w:footer="720" w:gutter="0"/>
          <w:cols w:space="720"/>
          <w:docGrid w:linePitch="360"/>
        </w:sectPr>
      </w:pPr>
    </w:p>
    <w:tbl>
      <w:tblPr>
        <w:tblW w:w="10080" w:type="dxa"/>
        <w:tblInd w:w="115" w:type="dxa"/>
        <w:tblLayout w:type="fixed"/>
        <w:tblCellMar>
          <w:left w:w="115" w:type="dxa"/>
          <w:right w:w="115" w:type="dxa"/>
        </w:tblCellMar>
        <w:tblLook w:val="0000"/>
      </w:tblPr>
      <w:tblGrid>
        <w:gridCol w:w="2253"/>
        <w:gridCol w:w="7827"/>
      </w:tblGrid>
      <w:tr w:rsidR="00225952" w:rsidRPr="007C475C" w:rsidTr="00225952">
        <w:tc>
          <w:tcPr>
            <w:tcW w:w="10080" w:type="dxa"/>
            <w:gridSpan w:val="2"/>
          </w:tcPr>
          <w:p w:rsidR="00225952" w:rsidRDefault="00225952">
            <w:pPr>
              <w:pStyle w:val="Heading2"/>
              <w:rPr>
                <w:lang w:eastAsia="ko-KR"/>
              </w:rPr>
            </w:pPr>
            <w:bookmarkStart w:id="152" w:name="_Toc256487946"/>
            <w:bookmarkStart w:id="153" w:name="_Toc263447878"/>
            <w:bookmarkStart w:id="154" w:name="_Toc264274123"/>
            <w:r>
              <w:rPr>
                <w:lang w:eastAsia="ko-KR"/>
              </w:rPr>
              <w:lastRenderedPageBreak/>
              <w:t xml:space="preserve">3.7 </w:t>
            </w:r>
            <w:r w:rsidRPr="008C6101">
              <w:rPr>
                <w:lang w:eastAsia="ko-KR"/>
              </w:rPr>
              <w:t>Capital Improvements Element</w:t>
            </w:r>
            <w:bookmarkEnd w:id="152"/>
            <w:bookmarkEnd w:id="153"/>
            <w:bookmarkEnd w:id="154"/>
          </w:p>
        </w:tc>
      </w:tr>
      <w:tr w:rsidR="00225952" w:rsidRPr="007C475C" w:rsidTr="00225952">
        <w:tc>
          <w:tcPr>
            <w:tcW w:w="2253" w:type="dxa"/>
          </w:tcPr>
          <w:p w:rsidR="00225952" w:rsidRDefault="00225952" w:rsidP="00225952">
            <w:pPr>
              <w:pStyle w:val="HeadSideMain"/>
            </w:pPr>
          </w:p>
          <w:p w:rsidR="00CD306D" w:rsidRDefault="00CD306D" w:rsidP="00225952">
            <w:pPr>
              <w:pStyle w:val="HeadSideMain"/>
            </w:pPr>
          </w:p>
          <w:p w:rsidR="00CD306D" w:rsidRDefault="00CD306D" w:rsidP="00225952">
            <w:pPr>
              <w:pStyle w:val="HeadSideMain"/>
            </w:pPr>
          </w:p>
          <w:p w:rsidR="00CD306D" w:rsidRDefault="00CD306D" w:rsidP="00225952">
            <w:pPr>
              <w:pStyle w:val="HeadSideMain"/>
            </w:pPr>
          </w:p>
          <w:p w:rsidR="00CD306D" w:rsidRDefault="00CD306D" w:rsidP="00225952">
            <w:pPr>
              <w:pStyle w:val="HeadSideMain"/>
            </w:pPr>
          </w:p>
          <w:p w:rsidR="00CD306D" w:rsidRDefault="00CD306D" w:rsidP="00225952">
            <w:pPr>
              <w:pStyle w:val="HeadSideMain"/>
            </w:pPr>
          </w:p>
          <w:p w:rsidR="00CD306D" w:rsidRDefault="00CD306D" w:rsidP="00225952">
            <w:pPr>
              <w:pStyle w:val="HeadSideMain"/>
            </w:pPr>
            <w:r w:rsidRPr="00CD306D">
              <w:rPr>
                <w:noProof/>
              </w:rPr>
              <w:drawing>
                <wp:inline distT="0" distB="0" distL="0" distR="0">
                  <wp:extent cx="1280160" cy="494466"/>
                  <wp:effectExtent l="19050" t="0" r="0" b="0"/>
                  <wp:docPr id="552" name="Picture 96" descr="button_web.png">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button_web.png"/>
                          <pic:cNvPicPr>
                            <a:picLocks noChangeAspect="1" noChangeArrowheads="1"/>
                          </pic:cNvPicPr>
                        </pic:nvPicPr>
                        <pic:blipFill>
                          <a:blip r:embed="rId26" cstate="print"/>
                          <a:srcRect/>
                          <a:stretch>
                            <a:fillRect/>
                          </a:stretch>
                        </pic:blipFill>
                        <pic:spPr bwMode="auto">
                          <a:xfrm>
                            <a:off x="0" y="0"/>
                            <a:ext cx="1280160" cy="494466"/>
                          </a:xfrm>
                          <a:prstGeom prst="rect">
                            <a:avLst/>
                          </a:prstGeom>
                          <a:noFill/>
                          <a:ln w="9525">
                            <a:noFill/>
                            <a:miter lim="800000"/>
                            <a:headEnd/>
                            <a:tailEnd/>
                          </a:ln>
                        </pic:spPr>
                      </pic:pic>
                    </a:graphicData>
                  </a:graphic>
                </wp:inline>
              </w:drawing>
            </w:r>
          </w:p>
          <w:p w:rsidR="00CD306D" w:rsidRPr="008956F2" w:rsidRDefault="00CD306D" w:rsidP="00CD306D">
            <w:pPr>
              <w:pStyle w:val="HeadSide20"/>
              <w:ind w:right="0"/>
            </w:pPr>
            <w:r>
              <w:t>Guide to Update CIE</w:t>
            </w:r>
          </w:p>
        </w:tc>
        <w:tc>
          <w:tcPr>
            <w:tcW w:w="7827" w:type="dxa"/>
          </w:tcPr>
          <w:p w:rsidR="00225952" w:rsidRDefault="00225952" w:rsidP="00225952">
            <w:pPr>
              <w:rPr>
                <w:lang w:eastAsia="ko-KR"/>
              </w:rPr>
            </w:pPr>
            <w:r w:rsidRPr="008C6101">
              <w:t>The Capi</w:t>
            </w:r>
            <w:r>
              <w:t xml:space="preserve">tal Improvements Element (CIE) </w:t>
            </w:r>
            <w:r w:rsidRPr="008C6101">
              <w:t xml:space="preserve">is adopted and updated to reflect the timing and funding of capital projects to meet </w:t>
            </w:r>
            <w:r>
              <w:t>and</w:t>
            </w:r>
            <w:r w:rsidRPr="008C6101">
              <w:t xml:space="preserve"> maintain adopted LOS standards for all infrastructure</w:t>
            </w:r>
            <w:r>
              <w:t>.  The CIE and its required Five-Y</w:t>
            </w:r>
            <w:r w:rsidRPr="008C6101">
              <w:t xml:space="preserve">ear </w:t>
            </w:r>
            <w:r>
              <w:t>Schedule of Capital I</w:t>
            </w:r>
            <w:r w:rsidRPr="008C6101">
              <w:t>mprovements identifies projects that are needed to ensure that the adopted LOS</w:t>
            </w:r>
            <w:r>
              <w:t xml:space="preserve"> or other mobility performance measures are</w:t>
            </w:r>
            <w:r w:rsidRPr="008C6101">
              <w:t xml:space="preserve"> achieved and maintained for concurr</w:t>
            </w:r>
            <w:r>
              <w:t>ency-</w:t>
            </w:r>
            <w:r w:rsidRPr="008C6101">
              <w:t xml:space="preserve">related </w:t>
            </w:r>
            <w:r>
              <w:t>fac</w:t>
            </w:r>
            <w:r w:rsidRPr="008C6101">
              <w:t>ilities</w:t>
            </w:r>
            <w:r>
              <w:t xml:space="preserve">.  </w:t>
            </w:r>
            <w:r w:rsidRPr="008C6101">
              <w:t>The projects contained in the schedule may originate from varying sources includ</w:t>
            </w:r>
            <w:r>
              <w:t>ing</w:t>
            </w:r>
            <w:r w:rsidRPr="008C6101">
              <w:t xml:space="preserve"> the local government itself</w:t>
            </w:r>
            <w:r>
              <w:t>,</w:t>
            </w:r>
            <w:r w:rsidRPr="008C6101">
              <w:t xml:space="preserve"> </w:t>
            </w:r>
            <w:r>
              <w:t xml:space="preserve">the transit development plan, </w:t>
            </w:r>
            <w:r w:rsidRPr="008C6101">
              <w:t>the FDOT Work P</w:t>
            </w:r>
            <w:r>
              <w:t>rogram</w:t>
            </w:r>
            <w:r w:rsidRPr="008C6101">
              <w:t xml:space="preserve"> </w:t>
            </w:r>
            <w:r>
              <w:t>or the</w:t>
            </w:r>
            <w:r w:rsidRPr="008C6101">
              <w:t xml:space="preserve"> MPO Transportation Improvement Plans and Lo</w:t>
            </w:r>
            <w:r>
              <w:t xml:space="preserve">ng Range Transportation Plans.  </w:t>
            </w:r>
            <w:r>
              <w:rPr>
                <w:rFonts w:eastAsia="Batang" w:cs="Slimbach-Book"/>
                <w:lang w:eastAsia="ko-KR"/>
              </w:rPr>
              <w:t>T</w:t>
            </w:r>
            <w:r w:rsidRPr="008C6101">
              <w:rPr>
                <w:rFonts w:eastAsia="Batang" w:cs="Slimbach-Book"/>
                <w:lang w:eastAsia="ko-KR"/>
              </w:rPr>
              <w:t xml:space="preserve">he </w:t>
            </w:r>
            <w:r>
              <w:rPr>
                <w:rFonts w:eastAsia="Batang" w:cs="Slimbach-Book"/>
                <w:lang w:eastAsia="ko-KR"/>
              </w:rPr>
              <w:t>FDOT reviewer</w:t>
            </w:r>
            <w:r w:rsidRPr="008C6101">
              <w:rPr>
                <w:rFonts w:eastAsia="Batang" w:cs="Slimbach-Book"/>
                <w:lang w:eastAsia="ko-KR"/>
              </w:rPr>
              <w:t xml:space="preserve"> is encouraged to read the DCA’s </w:t>
            </w:r>
            <w:hyperlink r:id="rId154" w:history="1">
              <w:r w:rsidRPr="004A2E0D">
                <w:rPr>
                  <w:rStyle w:val="Hyperlink"/>
                  <w:rFonts w:eastAsia="Batang" w:cs="Slimbach-Book"/>
                  <w:szCs w:val="24"/>
                  <w:lang w:eastAsia="ko-KR"/>
                </w:rPr>
                <w:t>Guide to the Annual Update of the Capital Improvements Element</w:t>
              </w:r>
            </w:hyperlink>
            <w:r>
              <w:rPr>
                <w:rFonts w:eastAsia="Batang" w:cs="Slimbach-Book"/>
                <w:lang w:eastAsia="ko-KR"/>
              </w:rPr>
              <w:t xml:space="preserve"> for </w:t>
            </w:r>
            <w:r w:rsidRPr="008C6101">
              <w:rPr>
                <w:rFonts w:eastAsia="Batang" w:cs="Slimbach-Book"/>
                <w:lang w:eastAsia="ko-KR"/>
              </w:rPr>
              <w:t xml:space="preserve">detailed guidance on the </w:t>
            </w:r>
            <w:r>
              <w:rPr>
                <w:rFonts w:eastAsia="Batang" w:cs="Slimbach-Book"/>
                <w:lang w:eastAsia="ko-KR"/>
              </w:rPr>
              <w:t>reviewing the Capital Improvements Element.</w:t>
            </w:r>
          </w:p>
        </w:tc>
      </w:tr>
      <w:tr w:rsidR="00225952" w:rsidRPr="007C475C" w:rsidTr="00225952">
        <w:tc>
          <w:tcPr>
            <w:tcW w:w="2253" w:type="dxa"/>
          </w:tcPr>
          <w:p w:rsidR="00225952" w:rsidRPr="008956F2" w:rsidRDefault="00225952" w:rsidP="00225952">
            <w:pPr>
              <w:pStyle w:val="HeadSideMain"/>
            </w:pPr>
          </w:p>
        </w:tc>
        <w:tc>
          <w:tcPr>
            <w:tcW w:w="7827" w:type="dxa"/>
          </w:tcPr>
          <w:p w:rsidR="00225952" w:rsidRDefault="00225952" w:rsidP="00225952">
            <w:r w:rsidRPr="008C6101">
              <w:t xml:space="preserve">The requirement that comprehensive plans elements be internally consistent is a key </w:t>
            </w:r>
            <w:r>
              <w:t>fac</w:t>
            </w:r>
            <w:r w:rsidRPr="008C6101">
              <w:t>tor that neces</w:t>
            </w:r>
            <w:r>
              <w:t>sitates the review of the CIE</w:t>
            </w:r>
            <w:r w:rsidRPr="008C6101">
              <w:t xml:space="preserve"> with proposed </w:t>
            </w:r>
            <w:r>
              <w:t xml:space="preserve">text or map </w:t>
            </w:r>
            <w:r w:rsidRPr="008C6101">
              <w:t>amend</w:t>
            </w:r>
            <w:r>
              <w:t xml:space="preserve">ments (s.163.3177(2), F.S., and Rule </w:t>
            </w:r>
            <w:r w:rsidRPr="008C6101">
              <w:t>9J-5.005(5)(a),</w:t>
            </w:r>
            <w:r>
              <w:t xml:space="preserve"> </w:t>
            </w:r>
            <w:r w:rsidRPr="008C6101">
              <w:t>F.A.C.)</w:t>
            </w:r>
            <w:r>
              <w:t>.  Th</w:t>
            </w:r>
            <w:r w:rsidRPr="008C6101">
              <w:t xml:space="preserve">e </w:t>
            </w:r>
            <w:r>
              <w:t xml:space="preserve">CIE </w:t>
            </w:r>
            <w:r w:rsidRPr="008C6101">
              <w:t xml:space="preserve">must be </w:t>
            </w:r>
            <w:r>
              <w:t xml:space="preserve">reviewed to ensure consistency if any amendment </w:t>
            </w:r>
            <w:r w:rsidRPr="008C6101">
              <w:t xml:space="preserve">includes a proposed transportation project as mitigation or </w:t>
            </w:r>
            <w:r>
              <w:t xml:space="preserve">as </w:t>
            </w:r>
            <w:r w:rsidRPr="008C6101">
              <w:t>part of a mobility plan</w:t>
            </w:r>
            <w:r>
              <w:t xml:space="preserve">.  </w:t>
            </w:r>
          </w:p>
          <w:p w:rsidR="00225952" w:rsidRDefault="00225952" w:rsidP="00225952">
            <w:r w:rsidRPr="008C6101">
              <w:t>Another important requirement of comprehensive plan projects is that they must be financially feasible (</w:t>
            </w:r>
            <w:r>
              <w:t>s.163.3177(2), F.S.).  The Five-Y</w:t>
            </w:r>
            <w:r w:rsidRPr="008C6101">
              <w:t xml:space="preserve">ear </w:t>
            </w:r>
            <w:r>
              <w:t>Schedule of Capital I</w:t>
            </w:r>
            <w:r w:rsidRPr="008C6101">
              <w:t>mprovements must provide committed funding sources for projects in the first three years and planned funding sources for years 4 and 5 (</w:t>
            </w:r>
            <w:r>
              <w:t>s.1</w:t>
            </w:r>
            <w:r w:rsidRPr="008C6101">
              <w:t>63.3164(32),</w:t>
            </w:r>
            <w:r>
              <w:t xml:space="preserve"> F.S.).  However, t</w:t>
            </w:r>
            <w:r w:rsidRPr="005200BC">
              <w:t xml:space="preserve">he annual update to the </w:t>
            </w:r>
            <w:r>
              <w:t>C</w:t>
            </w:r>
            <w:r w:rsidRPr="005200BC">
              <w:t xml:space="preserve">apital </w:t>
            </w:r>
            <w:r>
              <w:t>I</w:t>
            </w:r>
            <w:r w:rsidRPr="005200BC">
              <w:t xml:space="preserve">mprovements </w:t>
            </w:r>
            <w:r>
              <w:t>E</w:t>
            </w:r>
            <w:r w:rsidRPr="005200BC">
              <w:t>lement need not comply with the financial feasibility requirement until December 1, 2011</w:t>
            </w:r>
            <w:r>
              <w:t xml:space="preserve"> (s. 163.31877(6)(b)(1), F.S.).</w:t>
            </w:r>
          </w:p>
        </w:tc>
      </w:tr>
    </w:tbl>
    <w:p w:rsidR="00225952" w:rsidRDefault="00225952">
      <w:pPr>
        <w:pStyle w:val="Heading2"/>
        <w:rPr>
          <w:lang w:eastAsia="ko-KR"/>
        </w:rPr>
        <w:sectPr w:rsidR="00225952" w:rsidSect="00832911">
          <w:headerReference w:type="default" r:id="rId155"/>
          <w:type w:val="continuous"/>
          <w:pgSz w:w="12240" w:h="15840"/>
          <w:pgMar w:top="1440" w:right="720" w:bottom="1440" w:left="1152" w:header="720" w:footer="720" w:gutter="0"/>
          <w:cols w:space="720"/>
          <w:docGrid w:linePitch="360"/>
        </w:sectPr>
      </w:pPr>
    </w:p>
    <w:p w:rsidR="00225952" w:rsidRDefault="00225952" w:rsidP="00225952">
      <w:pPr>
        <w:rPr>
          <w:lang w:eastAsia="ko-KR"/>
        </w:rPr>
      </w:pPr>
    </w:p>
    <w:p w:rsidR="00225952" w:rsidRDefault="00225952" w:rsidP="00225952">
      <w:pPr>
        <w:rPr>
          <w:lang w:eastAsia="ko-KR"/>
        </w:rPr>
      </w:pPr>
    </w:p>
    <w:p w:rsidR="00225952" w:rsidRPr="0093057D" w:rsidRDefault="00225952" w:rsidP="00225952">
      <w:pPr>
        <w:rPr>
          <w:lang w:eastAsia="ko-KR"/>
        </w:rPr>
        <w:sectPr w:rsidR="00225952" w:rsidRPr="0093057D" w:rsidSect="00832911">
          <w:headerReference w:type="default" r:id="rId156"/>
          <w:type w:val="continuous"/>
          <w:pgSz w:w="12240" w:h="15840"/>
          <w:pgMar w:top="1440" w:right="720" w:bottom="1440" w:left="1152" w:header="720" w:footer="720" w:gutter="0"/>
          <w:cols w:space="720"/>
          <w:docGrid w:linePitch="360"/>
        </w:sectPr>
      </w:pPr>
    </w:p>
    <w:p w:rsidR="00CD32CA" w:rsidRDefault="00CD32CA">
      <w:bookmarkStart w:id="155" w:name="_Toc256487947"/>
      <w:bookmarkStart w:id="156" w:name="_Toc263447879"/>
      <w:r>
        <w:rPr>
          <w:b/>
          <w:bCs/>
        </w:rPr>
        <w:lastRenderedPageBreak/>
        <w:br w:type="page"/>
      </w:r>
    </w:p>
    <w:tbl>
      <w:tblPr>
        <w:tblW w:w="10080" w:type="dxa"/>
        <w:tblInd w:w="115" w:type="dxa"/>
        <w:tblLayout w:type="fixed"/>
        <w:tblCellMar>
          <w:left w:w="115" w:type="dxa"/>
          <w:right w:w="115" w:type="dxa"/>
        </w:tblCellMar>
        <w:tblLook w:val="0000"/>
      </w:tblPr>
      <w:tblGrid>
        <w:gridCol w:w="2253"/>
        <w:gridCol w:w="3913"/>
        <w:gridCol w:w="3914"/>
      </w:tblGrid>
      <w:tr w:rsidR="00225952" w:rsidRPr="007C475C" w:rsidTr="00225952">
        <w:tc>
          <w:tcPr>
            <w:tcW w:w="10080" w:type="dxa"/>
            <w:gridSpan w:val="3"/>
          </w:tcPr>
          <w:p w:rsidR="00225952" w:rsidRDefault="00225952">
            <w:pPr>
              <w:pStyle w:val="Heading2"/>
            </w:pPr>
            <w:bookmarkStart w:id="157" w:name="_Toc264274124"/>
            <w:r>
              <w:rPr>
                <w:lang w:eastAsia="ko-KR"/>
              </w:rPr>
              <w:lastRenderedPageBreak/>
              <w:t xml:space="preserve">3.8 Transportation </w:t>
            </w:r>
            <w:r w:rsidRPr="007A45E6">
              <w:rPr>
                <w:lang w:eastAsia="ko-KR"/>
              </w:rPr>
              <w:t>Concurrency-Related Amendments</w:t>
            </w:r>
            <w:bookmarkEnd w:id="155"/>
            <w:bookmarkEnd w:id="156"/>
            <w:bookmarkEnd w:id="157"/>
          </w:p>
        </w:tc>
      </w:tr>
      <w:tr w:rsidR="00225952" w:rsidRPr="007C475C" w:rsidTr="00225952">
        <w:tc>
          <w:tcPr>
            <w:tcW w:w="2253" w:type="dxa"/>
          </w:tcPr>
          <w:p w:rsidR="00225952" w:rsidRPr="008956F2" w:rsidRDefault="00225952" w:rsidP="00225952">
            <w:pPr>
              <w:pStyle w:val="HeadSideMain"/>
            </w:pPr>
          </w:p>
        </w:tc>
        <w:tc>
          <w:tcPr>
            <w:tcW w:w="7827" w:type="dxa"/>
            <w:gridSpan w:val="2"/>
          </w:tcPr>
          <w:p w:rsidR="00225952" w:rsidRDefault="00225952" w:rsidP="00BF02D4">
            <w:r w:rsidRPr="008C6101">
              <w:t>Transportation con</w:t>
            </w:r>
            <w:r>
              <w:t xml:space="preserve">currency is implemented through a local government’s permitting process designed to </w:t>
            </w:r>
            <w:r w:rsidRPr="008C6101">
              <w:t xml:space="preserve">ensure transportation </w:t>
            </w:r>
            <w:r>
              <w:t>fac</w:t>
            </w:r>
            <w:r w:rsidRPr="008C6101">
              <w:t>ilities and serv</w:t>
            </w:r>
            <w:r>
              <w:t xml:space="preserve">ices are available </w:t>
            </w:r>
            <w:r w:rsidRPr="008C6101">
              <w:t>to address the impacts of development</w:t>
            </w:r>
            <w:r>
              <w:t>.  L</w:t>
            </w:r>
            <w:r w:rsidRPr="008C6101">
              <w:t xml:space="preserve">ocal governments are required </w:t>
            </w:r>
            <w:r>
              <w:t xml:space="preserve">by s.163.3180, F.S., and Rule </w:t>
            </w:r>
            <w:r w:rsidRPr="008C6101">
              <w:t>9J-5.0055, F</w:t>
            </w:r>
            <w:r>
              <w:t>.</w:t>
            </w:r>
            <w:r w:rsidRPr="008C6101">
              <w:t>A</w:t>
            </w:r>
            <w:r>
              <w:t>.</w:t>
            </w:r>
            <w:r w:rsidRPr="008C6101">
              <w:t>C</w:t>
            </w:r>
            <w:r>
              <w:t>.,</w:t>
            </w:r>
            <w:r w:rsidRPr="008C6101">
              <w:t xml:space="preserve"> to develop and adopt a transportation concurrency m</w:t>
            </w:r>
            <w:r>
              <w:t>anagement system.</w:t>
            </w:r>
          </w:p>
          <w:p w:rsidR="00225952" w:rsidRDefault="00225952" w:rsidP="00BF02D4">
            <w:r>
              <w:t>T</w:t>
            </w:r>
            <w:r w:rsidRPr="008C6101">
              <w:t>ranspor</w:t>
            </w:r>
            <w:r>
              <w:t>tation concurrency is implemented by</w:t>
            </w:r>
            <w:r w:rsidRPr="008C6101">
              <w:t xml:space="preserve"> adop</w:t>
            </w:r>
            <w:r>
              <w:t xml:space="preserve">ting LOS standards or other mobility performance measures, addressing </w:t>
            </w:r>
            <w:r w:rsidRPr="008C6101">
              <w:t xml:space="preserve">existing service deficiencies, and providing infrastructure </w:t>
            </w:r>
            <w:r>
              <w:t xml:space="preserve">or strategies </w:t>
            </w:r>
            <w:r w:rsidRPr="008C6101">
              <w:t>to accommodate new growth</w:t>
            </w:r>
            <w:r>
              <w:t xml:space="preserve">.  Section 163.3180(5), F.S., </w:t>
            </w:r>
            <w:r w:rsidRPr="008C6101">
              <w:t>provides for exemption</w:t>
            </w:r>
            <w:r>
              <w:t>s</w:t>
            </w:r>
            <w:r w:rsidRPr="008C6101">
              <w:t xml:space="preserve"> to concurrency requirements, for</w:t>
            </w:r>
            <w:r>
              <w:t xml:space="preserve"> planning activities such as</w:t>
            </w:r>
            <w:r w:rsidRPr="008C6101">
              <w:t xml:space="preserve"> public tra</w:t>
            </w:r>
            <w:r>
              <w:t xml:space="preserve">nsportation facilities or </w:t>
            </w:r>
            <w:r w:rsidRPr="008C6101">
              <w:t>infill or</w:t>
            </w:r>
            <w:r>
              <w:t xml:space="preserve"> redevelopment projects in </w:t>
            </w:r>
            <w:r w:rsidRPr="008C6101">
              <w:t xml:space="preserve">adopted exception areas. </w:t>
            </w:r>
          </w:p>
        </w:tc>
      </w:tr>
      <w:tr w:rsidR="00225952" w:rsidRPr="007C475C" w:rsidTr="00225952">
        <w:tc>
          <w:tcPr>
            <w:tcW w:w="2253" w:type="dxa"/>
          </w:tcPr>
          <w:p w:rsidR="00225952" w:rsidRPr="008956F2" w:rsidRDefault="00225952" w:rsidP="00225952">
            <w:pPr>
              <w:pStyle w:val="HeadSideMain"/>
            </w:pPr>
          </w:p>
        </w:tc>
        <w:tc>
          <w:tcPr>
            <w:tcW w:w="7827" w:type="dxa"/>
            <w:gridSpan w:val="2"/>
          </w:tcPr>
          <w:p w:rsidR="00225952" w:rsidRDefault="00225952" w:rsidP="00BF02D4">
            <w:r>
              <w:t>F</w:t>
            </w:r>
            <w:r w:rsidRPr="008C6101">
              <w:t xml:space="preserve">DOT staff </w:t>
            </w:r>
            <w:r>
              <w:t>should</w:t>
            </w:r>
            <w:r w:rsidRPr="008C6101">
              <w:t xml:space="preserve"> understand the requirements and methodologies of local government concurrency systems</w:t>
            </w:r>
            <w:r>
              <w:t xml:space="preserve"> as they </w:t>
            </w:r>
            <w:r w:rsidRPr="008C6101">
              <w:t>may receive requests for technical assistance from local government</w:t>
            </w:r>
            <w:r>
              <w:t>s</w:t>
            </w:r>
            <w:r w:rsidRPr="008C6101">
              <w:t xml:space="preserve"> and may become involved when a local concurrency study identifi</w:t>
            </w:r>
            <w:r>
              <w:t xml:space="preserve">es impacts to the state transportation system.  </w:t>
            </w:r>
            <w:r w:rsidRPr="008C6101">
              <w:t>The FDOT's primary role in transportation concurrency management is to provide technical support to local governments in creating this system</w:t>
            </w:r>
            <w:r>
              <w:t xml:space="preserve">.  </w:t>
            </w:r>
          </w:p>
        </w:tc>
      </w:tr>
      <w:tr w:rsidR="00225952" w:rsidRPr="007C475C" w:rsidTr="00225952">
        <w:tc>
          <w:tcPr>
            <w:tcW w:w="2253" w:type="dxa"/>
          </w:tcPr>
          <w:p w:rsidR="00225952" w:rsidRPr="008956F2" w:rsidRDefault="00225952" w:rsidP="00225952">
            <w:pPr>
              <w:pStyle w:val="HeadSideMain"/>
            </w:pPr>
          </w:p>
        </w:tc>
        <w:tc>
          <w:tcPr>
            <w:tcW w:w="7827" w:type="dxa"/>
            <w:gridSpan w:val="2"/>
          </w:tcPr>
          <w:p w:rsidR="00225952" w:rsidRDefault="00225952" w:rsidP="00BF02D4">
            <w:r w:rsidRPr="008C6101">
              <w:t>L</w:t>
            </w:r>
            <w:r>
              <w:t xml:space="preserve">ocal governments use existing roadway capacity, estimated trips from a proposed development and the adopted LOS standard or other mobility performance measures to </w:t>
            </w:r>
            <w:r w:rsidRPr="008C6101">
              <w:t>determine</w:t>
            </w:r>
            <w:r>
              <w:t xml:space="preserve"> </w:t>
            </w:r>
            <w:r w:rsidRPr="008C6101">
              <w:t>whether the service needs of a proposed development exceed the e</w:t>
            </w:r>
            <w:r>
              <w:t xml:space="preserve">xisting </w:t>
            </w:r>
            <w:r w:rsidRPr="008C6101">
              <w:t xml:space="preserve">and scheduled </w:t>
            </w:r>
            <w:r>
              <w:t xml:space="preserve">roadway capacity improvements.  </w:t>
            </w:r>
            <w:r w:rsidRPr="008C6101">
              <w:t>If</w:t>
            </w:r>
            <w:r>
              <w:t xml:space="preserve"> capacity is unavailable </w:t>
            </w:r>
            <w:r w:rsidRPr="008C6101">
              <w:t xml:space="preserve">and no improvements are scheduled, the developer has the option to provide the improvements or a monetary contribution, unless the government agrees to provide the necessary improvements. </w:t>
            </w:r>
          </w:p>
        </w:tc>
      </w:tr>
      <w:tr w:rsidR="00225952" w:rsidRPr="007C475C" w:rsidTr="00225952">
        <w:tc>
          <w:tcPr>
            <w:tcW w:w="2253" w:type="dxa"/>
          </w:tcPr>
          <w:p w:rsidR="00225952" w:rsidRPr="008956F2" w:rsidRDefault="00225952" w:rsidP="00225952">
            <w:pPr>
              <w:pStyle w:val="HeadSideMain"/>
            </w:pPr>
          </w:p>
        </w:tc>
        <w:tc>
          <w:tcPr>
            <w:tcW w:w="7827" w:type="dxa"/>
            <w:gridSpan w:val="2"/>
          </w:tcPr>
          <w:p w:rsidR="00225952" w:rsidRDefault="00225952" w:rsidP="00BF02D4">
            <w:r>
              <w:t xml:space="preserve">The FDOT reviewer should </w:t>
            </w:r>
            <w:r w:rsidRPr="008C6101">
              <w:t xml:space="preserve">focus on the goals, objectives, and policies in the </w:t>
            </w:r>
            <w:r>
              <w:t>local comprehensive plan</w:t>
            </w:r>
            <w:r w:rsidRPr="008C6101">
              <w:t xml:space="preserve"> that </w:t>
            </w:r>
            <w:r>
              <w:t>defines</w:t>
            </w:r>
            <w:r w:rsidRPr="008C6101">
              <w:t xml:space="preserve"> </w:t>
            </w:r>
            <w:r>
              <w:t xml:space="preserve">the framework for the concurrency management system.  </w:t>
            </w:r>
            <w:r w:rsidRPr="008C6101">
              <w:t>The FDOT revi</w:t>
            </w:r>
            <w:r>
              <w:t>ewer should document the review</w:t>
            </w:r>
            <w:r w:rsidRPr="008C6101">
              <w:t xml:space="preserve"> and should demonstrate that the LOS standards </w:t>
            </w:r>
            <w:r>
              <w:t>or other mobility performance measures</w:t>
            </w:r>
            <w:r w:rsidRPr="008C6101">
              <w:t xml:space="preserve"> are being achieved and maintained</w:t>
            </w:r>
            <w:r>
              <w:t>.  H</w:t>
            </w:r>
            <w:r w:rsidRPr="008C6101">
              <w:t>aving th</w:t>
            </w:r>
            <w:r>
              <w:t>e</w:t>
            </w:r>
            <w:r w:rsidRPr="008C6101">
              <w:t xml:space="preserve"> </w:t>
            </w:r>
            <w:r>
              <w:t xml:space="preserve">needed data for </w:t>
            </w:r>
            <w:r w:rsidRPr="008C6101">
              <w:t>the corridor impa</w:t>
            </w:r>
            <w:r>
              <w:t>cted by the proposed amendment</w:t>
            </w:r>
            <w:r w:rsidRPr="008C6101">
              <w:t xml:space="preserve"> will assist the FDOT reviewer during the </w:t>
            </w:r>
            <w:r>
              <w:t>comprehensive plan</w:t>
            </w:r>
            <w:r w:rsidRPr="008C6101">
              <w:t xml:space="preserve"> amendment process</w:t>
            </w:r>
            <w:r>
              <w:t>.</w:t>
            </w:r>
          </w:p>
        </w:tc>
      </w:tr>
      <w:tr w:rsidR="00225952" w:rsidRPr="007C475C" w:rsidTr="00225952">
        <w:tc>
          <w:tcPr>
            <w:tcW w:w="2253" w:type="dxa"/>
          </w:tcPr>
          <w:p w:rsidR="00225952" w:rsidRPr="008956F2" w:rsidRDefault="00225952" w:rsidP="00225952">
            <w:pPr>
              <w:pStyle w:val="HeadSideMain"/>
            </w:pPr>
          </w:p>
        </w:tc>
        <w:tc>
          <w:tcPr>
            <w:tcW w:w="7827" w:type="dxa"/>
            <w:gridSpan w:val="2"/>
          </w:tcPr>
          <w:p w:rsidR="00225952" w:rsidRDefault="00225952" w:rsidP="00BF02D4">
            <w:pPr>
              <w:rPr>
                <w:lang w:eastAsia="ko-KR"/>
              </w:rPr>
            </w:pPr>
            <w:r w:rsidRPr="008C6101">
              <w:t xml:space="preserve">For example, if a SHS or SIS </w:t>
            </w:r>
            <w:r>
              <w:t>fac</w:t>
            </w:r>
            <w:r w:rsidRPr="008C6101">
              <w:t xml:space="preserve">ility is operating </w:t>
            </w:r>
            <w:r>
              <w:t xml:space="preserve">near or </w:t>
            </w:r>
            <w:r w:rsidRPr="008C6101">
              <w:t>below the adopted LOS</w:t>
            </w:r>
            <w:r>
              <w:t xml:space="preserve"> or performance</w:t>
            </w:r>
            <w:r w:rsidRPr="008C6101">
              <w:t xml:space="preserve"> standard, the FDOT reviewer should coordinate with DCA </w:t>
            </w:r>
            <w:r>
              <w:t xml:space="preserve">during </w:t>
            </w:r>
            <w:r>
              <w:lastRenderedPageBreak/>
              <w:t xml:space="preserve">the review of a proposed comprehensive plan amendment </w:t>
            </w:r>
            <w:r w:rsidRPr="008C6101">
              <w:t xml:space="preserve">to request </w:t>
            </w:r>
            <w:r>
              <w:t>additional</w:t>
            </w:r>
            <w:r w:rsidRPr="008C6101">
              <w:t xml:space="preserve"> data and analysis</w:t>
            </w:r>
            <w:r>
              <w:t xml:space="preserve"> documenting the effect of the amendment on the facility.  Local governments are required to adopt t</w:t>
            </w:r>
            <w:r w:rsidRPr="008C6101">
              <w:t>he FDOT LOS standards for SIS</w:t>
            </w:r>
            <w:r>
              <w:t xml:space="preserve"> fac</w:t>
            </w:r>
            <w:r w:rsidRPr="008C6101">
              <w:t>ilities</w:t>
            </w:r>
            <w:r>
              <w:t xml:space="preserve"> for their concurrency management system except in areas utilizing transportation concurrency alternatives; however, local governments may </w:t>
            </w:r>
            <w:r w:rsidRPr="008C6101">
              <w:t>adopt different LOS standards</w:t>
            </w:r>
            <w:r>
              <w:t xml:space="preserve"> for other facilities</w:t>
            </w:r>
            <w:r w:rsidRPr="008C6101">
              <w:t>.</w:t>
            </w:r>
          </w:p>
        </w:tc>
      </w:tr>
      <w:tr w:rsidR="00225952" w:rsidRPr="007C475C" w:rsidTr="00225952">
        <w:tc>
          <w:tcPr>
            <w:tcW w:w="2253" w:type="dxa"/>
          </w:tcPr>
          <w:p w:rsidR="00225952" w:rsidRPr="008956F2" w:rsidRDefault="00225952" w:rsidP="00225952">
            <w:pPr>
              <w:pStyle w:val="HeadSideMain"/>
            </w:pPr>
          </w:p>
        </w:tc>
        <w:tc>
          <w:tcPr>
            <w:tcW w:w="7827" w:type="dxa"/>
            <w:gridSpan w:val="2"/>
          </w:tcPr>
          <w:p w:rsidR="00225952" w:rsidRPr="008C6101" w:rsidRDefault="00225952" w:rsidP="00225952">
            <w:pPr>
              <w:autoSpaceDE w:val="0"/>
              <w:autoSpaceDN w:val="0"/>
              <w:adjustRightInd w:val="0"/>
              <w:spacing w:after="60"/>
              <w:ind w:right="432"/>
              <w:rPr>
                <w:bCs/>
                <w:sz w:val="24"/>
                <w:szCs w:val="24"/>
              </w:rPr>
            </w:pPr>
            <w:r>
              <w:rPr>
                <w:bCs/>
                <w:sz w:val="24"/>
                <w:szCs w:val="24"/>
              </w:rPr>
              <w:t xml:space="preserve">The </w:t>
            </w:r>
            <w:r w:rsidRPr="008C6101">
              <w:rPr>
                <w:bCs/>
                <w:sz w:val="24"/>
                <w:szCs w:val="24"/>
              </w:rPr>
              <w:t>FDOT reviewer may provide recommendations for:</w:t>
            </w:r>
          </w:p>
          <w:p w:rsidR="00225952" w:rsidRDefault="00225952" w:rsidP="00AD2D7A">
            <w:pPr>
              <w:pStyle w:val="BulletA"/>
              <w:numPr>
                <w:ilvl w:val="0"/>
                <w:numId w:val="82"/>
              </w:numPr>
            </w:pPr>
            <w:r w:rsidRPr="008C6101">
              <w:t>Methodologies for evaluating concurrency</w:t>
            </w:r>
          </w:p>
          <w:p w:rsidR="00225952" w:rsidRDefault="00225952" w:rsidP="00AD2D7A">
            <w:pPr>
              <w:pStyle w:val="BulletA"/>
              <w:numPr>
                <w:ilvl w:val="0"/>
                <w:numId w:val="82"/>
              </w:numPr>
            </w:pPr>
            <w:r w:rsidRPr="008C6101">
              <w:t xml:space="preserve">Identifying </w:t>
            </w:r>
            <w:r>
              <w:t>fac</w:t>
            </w:r>
            <w:r w:rsidRPr="008C6101">
              <w:t>ilities</w:t>
            </w:r>
          </w:p>
          <w:p w:rsidR="00225952" w:rsidRDefault="00225952" w:rsidP="00AD2D7A">
            <w:pPr>
              <w:pStyle w:val="BulletA"/>
              <w:numPr>
                <w:ilvl w:val="0"/>
                <w:numId w:val="82"/>
              </w:numPr>
            </w:pPr>
            <w:r w:rsidRPr="008C6101">
              <w:t>Tracking development</w:t>
            </w:r>
            <w:r>
              <w:t xml:space="preserve"> projects</w:t>
            </w:r>
          </w:p>
          <w:p w:rsidR="00225952" w:rsidRDefault="00225952" w:rsidP="00AD2D7A">
            <w:pPr>
              <w:pStyle w:val="BulletA"/>
              <w:numPr>
                <w:ilvl w:val="0"/>
                <w:numId w:val="82"/>
              </w:numPr>
            </w:pPr>
            <w:r w:rsidRPr="008C6101">
              <w:t>Considering programmed improvements</w:t>
            </w:r>
          </w:p>
          <w:p w:rsidR="00225952" w:rsidRDefault="00225952" w:rsidP="00AD2D7A">
            <w:pPr>
              <w:pStyle w:val="BulletA"/>
              <w:numPr>
                <w:ilvl w:val="0"/>
                <w:numId w:val="82"/>
              </w:numPr>
            </w:pPr>
            <w:r>
              <w:t xml:space="preserve">De minimus </w:t>
            </w:r>
            <w:r w:rsidRPr="008C6101">
              <w:t xml:space="preserve">impacts on </w:t>
            </w:r>
            <w:r>
              <w:t xml:space="preserve">hurricane </w:t>
            </w:r>
            <w:r w:rsidRPr="008C6101">
              <w:t>evacuation routes</w:t>
            </w:r>
          </w:p>
          <w:p w:rsidR="00225952" w:rsidRDefault="00225952" w:rsidP="00AD2D7A">
            <w:pPr>
              <w:pStyle w:val="BulletA"/>
              <w:numPr>
                <w:ilvl w:val="0"/>
                <w:numId w:val="82"/>
              </w:numPr>
            </w:pPr>
            <w:r w:rsidRPr="008C6101">
              <w:t>Proportionate fair-share tracking</w:t>
            </w:r>
          </w:p>
          <w:p w:rsidR="00225952" w:rsidRDefault="00225952" w:rsidP="00AD2D7A">
            <w:pPr>
              <w:pStyle w:val="BulletA"/>
              <w:numPr>
                <w:ilvl w:val="0"/>
                <w:numId w:val="82"/>
              </w:numPr>
            </w:pPr>
            <w:r>
              <w:t>Concurrency management system</w:t>
            </w:r>
            <w:r w:rsidRPr="008C6101">
              <w:t xml:space="preserve"> update schedule</w:t>
            </w:r>
          </w:p>
          <w:p w:rsidR="00225952" w:rsidRDefault="00225952" w:rsidP="00AD2D7A">
            <w:pPr>
              <w:pStyle w:val="BulletA"/>
              <w:numPr>
                <w:ilvl w:val="0"/>
                <w:numId w:val="82"/>
              </w:numPr>
              <w:spacing w:after="120"/>
              <w:rPr>
                <w:rFonts w:eastAsia="Batang" w:cs="Slimbach-Book"/>
                <w:lang w:eastAsia="ko-KR"/>
              </w:rPr>
            </w:pPr>
            <w:r w:rsidRPr="008C6101">
              <w:t>Preferred monitoring data for the Department</w:t>
            </w:r>
          </w:p>
        </w:tc>
      </w:tr>
      <w:tr w:rsidR="00225952" w:rsidRPr="007C475C" w:rsidTr="00225952">
        <w:tc>
          <w:tcPr>
            <w:tcW w:w="2253" w:type="dxa"/>
          </w:tcPr>
          <w:p w:rsidR="00225952" w:rsidRPr="008956F2" w:rsidRDefault="00225952" w:rsidP="00225952">
            <w:pPr>
              <w:pStyle w:val="HeadSideMain"/>
            </w:pPr>
          </w:p>
        </w:tc>
        <w:tc>
          <w:tcPr>
            <w:tcW w:w="7827" w:type="dxa"/>
            <w:gridSpan w:val="2"/>
          </w:tcPr>
          <w:p w:rsidR="00225952" w:rsidRDefault="00225952" w:rsidP="00BF02D4">
            <w:pPr>
              <w:rPr>
                <w:lang w:eastAsia="ko-KR"/>
              </w:rPr>
            </w:pPr>
            <w:r>
              <w:rPr>
                <w:lang w:eastAsia="ko-KR"/>
              </w:rPr>
              <w:t>T</w:t>
            </w:r>
            <w:r w:rsidRPr="008C6101">
              <w:rPr>
                <w:lang w:eastAsia="ko-KR"/>
              </w:rPr>
              <w:t xml:space="preserve">he method for monitoring concurrency </w:t>
            </w:r>
            <w:r>
              <w:rPr>
                <w:lang w:eastAsia="ko-KR"/>
              </w:rPr>
              <w:t xml:space="preserve">is an </w:t>
            </w:r>
            <w:r w:rsidRPr="008C6101">
              <w:rPr>
                <w:lang w:eastAsia="ko-KR"/>
              </w:rPr>
              <w:t>importan</w:t>
            </w:r>
            <w:r>
              <w:rPr>
                <w:lang w:eastAsia="ko-KR"/>
              </w:rPr>
              <w:t xml:space="preserve">t element of a local government’s concurrency management system.  </w:t>
            </w:r>
            <w:r w:rsidRPr="008C6101">
              <w:rPr>
                <w:lang w:eastAsia="ko-KR"/>
              </w:rPr>
              <w:t>Local governments use various forms of tracking systems, such as spreadsheets</w:t>
            </w:r>
            <w:r>
              <w:rPr>
                <w:lang w:eastAsia="ko-KR"/>
              </w:rPr>
              <w:t>,</w:t>
            </w:r>
            <w:r w:rsidRPr="008C6101">
              <w:rPr>
                <w:lang w:eastAsia="ko-KR"/>
              </w:rPr>
              <w:t xml:space="preserve"> that can be used for segments of a transportation system to determine concurrency</w:t>
            </w:r>
            <w:r>
              <w:rPr>
                <w:lang w:eastAsia="ko-KR"/>
              </w:rPr>
              <w:t xml:space="preserve">.  </w:t>
            </w:r>
            <w:r w:rsidRPr="008C6101">
              <w:rPr>
                <w:lang w:eastAsia="ko-KR"/>
              </w:rPr>
              <w:t>Intranet tracking systems can be used for internal review and approval, and to provide automatic updates.</w:t>
            </w:r>
          </w:p>
        </w:tc>
      </w:tr>
      <w:tr w:rsidR="00225952" w:rsidRPr="007C475C" w:rsidTr="00225952">
        <w:tc>
          <w:tcPr>
            <w:tcW w:w="2253" w:type="dxa"/>
          </w:tcPr>
          <w:p w:rsidR="00225952" w:rsidRDefault="00CD306D" w:rsidP="00225952">
            <w:pPr>
              <w:pStyle w:val="HeadSideMain"/>
            </w:pPr>
            <w:r>
              <w:rPr>
                <w:noProof/>
              </w:rPr>
              <w:drawing>
                <wp:inline distT="0" distB="0" distL="0" distR="0">
                  <wp:extent cx="1284605" cy="501650"/>
                  <wp:effectExtent l="19050" t="0" r="0" b="0"/>
                  <wp:docPr id="553" name="Picture 552" descr="button_exel.png">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tton_exel.png"/>
                          <pic:cNvPicPr/>
                        </pic:nvPicPr>
                        <pic:blipFill>
                          <a:blip r:embed="rId67" cstate="print"/>
                          <a:stretch>
                            <a:fillRect/>
                          </a:stretch>
                        </pic:blipFill>
                        <pic:spPr>
                          <a:xfrm>
                            <a:off x="0" y="0"/>
                            <a:ext cx="1284605" cy="501650"/>
                          </a:xfrm>
                          <a:prstGeom prst="rect">
                            <a:avLst/>
                          </a:prstGeom>
                        </pic:spPr>
                      </pic:pic>
                    </a:graphicData>
                  </a:graphic>
                </wp:inline>
              </w:drawing>
            </w:r>
          </w:p>
          <w:p w:rsidR="00CD306D" w:rsidRPr="008956F2" w:rsidRDefault="00CD306D" w:rsidP="00CD306D">
            <w:pPr>
              <w:pStyle w:val="HeadSide20"/>
              <w:jc w:val="center"/>
            </w:pPr>
            <w:r>
              <w:t>CMS</w:t>
            </w:r>
          </w:p>
        </w:tc>
        <w:tc>
          <w:tcPr>
            <w:tcW w:w="7827" w:type="dxa"/>
            <w:gridSpan w:val="2"/>
          </w:tcPr>
          <w:p w:rsidR="00225952" w:rsidRDefault="00225952" w:rsidP="00BF02D4">
            <w:r w:rsidRPr="008C6101">
              <w:rPr>
                <w:lang w:eastAsia="ko-KR"/>
              </w:rPr>
              <w:t xml:space="preserve">The FDOT reviewer should be familiar with the various methodologies used </w:t>
            </w:r>
            <w:r>
              <w:rPr>
                <w:lang w:eastAsia="ko-KR"/>
              </w:rPr>
              <w:t>by the</w:t>
            </w:r>
            <w:r w:rsidRPr="008C6101">
              <w:rPr>
                <w:lang w:eastAsia="ko-KR"/>
              </w:rPr>
              <w:t xml:space="preserve"> jurisdictions</w:t>
            </w:r>
            <w:r>
              <w:rPr>
                <w:lang w:eastAsia="ko-KR"/>
              </w:rPr>
              <w:t xml:space="preserve"> in their District.  </w:t>
            </w:r>
            <w:r w:rsidRPr="008C6101">
              <w:rPr>
                <w:lang w:eastAsia="ko-KR"/>
              </w:rPr>
              <w:t>A sample spreadsheet used for determining this information for concurrency management systems can be accessed online at:</w:t>
            </w:r>
            <w:r>
              <w:rPr>
                <w:lang w:eastAsia="ko-KR"/>
              </w:rPr>
              <w:t xml:space="preserve"> </w:t>
            </w:r>
            <w:hyperlink r:id="rId158" w:history="1">
              <w:r w:rsidRPr="00B35717">
                <w:rPr>
                  <w:rStyle w:val="Hyperlink"/>
                  <w:szCs w:val="24"/>
                </w:rPr>
                <w:t>http://www.cutr.usf.edu/research/access_m/pdf/CMS.xls</w:t>
              </w:r>
            </w:hyperlink>
          </w:p>
        </w:tc>
      </w:tr>
      <w:tr w:rsidR="00225952" w:rsidRPr="007C475C" w:rsidTr="00225952">
        <w:tc>
          <w:tcPr>
            <w:tcW w:w="10080" w:type="dxa"/>
            <w:gridSpan w:val="3"/>
          </w:tcPr>
          <w:p w:rsidR="00225952" w:rsidRDefault="00225952">
            <w:pPr>
              <w:pStyle w:val="Heading3"/>
              <w:rPr>
                <w:bCs w:val="0"/>
              </w:rPr>
            </w:pPr>
            <w:bookmarkStart w:id="158" w:name="_Toc256487948"/>
            <w:bookmarkStart w:id="159" w:name="_Toc263447880"/>
            <w:bookmarkStart w:id="160" w:name="_Toc264274125"/>
            <w:r>
              <w:t xml:space="preserve">3.8.1 </w:t>
            </w:r>
            <w:r w:rsidRPr="009E1852">
              <w:t xml:space="preserve">Concurrency </w:t>
            </w:r>
            <w:r>
              <w:t>A</w:t>
            </w:r>
            <w:r w:rsidRPr="009E1852">
              <w:t>lternatives</w:t>
            </w:r>
            <w:bookmarkEnd w:id="158"/>
            <w:bookmarkEnd w:id="159"/>
            <w:bookmarkEnd w:id="160"/>
          </w:p>
        </w:tc>
      </w:tr>
      <w:tr w:rsidR="00225952" w:rsidRPr="007C475C" w:rsidTr="00225952">
        <w:tc>
          <w:tcPr>
            <w:tcW w:w="2253" w:type="dxa"/>
          </w:tcPr>
          <w:p w:rsidR="00225952" w:rsidRPr="008956F2" w:rsidRDefault="00225952" w:rsidP="00225952">
            <w:pPr>
              <w:pStyle w:val="HeadSideMain"/>
            </w:pPr>
          </w:p>
        </w:tc>
        <w:tc>
          <w:tcPr>
            <w:tcW w:w="7827" w:type="dxa"/>
            <w:gridSpan w:val="2"/>
          </w:tcPr>
          <w:p w:rsidR="00225952" w:rsidRDefault="00225952" w:rsidP="00CD306D">
            <w:pPr>
              <w:spacing w:after="60"/>
            </w:pPr>
            <w:r w:rsidRPr="008C6101">
              <w:t xml:space="preserve">Local governments may adopt </w:t>
            </w:r>
            <w:r>
              <w:t xml:space="preserve">the following </w:t>
            </w:r>
            <w:r w:rsidRPr="008C6101">
              <w:t xml:space="preserve">alternatives </w:t>
            </w:r>
            <w:r>
              <w:t>to</w:t>
            </w:r>
            <w:r w:rsidRPr="008C6101">
              <w:t xml:space="preserve"> transportation concurrency</w:t>
            </w:r>
            <w:r>
              <w:t xml:space="preserve">, </w:t>
            </w:r>
            <w:r w:rsidRPr="008C6101">
              <w:t>as pro</w:t>
            </w:r>
            <w:r>
              <w:t>vided in s.163.3180, F.S.:</w:t>
            </w:r>
          </w:p>
          <w:p w:rsidR="00225952" w:rsidRDefault="00225952" w:rsidP="00AD2D7A">
            <w:pPr>
              <w:pStyle w:val="BulletA"/>
              <w:numPr>
                <w:ilvl w:val="0"/>
                <w:numId w:val="83"/>
              </w:numPr>
            </w:pPr>
            <w:r w:rsidRPr="008C6101">
              <w:t>Transportation Concurrency Exception Areas (TCEAs)</w:t>
            </w:r>
            <w:r>
              <w:t>;</w:t>
            </w:r>
            <w:r w:rsidRPr="008C6101">
              <w:t xml:space="preserve"> </w:t>
            </w:r>
          </w:p>
          <w:p w:rsidR="00225952" w:rsidRDefault="00225952" w:rsidP="00AD2D7A">
            <w:pPr>
              <w:pStyle w:val="BulletA"/>
              <w:numPr>
                <w:ilvl w:val="0"/>
                <w:numId w:val="83"/>
              </w:numPr>
            </w:pPr>
            <w:r w:rsidRPr="008C6101">
              <w:t>Multimodal Tra</w:t>
            </w:r>
            <w:r>
              <w:t>nsportation Districts (MMTDs);</w:t>
            </w:r>
          </w:p>
          <w:p w:rsidR="00225952" w:rsidRDefault="00225952" w:rsidP="00AD2D7A">
            <w:pPr>
              <w:pStyle w:val="BulletA"/>
              <w:numPr>
                <w:ilvl w:val="0"/>
                <w:numId w:val="83"/>
              </w:numPr>
            </w:pPr>
            <w:r w:rsidRPr="008C6101">
              <w:t>Long-Term Concurrency Management System</w:t>
            </w:r>
            <w:r>
              <w:t>s</w:t>
            </w:r>
            <w:r w:rsidRPr="008C6101">
              <w:t xml:space="preserve"> (LTCMS)</w:t>
            </w:r>
            <w:r>
              <w:t xml:space="preserve">; </w:t>
            </w:r>
          </w:p>
          <w:p w:rsidR="00225952" w:rsidRDefault="00225952" w:rsidP="00AD2D7A">
            <w:pPr>
              <w:pStyle w:val="BulletA"/>
              <w:numPr>
                <w:ilvl w:val="0"/>
                <w:numId w:val="83"/>
              </w:numPr>
            </w:pPr>
            <w:r w:rsidRPr="008C6101">
              <w:t>Transportation Concurrency Management Areas (TCMAs)</w:t>
            </w:r>
            <w:r>
              <w:t>; and</w:t>
            </w:r>
          </w:p>
          <w:p w:rsidR="00225952" w:rsidRDefault="00225952" w:rsidP="00AD2D7A">
            <w:pPr>
              <w:pStyle w:val="BulletA"/>
              <w:numPr>
                <w:ilvl w:val="0"/>
                <w:numId w:val="83"/>
              </w:numPr>
              <w:spacing w:after="120"/>
            </w:pPr>
            <w:r>
              <w:t>Transportation Concurrency Backlog Authorities.</w:t>
            </w:r>
          </w:p>
        </w:tc>
      </w:tr>
      <w:tr w:rsidR="00225952" w:rsidRPr="007C475C" w:rsidTr="00225952">
        <w:tc>
          <w:tcPr>
            <w:tcW w:w="2253" w:type="dxa"/>
          </w:tcPr>
          <w:p w:rsidR="00225952" w:rsidRPr="008956F2" w:rsidRDefault="00225952" w:rsidP="00225952">
            <w:pPr>
              <w:pStyle w:val="HeadSideMain"/>
            </w:pPr>
          </w:p>
        </w:tc>
        <w:tc>
          <w:tcPr>
            <w:tcW w:w="7827" w:type="dxa"/>
            <w:gridSpan w:val="2"/>
          </w:tcPr>
          <w:p w:rsidR="00225952" w:rsidRPr="008C6101" w:rsidRDefault="00225952" w:rsidP="00BF02D4">
            <w:r>
              <w:t xml:space="preserve">Local governments implement </w:t>
            </w:r>
            <w:r w:rsidRPr="008C6101">
              <w:t>the</w:t>
            </w:r>
            <w:r>
              <w:t>se</w:t>
            </w:r>
            <w:r w:rsidRPr="008C6101">
              <w:t xml:space="preserve"> alternatives to meet the basic intent of concurrency by advancing planning objectives, including </w:t>
            </w:r>
            <w:r>
              <w:t xml:space="preserve">promoting </w:t>
            </w:r>
            <w:r w:rsidRPr="008C6101">
              <w:t xml:space="preserve">infill development in urban areas, </w:t>
            </w:r>
            <w:r>
              <w:t xml:space="preserve">fostering </w:t>
            </w:r>
            <w:r w:rsidRPr="008C6101">
              <w:t xml:space="preserve">alternative modes of transportation, or </w:t>
            </w:r>
            <w:r w:rsidRPr="008C6101">
              <w:lastRenderedPageBreak/>
              <w:t>addressing major system deficiencies</w:t>
            </w:r>
            <w:r>
              <w:t xml:space="preserve">.  In these areas, conventional roadway LOS may not apply or multimodal LOS may be used concurrently.  When reviewing these alternatives, the FDOT reviewer should focus on </w:t>
            </w:r>
            <w:r w:rsidRPr="008C6101">
              <w:t xml:space="preserve">potential impacts on the SHS and SIS </w:t>
            </w:r>
            <w:r>
              <w:t>facilities.</w:t>
            </w:r>
          </w:p>
        </w:tc>
      </w:tr>
      <w:tr w:rsidR="00225952" w:rsidRPr="007C475C" w:rsidTr="00225952">
        <w:tc>
          <w:tcPr>
            <w:tcW w:w="10080" w:type="dxa"/>
            <w:gridSpan w:val="3"/>
          </w:tcPr>
          <w:p w:rsidR="00225952" w:rsidRDefault="00225952">
            <w:pPr>
              <w:pStyle w:val="Heading3"/>
              <w:rPr>
                <w:bCs w:val="0"/>
              </w:rPr>
            </w:pPr>
            <w:bookmarkStart w:id="161" w:name="_Toc256487949"/>
            <w:bookmarkStart w:id="162" w:name="_Toc263447881"/>
            <w:bookmarkStart w:id="163" w:name="_Toc264274126"/>
            <w:r>
              <w:lastRenderedPageBreak/>
              <w:t xml:space="preserve">3.8.2 </w:t>
            </w:r>
            <w:r w:rsidRPr="008C6101">
              <w:t>Transportation Concurrency Exception Areas</w:t>
            </w:r>
            <w:bookmarkEnd w:id="161"/>
            <w:bookmarkEnd w:id="162"/>
            <w:bookmarkEnd w:id="163"/>
          </w:p>
        </w:tc>
      </w:tr>
      <w:tr w:rsidR="00225952" w:rsidRPr="007C475C" w:rsidTr="00225952">
        <w:tc>
          <w:tcPr>
            <w:tcW w:w="2253" w:type="dxa"/>
          </w:tcPr>
          <w:p w:rsidR="00225952" w:rsidRPr="008956F2" w:rsidRDefault="00AD5BD3" w:rsidP="00AD5BD3">
            <w:pPr>
              <w:pStyle w:val="Heading4"/>
            </w:pPr>
            <w:r>
              <w:t>TCEA</w:t>
            </w:r>
          </w:p>
        </w:tc>
        <w:tc>
          <w:tcPr>
            <w:tcW w:w="7827" w:type="dxa"/>
            <w:gridSpan w:val="2"/>
          </w:tcPr>
          <w:p w:rsidR="00225952" w:rsidRDefault="00225952" w:rsidP="00CD32CA">
            <w:r>
              <w:t>All or a portion of a community may be a Transportation Concurrency Exception Area (</w:t>
            </w:r>
            <w:r w:rsidRPr="008C6101">
              <w:t>TCEA</w:t>
            </w:r>
            <w:r>
              <w:t xml:space="preserve">), either because it is a Dense Urban Land Area (DULA) or because it has been designated as a TCEA within the local comprehensive plan. </w:t>
            </w:r>
          </w:p>
          <w:p w:rsidR="00225952" w:rsidRDefault="00225952" w:rsidP="00CD32CA">
            <w:r w:rsidRPr="005E5738">
              <w:rPr>
                <w:u w:val="single"/>
              </w:rPr>
              <w:t>TCEAs Designated by Local Initiative</w:t>
            </w:r>
            <w:r>
              <w:t xml:space="preserve">: </w:t>
            </w:r>
            <w:r w:rsidRPr="008C6101">
              <w:t xml:space="preserve">TCEAs are specifically defined urban areas </w:t>
            </w:r>
            <w:r>
              <w:t xml:space="preserve">and are </w:t>
            </w:r>
            <w:r w:rsidRPr="008C6101">
              <w:t>designated in the comprehensive plan to provide exceptions to the transportation concurrency requirement for the purposes of urban infill, urban redevelopment, downtown revitali</w:t>
            </w:r>
            <w:r>
              <w:t xml:space="preserve">zation, or urban infill and redevelopment (s.163.3180(5)(b)7., F.S.).  The primary purpose of a </w:t>
            </w:r>
            <w:r w:rsidRPr="008C6101">
              <w:t xml:space="preserve">TCEA </w:t>
            </w:r>
            <w:r>
              <w:t>is to minimize</w:t>
            </w:r>
            <w:r w:rsidRPr="008C6101">
              <w:t xml:space="preserve"> urban sprawl by allowing development to occur in urbanized areas where infrastructure already exists</w:t>
            </w:r>
            <w:r>
              <w:t xml:space="preserve">. </w:t>
            </w:r>
          </w:p>
        </w:tc>
      </w:tr>
      <w:tr w:rsidR="00E422F7" w:rsidRPr="007C475C" w:rsidTr="000569A8">
        <w:tc>
          <w:tcPr>
            <w:tcW w:w="2253" w:type="dxa"/>
          </w:tcPr>
          <w:p w:rsidR="00E422F7" w:rsidRPr="008956F2" w:rsidRDefault="00E422F7" w:rsidP="00225952">
            <w:pPr>
              <w:pStyle w:val="HeadSideMain"/>
            </w:pPr>
            <w:r w:rsidRPr="00912650">
              <w:t>Legal Authorities</w:t>
            </w:r>
          </w:p>
        </w:tc>
        <w:tc>
          <w:tcPr>
            <w:tcW w:w="3913" w:type="dxa"/>
          </w:tcPr>
          <w:p w:rsidR="00E422F7" w:rsidRPr="008C6101" w:rsidRDefault="00E422F7" w:rsidP="00225952">
            <w:pPr>
              <w:keepLines/>
              <w:autoSpaceDE w:val="0"/>
              <w:autoSpaceDN w:val="0"/>
              <w:adjustRightInd w:val="0"/>
              <w:spacing w:after="60"/>
              <w:ind w:right="432"/>
              <w:rPr>
                <w:b/>
                <w:bCs/>
                <w:sz w:val="24"/>
                <w:szCs w:val="24"/>
              </w:rPr>
            </w:pPr>
            <w:r w:rsidRPr="008C6101">
              <w:rPr>
                <w:b/>
                <w:bCs/>
                <w:sz w:val="24"/>
                <w:szCs w:val="24"/>
              </w:rPr>
              <w:t>Florida Statutes:</w:t>
            </w:r>
          </w:p>
          <w:p w:rsidR="00E422F7" w:rsidRPr="008C6101" w:rsidRDefault="00E422F7" w:rsidP="00AD2D7A">
            <w:pPr>
              <w:pStyle w:val="BulletA"/>
              <w:numPr>
                <w:ilvl w:val="0"/>
                <w:numId w:val="84"/>
              </w:numPr>
            </w:pPr>
            <w:r>
              <w:t xml:space="preserve"> </w:t>
            </w:r>
            <w:hyperlink r:id="rId159" w:history="1">
              <w:r w:rsidRPr="009D4B62">
                <w:rPr>
                  <w:rStyle w:val="Hyperlink"/>
                  <w:bCs/>
                  <w:szCs w:val="24"/>
                </w:rPr>
                <w:t>Section 163.3184(3)</w:t>
              </w:r>
            </w:hyperlink>
            <w:r>
              <w:t>, F.S.</w:t>
            </w:r>
          </w:p>
          <w:p w:rsidR="00E422F7" w:rsidRPr="008C6101" w:rsidRDefault="00E422F7" w:rsidP="00AD2D7A">
            <w:pPr>
              <w:pStyle w:val="BulletA"/>
              <w:numPr>
                <w:ilvl w:val="0"/>
                <w:numId w:val="84"/>
              </w:numPr>
            </w:pPr>
            <w:r>
              <w:t>Section 1</w:t>
            </w:r>
            <w:r w:rsidRPr="008C6101">
              <w:t>63.3184(4)</w:t>
            </w:r>
            <w:r>
              <w:t>, F.S.</w:t>
            </w:r>
          </w:p>
          <w:p w:rsidR="00E422F7" w:rsidRPr="008C6101" w:rsidRDefault="00E422F7" w:rsidP="00AD2D7A">
            <w:pPr>
              <w:pStyle w:val="BulletA"/>
              <w:numPr>
                <w:ilvl w:val="0"/>
                <w:numId w:val="84"/>
              </w:numPr>
            </w:pPr>
            <w:r>
              <w:t xml:space="preserve"> </w:t>
            </w:r>
            <w:hyperlink r:id="rId160" w:anchor="0163.3180" w:history="1">
              <w:r w:rsidRPr="00AC640F">
                <w:rPr>
                  <w:rStyle w:val="Hyperlink"/>
                  <w:bCs/>
                  <w:szCs w:val="24"/>
                </w:rPr>
                <w:t>Section 163.3180(1)(b), F.S</w:t>
              </w:r>
            </w:hyperlink>
            <w:r>
              <w:t>.</w:t>
            </w:r>
          </w:p>
          <w:p w:rsidR="00E422F7" w:rsidRPr="008C6101" w:rsidRDefault="00E422F7" w:rsidP="00AD2D7A">
            <w:pPr>
              <w:pStyle w:val="BulletA"/>
              <w:numPr>
                <w:ilvl w:val="0"/>
                <w:numId w:val="84"/>
              </w:numPr>
            </w:pPr>
            <w:r>
              <w:t>Section 1</w:t>
            </w:r>
            <w:r w:rsidRPr="008C6101">
              <w:t>63.3180(10)</w:t>
            </w:r>
            <w:r>
              <w:t>, F.S.</w:t>
            </w:r>
          </w:p>
        </w:tc>
        <w:tc>
          <w:tcPr>
            <w:tcW w:w="3914" w:type="dxa"/>
          </w:tcPr>
          <w:p w:rsidR="00E422F7" w:rsidRPr="007900DE" w:rsidRDefault="00E422F7" w:rsidP="00225952">
            <w:pPr>
              <w:autoSpaceDE w:val="0"/>
              <w:autoSpaceDN w:val="0"/>
              <w:adjustRightInd w:val="0"/>
              <w:spacing w:after="60"/>
              <w:ind w:right="432"/>
              <w:rPr>
                <w:b/>
                <w:bCs/>
                <w:sz w:val="24"/>
                <w:szCs w:val="24"/>
              </w:rPr>
            </w:pPr>
            <w:r w:rsidRPr="008C6101">
              <w:rPr>
                <w:b/>
                <w:bCs/>
                <w:sz w:val="24"/>
                <w:szCs w:val="24"/>
              </w:rPr>
              <w:t>Florida Administrative Code:</w:t>
            </w:r>
          </w:p>
          <w:p w:rsidR="00E422F7" w:rsidRPr="008C6101" w:rsidRDefault="00E422F7" w:rsidP="00AD2D7A">
            <w:pPr>
              <w:pStyle w:val="BulletA"/>
              <w:numPr>
                <w:ilvl w:val="0"/>
                <w:numId w:val="85"/>
              </w:numPr>
            </w:pPr>
            <w:r>
              <w:t>Rule</w:t>
            </w:r>
            <w:r w:rsidRPr="008C6101">
              <w:t xml:space="preserve"> 9J-5.0055(6)</w:t>
            </w:r>
            <w:r>
              <w:t>, F.A.C.</w:t>
            </w:r>
          </w:p>
          <w:p w:rsidR="00E422F7" w:rsidRPr="008C6101" w:rsidRDefault="00E422F7" w:rsidP="00AD2D7A">
            <w:pPr>
              <w:pStyle w:val="BulletA"/>
              <w:numPr>
                <w:ilvl w:val="0"/>
                <w:numId w:val="85"/>
              </w:numPr>
            </w:pPr>
            <w:r>
              <w:t xml:space="preserve">Rule </w:t>
            </w:r>
            <w:r w:rsidRPr="008C6101">
              <w:t>9J-5</w:t>
            </w:r>
            <w:r>
              <w:t>, F.A.C.</w:t>
            </w:r>
          </w:p>
          <w:p w:rsidR="00E422F7" w:rsidRDefault="00E422F7" w:rsidP="00AD2D7A">
            <w:pPr>
              <w:pStyle w:val="BulletA"/>
              <w:numPr>
                <w:ilvl w:val="0"/>
                <w:numId w:val="85"/>
              </w:numPr>
            </w:pPr>
            <w:r>
              <w:t xml:space="preserve">Rule </w:t>
            </w:r>
            <w:r w:rsidRPr="008C6101">
              <w:t>9J-11</w:t>
            </w:r>
            <w:r>
              <w:t>, F.A.C.</w:t>
            </w:r>
          </w:p>
        </w:tc>
      </w:tr>
      <w:tr w:rsidR="00225952" w:rsidRPr="007C475C" w:rsidTr="00225952">
        <w:tc>
          <w:tcPr>
            <w:tcW w:w="2253" w:type="dxa"/>
          </w:tcPr>
          <w:p w:rsidR="00225952" w:rsidRPr="008956F2" w:rsidRDefault="00745389" w:rsidP="00CC002A">
            <w:pPr>
              <w:pStyle w:val="ResourceLink"/>
            </w:pPr>
            <w:hyperlink w:anchor="R4" w:history="1">
              <w:r w:rsidR="00B13815" w:rsidRPr="00B13815">
                <w:rPr>
                  <w:rStyle w:val="Hyperlink"/>
                </w:rPr>
                <w:sym w:font="Wingdings" w:char="F0E8"/>
              </w:r>
            </w:hyperlink>
          </w:p>
        </w:tc>
        <w:tc>
          <w:tcPr>
            <w:tcW w:w="7827" w:type="dxa"/>
            <w:gridSpan w:val="2"/>
          </w:tcPr>
          <w:p w:rsidR="00225952" w:rsidRPr="0093057D" w:rsidRDefault="00225952" w:rsidP="00896DB2">
            <w:pPr>
              <w:pStyle w:val="ResourceNotTOC"/>
            </w:pPr>
            <w:r>
              <w:rPr>
                <w:color w:val="1D1B11"/>
              </w:rPr>
              <w:t>Resource Guide</w:t>
            </w:r>
            <w:r w:rsidRPr="00D2249E">
              <w:rPr>
                <w:color w:val="1D1B11"/>
              </w:rPr>
              <w:t xml:space="preserve"> 4.</w:t>
            </w:r>
            <w:r w:rsidRPr="00D2249E">
              <w:t xml:space="preserve">  Concurrency Alternatives</w:t>
            </w:r>
            <w:r>
              <w:t xml:space="preserve"> </w:t>
            </w:r>
          </w:p>
        </w:tc>
      </w:tr>
      <w:tr w:rsidR="00225952" w:rsidRPr="007C475C" w:rsidTr="00225952">
        <w:tc>
          <w:tcPr>
            <w:tcW w:w="2253" w:type="dxa"/>
          </w:tcPr>
          <w:p w:rsidR="00225952" w:rsidRPr="008956F2" w:rsidRDefault="00225952" w:rsidP="00225952">
            <w:pPr>
              <w:pStyle w:val="HeadSideMain"/>
            </w:pPr>
            <w:r w:rsidRPr="00870E8C">
              <w:t>Review Procedure</w:t>
            </w:r>
          </w:p>
        </w:tc>
        <w:tc>
          <w:tcPr>
            <w:tcW w:w="7827" w:type="dxa"/>
            <w:gridSpan w:val="2"/>
          </w:tcPr>
          <w:p w:rsidR="00225952" w:rsidRPr="008C6101" w:rsidRDefault="00225952" w:rsidP="00225952">
            <w:pPr>
              <w:autoSpaceDE w:val="0"/>
              <w:autoSpaceDN w:val="0"/>
              <w:adjustRightInd w:val="0"/>
              <w:spacing w:after="0"/>
              <w:ind w:right="432"/>
              <w:rPr>
                <w:b/>
                <w:bCs/>
                <w:i/>
                <w:sz w:val="24"/>
                <w:szCs w:val="24"/>
              </w:rPr>
            </w:pPr>
            <w:r>
              <w:rPr>
                <w:b/>
                <w:bCs/>
                <w:i/>
                <w:sz w:val="24"/>
                <w:szCs w:val="24"/>
              </w:rPr>
              <w:t>Required Information:</w:t>
            </w:r>
            <w:r w:rsidRPr="008C6101">
              <w:rPr>
                <w:b/>
                <w:bCs/>
                <w:i/>
                <w:sz w:val="24"/>
                <w:szCs w:val="24"/>
              </w:rPr>
              <w:t xml:space="preserve"> </w:t>
            </w:r>
          </w:p>
          <w:p w:rsidR="00225952" w:rsidRPr="008C6101" w:rsidRDefault="00225952" w:rsidP="00AD2D7A">
            <w:pPr>
              <w:pStyle w:val="BulletA"/>
              <w:numPr>
                <w:ilvl w:val="0"/>
                <w:numId w:val="86"/>
              </w:numPr>
            </w:pPr>
            <w:r w:rsidRPr="008C6101">
              <w:t>The TCEA comprehensive plan amendment</w:t>
            </w:r>
          </w:p>
          <w:p w:rsidR="00225952" w:rsidRPr="008C6101" w:rsidRDefault="00225952" w:rsidP="00AD2D7A">
            <w:pPr>
              <w:pStyle w:val="BulletA"/>
              <w:numPr>
                <w:ilvl w:val="0"/>
                <w:numId w:val="86"/>
              </w:numPr>
            </w:pPr>
            <w:r w:rsidRPr="008C6101">
              <w:t>Demonstration of comprehensive plan consistency</w:t>
            </w:r>
          </w:p>
          <w:p w:rsidR="00225952" w:rsidRPr="008C6101" w:rsidRDefault="00225952" w:rsidP="00AD2D7A">
            <w:pPr>
              <w:pStyle w:val="BulletA"/>
              <w:numPr>
                <w:ilvl w:val="0"/>
                <w:numId w:val="86"/>
              </w:numPr>
            </w:pPr>
            <w:r w:rsidRPr="008C6101">
              <w:t xml:space="preserve">The TCEA purpose and boundary justification </w:t>
            </w:r>
          </w:p>
          <w:p w:rsidR="00225952" w:rsidRPr="008C6101" w:rsidRDefault="00225952" w:rsidP="00AD2D7A">
            <w:pPr>
              <w:pStyle w:val="BulletA"/>
              <w:numPr>
                <w:ilvl w:val="0"/>
                <w:numId w:val="86"/>
              </w:numPr>
            </w:pPr>
            <w:r w:rsidRPr="008C6101">
              <w:t xml:space="preserve">The TCEA </w:t>
            </w:r>
            <w:r w:rsidR="00A72D9B">
              <w:t>multimodal</w:t>
            </w:r>
            <w:r w:rsidRPr="008C6101">
              <w:t xml:space="preserve"> transportation system</w:t>
            </w:r>
          </w:p>
          <w:p w:rsidR="00225952" w:rsidRPr="008C6101" w:rsidRDefault="00225952" w:rsidP="00AD2D7A">
            <w:pPr>
              <w:pStyle w:val="BulletA"/>
              <w:numPr>
                <w:ilvl w:val="0"/>
                <w:numId w:val="86"/>
              </w:numPr>
            </w:pPr>
            <w:r w:rsidRPr="008C6101">
              <w:t>Mobility and related strategies</w:t>
            </w:r>
          </w:p>
          <w:p w:rsidR="00225952" w:rsidRPr="008C6101" w:rsidRDefault="00225952" w:rsidP="00AD2D7A">
            <w:pPr>
              <w:pStyle w:val="BulletA"/>
              <w:numPr>
                <w:ilvl w:val="0"/>
                <w:numId w:val="86"/>
              </w:numPr>
            </w:pPr>
            <w:r w:rsidRPr="008C6101">
              <w:t>Land use categories and zoning within the TCEA</w:t>
            </w:r>
          </w:p>
          <w:p w:rsidR="00225952" w:rsidRPr="008C6101" w:rsidRDefault="00225952" w:rsidP="00AD2D7A">
            <w:pPr>
              <w:pStyle w:val="BulletA"/>
              <w:numPr>
                <w:ilvl w:val="0"/>
                <w:numId w:val="86"/>
              </w:numPr>
            </w:pPr>
            <w:r w:rsidRPr="008C6101">
              <w:t>Traffic Impact evaluation</w:t>
            </w:r>
          </w:p>
          <w:p w:rsidR="00896DB2" w:rsidRDefault="00225952" w:rsidP="00AD2D7A">
            <w:pPr>
              <w:pStyle w:val="BulletA"/>
              <w:numPr>
                <w:ilvl w:val="0"/>
                <w:numId w:val="86"/>
              </w:numPr>
            </w:pPr>
            <w:r>
              <w:t>Maps and f</w:t>
            </w:r>
            <w:r w:rsidRPr="008C6101">
              <w:t>igures</w:t>
            </w:r>
          </w:p>
          <w:p w:rsidR="00225952" w:rsidRPr="00D2249E" w:rsidRDefault="00225952" w:rsidP="00AD2D7A">
            <w:pPr>
              <w:pStyle w:val="BulletA"/>
              <w:numPr>
                <w:ilvl w:val="0"/>
                <w:numId w:val="86"/>
              </w:numPr>
              <w:spacing w:after="120"/>
            </w:pPr>
            <w:r>
              <w:rPr>
                <w:sz w:val="24"/>
                <w:szCs w:val="24"/>
              </w:rPr>
              <w:t xml:space="preserve"> </w:t>
            </w:r>
            <w:r w:rsidRPr="008C6101">
              <w:rPr>
                <w:sz w:val="24"/>
                <w:szCs w:val="24"/>
              </w:rPr>
              <w:t>The data and analysis used</w:t>
            </w:r>
          </w:p>
        </w:tc>
      </w:tr>
      <w:tr w:rsidR="00225952" w:rsidRPr="007C475C" w:rsidTr="00225952">
        <w:tc>
          <w:tcPr>
            <w:tcW w:w="2253" w:type="dxa"/>
          </w:tcPr>
          <w:p w:rsidR="00225952" w:rsidRPr="008C6101" w:rsidRDefault="00896DB2" w:rsidP="00225952">
            <w:pPr>
              <w:pStyle w:val="HeadSideMain"/>
              <w:rPr>
                <w:lang w:eastAsia="ko-KR"/>
              </w:rPr>
            </w:pPr>
            <w:r>
              <w:rPr>
                <w:rFonts w:asciiTheme="minorHAnsi" w:eastAsiaTheme="minorHAnsi" w:hAnsiTheme="minorHAnsi" w:cstheme="minorBidi"/>
                <w:b w:val="0"/>
                <w:bCs w:val="0"/>
                <w:i w:val="0"/>
                <w:color w:val="auto"/>
                <w:sz w:val="22"/>
                <w:szCs w:val="22"/>
              </w:rPr>
              <w:br w:type="page"/>
            </w:r>
            <w:r w:rsidR="00225952" w:rsidRPr="008C6101">
              <w:rPr>
                <w:lang w:eastAsia="ko-KR"/>
              </w:rPr>
              <w:t>Key Review Points</w:t>
            </w:r>
          </w:p>
          <w:p w:rsidR="00225952" w:rsidRPr="008956F2" w:rsidRDefault="00225952" w:rsidP="00225952">
            <w:pPr>
              <w:pStyle w:val="HeadSideMain"/>
            </w:pPr>
          </w:p>
        </w:tc>
        <w:tc>
          <w:tcPr>
            <w:tcW w:w="7827" w:type="dxa"/>
            <w:gridSpan w:val="2"/>
          </w:tcPr>
          <w:p w:rsidR="00225952" w:rsidRDefault="00225952" w:rsidP="00087603">
            <w:pPr>
              <w:spacing w:after="360"/>
            </w:pPr>
            <w:r w:rsidRPr="008C6101">
              <w:t>The FDOT reviewer should become familiar with the requirements for d</w:t>
            </w:r>
            <w:r>
              <w:t xml:space="preserve">esignating a TCEA based on Rule </w:t>
            </w:r>
            <w:r w:rsidRPr="008C6101">
              <w:t>9J-5.</w:t>
            </w:r>
            <w:r>
              <w:t>0055(6)</w:t>
            </w:r>
            <w:r w:rsidRPr="008C6101">
              <w:t xml:space="preserve">, </w:t>
            </w:r>
            <w:r>
              <w:t>F.A.C.:</w:t>
            </w:r>
          </w:p>
          <w:p w:rsidR="00225952" w:rsidRDefault="00225952" w:rsidP="00AD2D7A">
            <w:pPr>
              <w:pStyle w:val="BulletA"/>
              <w:numPr>
                <w:ilvl w:val="0"/>
                <w:numId w:val="87"/>
              </w:numPr>
              <w:rPr>
                <w:noProof/>
              </w:rPr>
            </w:pPr>
            <w:r w:rsidRPr="00EC45D7">
              <w:rPr>
                <w:noProof/>
              </w:rPr>
              <w:lastRenderedPageBreak/>
              <w:t>A specific geographic area, or areas, delineated in the local government comprehensive plan for urban infill development, urban redevelopment or d</w:t>
            </w:r>
            <w:r>
              <w:rPr>
                <w:noProof/>
              </w:rPr>
              <w:t>owntown revitalization.</w:t>
            </w:r>
          </w:p>
          <w:p w:rsidR="00225952" w:rsidRDefault="00225952" w:rsidP="00AD2D7A">
            <w:pPr>
              <w:pStyle w:val="BulletA"/>
              <w:numPr>
                <w:ilvl w:val="0"/>
                <w:numId w:val="87"/>
              </w:numPr>
              <w:rPr>
                <w:noProof/>
              </w:rPr>
            </w:pPr>
            <w:r w:rsidRPr="00EC45D7">
              <w:rPr>
                <w:noProof/>
              </w:rPr>
              <w:t>TCEAs should incorporate a wide range of strategies including, timing and staging plans, parking control and pricing policies, transportation demand management programs, transportation system management programs availability of public transportation, and utilization of creative financing tools for the provision of transportation services and facilities.</w:t>
            </w:r>
          </w:p>
        </w:tc>
      </w:tr>
      <w:tr w:rsidR="00225952" w:rsidRPr="007C475C" w:rsidTr="00225952">
        <w:tc>
          <w:tcPr>
            <w:tcW w:w="2253" w:type="dxa"/>
          </w:tcPr>
          <w:p w:rsidR="00225952" w:rsidRPr="008956F2" w:rsidRDefault="00225952" w:rsidP="00225952">
            <w:pPr>
              <w:pStyle w:val="HeadSideMain"/>
            </w:pPr>
          </w:p>
        </w:tc>
        <w:tc>
          <w:tcPr>
            <w:tcW w:w="7827" w:type="dxa"/>
            <w:gridSpan w:val="2"/>
          </w:tcPr>
          <w:p w:rsidR="00225952" w:rsidRPr="008C6101" w:rsidRDefault="00225952" w:rsidP="00087603">
            <w:pPr>
              <w:spacing w:after="120"/>
              <w:rPr>
                <w:rFonts w:eastAsia="Batang" w:cs="TimesNewRoman"/>
                <w:lang w:eastAsia="ko-KR"/>
              </w:rPr>
            </w:pPr>
            <w:r w:rsidRPr="008C6101">
              <w:t>The review documentation should include an evaluation of the transportation impacts associated with the TCEA</w:t>
            </w:r>
            <w:r>
              <w:t xml:space="preserve">.  </w:t>
            </w:r>
            <w:r w:rsidRPr="008C6101">
              <w:rPr>
                <w:rFonts w:eastAsia="Batang" w:cs="TimesNewRoman"/>
                <w:lang w:eastAsia="ko-KR"/>
              </w:rPr>
              <w:t>The FDOT reviewer should also consider the following</w:t>
            </w:r>
            <w:r>
              <w:rPr>
                <w:rFonts w:eastAsia="Batang" w:cs="TimesNewRoman"/>
                <w:lang w:eastAsia="ko-KR"/>
              </w:rPr>
              <w:t xml:space="preserve"> criteria</w:t>
            </w:r>
            <w:r w:rsidRPr="008C6101">
              <w:rPr>
                <w:rFonts w:eastAsia="Batang" w:cs="TimesNewRoman"/>
                <w:lang w:eastAsia="ko-KR"/>
              </w:rPr>
              <w:t>:</w:t>
            </w:r>
          </w:p>
          <w:p w:rsidR="00225952" w:rsidRPr="008C6101" w:rsidRDefault="00225952" w:rsidP="00AD2D7A">
            <w:pPr>
              <w:pStyle w:val="BulletA"/>
              <w:numPr>
                <w:ilvl w:val="0"/>
                <w:numId w:val="88"/>
              </w:numPr>
              <w:rPr>
                <w:lang w:eastAsia="ko-KR"/>
              </w:rPr>
            </w:pPr>
            <w:r w:rsidRPr="008C6101">
              <w:rPr>
                <w:lang w:eastAsia="ko-KR"/>
              </w:rPr>
              <w:t>TCEA size</w:t>
            </w:r>
          </w:p>
          <w:p w:rsidR="00225952" w:rsidRPr="008C6101" w:rsidRDefault="00225952" w:rsidP="00AD2D7A">
            <w:pPr>
              <w:pStyle w:val="BulletA"/>
              <w:numPr>
                <w:ilvl w:val="0"/>
                <w:numId w:val="88"/>
              </w:numPr>
              <w:rPr>
                <w:lang w:eastAsia="ko-KR"/>
              </w:rPr>
            </w:pPr>
            <w:r w:rsidRPr="008C6101">
              <w:rPr>
                <w:lang w:eastAsia="ko-KR"/>
              </w:rPr>
              <w:t>Study area</w:t>
            </w:r>
          </w:p>
          <w:p w:rsidR="00225952" w:rsidRPr="008C6101" w:rsidRDefault="00225952" w:rsidP="00AD2D7A">
            <w:pPr>
              <w:pStyle w:val="BulletA"/>
              <w:numPr>
                <w:ilvl w:val="0"/>
                <w:numId w:val="88"/>
              </w:numPr>
              <w:rPr>
                <w:lang w:eastAsia="ko-KR"/>
              </w:rPr>
            </w:pPr>
            <w:r w:rsidRPr="008C6101">
              <w:rPr>
                <w:lang w:eastAsia="ko-KR"/>
              </w:rPr>
              <w:t>Transportation impacts</w:t>
            </w:r>
            <w:r>
              <w:rPr>
                <w:lang w:eastAsia="ko-KR"/>
              </w:rPr>
              <w:t xml:space="preserve"> on major corridors</w:t>
            </w:r>
          </w:p>
          <w:p w:rsidR="00225952" w:rsidRPr="008C6101" w:rsidRDefault="00225952" w:rsidP="00AD2D7A">
            <w:pPr>
              <w:pStyle w:val="BulletA"/>
              <w:numPr>
                <w:ilvl w:val="0"/>
                <w:numId w:val="88"/>
              </w:numPr>
              <w:rPr>
                <w:lang w:eastAsia="ko-KR"/>
              </w:rPr>
            </w:pPr>
            <w:r w:rsidRPr="008C6101">
              <w:rPr>
                <w:lang w:eastAsia="ko-KR"/>
              </w:rPr>
              <w:t>Consisten</w:t>
            </w:r>
            <w:r>
              <w:rPr>
                <w:lang w:eastAsia="ko-KR"/>
              </w:rPr>
              <w:t>cy</w:t>
            </w:r>
            <w:r w:rsidRPr="008C6101">
              <w:rPr>
                <w:lang w:eastAsia="ko-KR"/>
              </w:rPr>
              <w:t xml:space="preserve"> with the </w:t>
            </w:r>
            <w:r>
              <w:rPr>
                <w:lang w:eastAsia="ko-KR"/>
              </w:rPr>
              <w:t>Future Land Use Element</w:t>
            </w:r>
          </w:p>
          <w:p w:rsidR="00225952" w:rsidRPr="008C6101" w:rsidRDefault="00225952" w:rsidP="00AD2D7A">
            <w:pPr>
              <w:pStyle w:val="BulletA"/>
              <w:numPr>
                <w:ilvl w:val="0"/>
                <w:numId w:val="88"/>
              </w:numPr>
              <w:rPr>
                <w:lang w:eastAsia="ko-KR"/>
              </w:rPr>
            </w:pPr>
            <w:r w:rsidRPr="008C6101">
              <w:rPr>
                <w:lang w:eastAsia="ko-KR"/>
              </w:rPr>
              <w:t>Consisten</w:t>
            </w:r>
            <w:r>
              <w:rPr>
                <w:lang w:eastAsia="ko-KR"/>
              </w:rPr>
              <w:t>cy</w:t>
            </w:r>
            <w:r w:rsidRPr="008C6101">
              <w:rPr>
                <w:lang w:eastAsia="ko-KR"/>
              </w:rPr>
              <w:t xml:space="preserve"> with the </w:t>
            </w:r>
            <w:r>
              <w:rPr>
                <w:lang w:eastAsia="ko-KR"/>
              </w:rPr>
              <w:t>Transportation Element</w:t>
            </w:r>
          </w:p>
          <w:p w:rsidR="00225952" w:rsidRDefault="00225952" w:rsidP="00AD2D7A">
            <w:pPr>
              <w:pStyle w:val="BulletA"/>
              <w:numPr>
                <w:ilvl w:val="0"/>
                <w:numId w:val="88"/>
              </w:numPr>
              <w:spacing w:after="120"/>
              <w:rPr>
                <w:lang w:eastAsia="ko-KR"/>
              </w:rPr>
            </w:pPr>
            <w:r w:rsidRPr="008C6101">
              <w:rPr>
                <w:lang w:eastAsia="ko-KR"/>
              </w:rPr>
              <w:t>Consisten</w:t>
            </w:r>
            <w:r>
              <w:rPr>
                <w:lang w:eastAsia="ko-KR"/>
              </w:rPr>
              <w:t>cy</w:t>
            </w:r>
            <w:r w:rsidRPr="008C6101">
              <w:rPr>
                <w:lang w:eastAsia="ko-KR"/>
              </w:rPr>
              <w:t xml:space="preserve"> with the Capital Improvements Element</w:t>
            </w:r>
          </w:p>
        </w:tc>
      </w:tr>
      <w:tr w:rsidR="00225952" w:rsidRPr="007C475C" w:rsidTr="00225952">
        <w:tc>
          <w:tcPr>
            <w:tcW w:w="2253" w:type="dxa"/>
          </w:tcPr>
          <w:p w:rsidR="00225952" w:rsidRPr="008956F2" w:rsidRDefault="00225952" w:rsidP="00225952">
            <w:pPr>
              <w:pStyle w:val="HeadSideMain"/>
            </w:pPr>
          </w:p>
        </w:tc>
        <w:tc>
          <w:tcPr>
            <w:tcW w:w="7827" w:type="dxa"/>
            <w:gridSpan w:val="2"/>
          </w:tcPr>
          <w:p w:rsidR="00225952" w:rsidRPr="008C6101" w:rsidRDefault="00225952" w:rsidP="00087603">
            <w:pPr>
              <w:spacing w:after="120"/>
            </w:pPr>
            <w:r w:rsidRPr="008C6101">
              <w:t>The FDO</w:t>
            </w:r>
            <w:r>
              <w:t xml:space="preserve">T reviewer should focus on </w:t>
            </w:r>
            <w:r w:rsidRPr="008C6101">
              <w:t>strategies that address network connectivity, mitigate impacts to the SIS, support and fund mobility, and implement alternative modes of transportation</w:t>
            </w:r>
            <w:r>
              <w:t xml:space="preserve">.  </w:t>
            </w:r>
            <w:r w:rsidRPr="008C6101">
              <w:t>Another goal of a TCEA is to improve mobility through various modes of transportation while reducing the demand for automobile travel</w:t>
            </w:r>
            <w:r>
              <w:t xml:space="preserve">.  </w:t>
            </w:r>
            <w:r w:rsidRPr="008C6101">
              <w:t>Short-term and long-term improvements for the various modes of transportation within the TCEA should be identified, including public tr</w:t>
            </w:r>
            <w:r>
              <w:t>ansit, walking, or cycling.</w:t>
            </w:r>
          </w:p>
          <w:p w:rsidR="00225952" w:rsidRDefault="00225952" w:rsidP="00087603">
            <w:pPr>
              <w:spacing w:after="120"/>
            </w:pPr>
            <w:r>
              <w:t xml:space="preserve">The amendment should contain policies to ensure </w:t>
            </w:r>
            <w:r w:rsidRPr="008C6101">
              <w:t>network connectivity between pedestrian, bicycle, and transit alternatives within and the TCEA and surrounding areas</w:t>
            </w:r>
            <w:r>
              <w:t xml:space="preserve">.  </w:t>
            </w:r>
            <w:r w:rsidRPr="008C6101">
              <w:t>One mode of transportation should n</w:t>
            </w:r>
            <w:r>
              <w:t>ot be overlooked</w:t>
            </w:r>
            <w:r w:rsidRPr="008C6101">
              <w:t xml:space="preserve"> to promote th</w:t>
            </w:r>
            <w:r>
              <w:t>e connectivity of another mode.</w:t>
            </w:r>
          </w:p>
        </w:tc>
      </w:tr>
      <w:tr w:rsidR="00225952" w:rsidRPr="007C475C" w:rsidTr="00225952">
        <w:tc>
          <w:tcPr>
            <w:tcW w:w="2253" w:type="dxa"/>
          </w:tcPr>
          <w:p w:rsidR="00225952" w:rsidRPr="008956F2" w:rsidRDefault="00225952" w:rsidP="00225952">
            <w:pPr>
              <w:pStyle w:val="HeadSideMain"/>
            </w:pPr>
          </w:p>
        </w:tc>
        <w:tc>
          <w:tcPr>
            <w:tcW w:w="7827" w:type="dxa"/>
            <w:gridSpan w:val="2"/>
          </w:tcPr>
          <w:p w:rsidR="00225952" w:rsidRDefault="00225952" w:rsidP="00087603">
            <w:pPr>
              <w:spacing w:after="120"/>
              <w:rPr>
                <w:bCs/>
              </w:rPr>
            </w:pPr>
            <w:r w:rsidRPr="00640970">
              <w:t xml:space="preserve">The review analysis should show transportation and land use strategies to mitigate impacts to the state-funded facilities and should coordinate with the FDOT prior to any update or designation of a new TCEA.  The FDOT </w:t>
            </w:r>
            <w:r>
              <w:t xml:space="preserve">reviewer </w:t>
            </w:r>
            <w:r w:rsidRPr="00640970">
              <w:t>should obtain, if available, annual reports, LOS monitoring, evaluations, or traffic studies to determine impacts to the state-controlled facilities.</w:t>
            </w:r>
          </w:p>
        </w:tc>
      </w:tr>
      <w:tr w:rsidR="00225952" w:rsidRPr="007C475C" w:rsidTr="00225952">
        <w:tc>
          <w:tcPr>
            <w:tcW w:w="2253" w:type="dxa"/>
          </w:tcPr>
          <w:p w:rsidR="00225952" w:rsidRPr="008956F2" w:rsidRDefault="00225952" w:rsidP="00225952">
            <w:pPr>
              <w:pStyle w:val="HeadSideMain"/>
            </w:pPr>
          </w:p>
        </w:tc>
        <w:tc>
          <w:tcPr>
            <w:tcW w:w="7827" w:type="dxa"/>
            <w:gridSpan w:val="2"/>
          </w:tcPr>
          <w:p w:rsidR="00225952" w:rsidRPr="00AF70F0" w:rsidRDefault="00225952" w:rsidP="00896DB2">
            <w:r w:rsidRPr="008C6101">
              <w:t xml:space="preserve">The Capital Improvement Element should identify funding sources for implementing </w:t>
            </w:r>
            <w:r>
              <w:t xml:space="preserve">TCEA </w:t>
            </w:r>
            <w:r w:rsidRPr="008C6101">
              <w:t>mobility strategies and capital improvements</w:t>
            </w:r>
            <w:r>
              <w:t xml:space="preserve">.  </w:t>
            </w:r>
            <w:r w:rsidRPr="008C6101">
              <w:t>These may include community redevelopment taxes and grants and mitigation contributions</w:t>
            </w:r>
            <w:r>
              <w:t xml:space="preserve">.  </w:t>
            </w:r>
            <w:r w:rsidRPr="008C6101">
              <w:t>Mobility</w:t>
            </w:r>
            <w:r>
              <w:t xml:space="preserve"> projects</w:t>
            </w:r>
            <w:r w:rsidRPr="008C6101">
              <w:t xml:space="preserve"> within a T</w:t>
            </w:r>
            <w:r>
              <w:t>CEA may be funded by public or private partnerships.</w:t>
            </w:r>
          </w:p>
        </w:tc>
      </w:tr>
      <w:tr w:rsidR="00225952" w:rsidRPr="007C475C" w:rsidTr="00225952">
        <w:tc>
          <w:tcPr>
            <w:tcW w:w="10080" w:type="dxa"/>
            <w:gridSpan w:val="3"/>
          </w:tcPr>
          <w:p w:rsidR="00225952" w:rsidRDefault="00EC35D1">
            <w:pPr>
              <w:pStyle w:val="Heading3"/>
              <w:rPr>
                <w:bCs w:val="0"/>
              </w:rPr>
            </w:pPr>
            <w:bookmarkStart w:id="164" w:name="_Toc256487950"/>
            <w:bookmarkStart w:id="165" w:name="_Toc263447882"/>
            <w:r>
              <w:rPr>
                <w:b w:val="0"/>
                <w:bCs w:val="0"/>
              </w:rPr>
              <w:lastRenderedPageBreak/>
              <w:br w:type="page"/>
            </w:r>
            <w:bookmarkStart w:id="166" w:name="_Toc264274127"/>
            <w:r w:rsidR="00225952">
              <w:t xml:space="preserve">3.8.3 </w:t>
            </w:r>
            <w:r w:rsidR="00225952" w:rsidRPr="009E1852">
              <w:t>Dense Urban Land Area TCEAs</w:t>
            </w:r>
            <w:bookmarkEnd w:id="164"/>
            <w:bookmarkEnd w:id="165"/>
            <w:bookmarkEnd w:id="166"/>
          </w:p>
        </w:tc>
      </w:tr>
      <w:tr w:rsidR="00225952" w:rsidRPr="007C475C" w:rsidTr="00225952">
        <w:tc>
          <w:tcPr>
            <w:tcW w:w="2253" w:type="dxa"/>
          </w:tcPr>
          <w:p w:rsidR="00225952" w:rsidRPr="008956F2" w:rsidRDefault="00AD5BD3" w:rsidP="00AD5BD3">
            <w:pPr>
              <w:pStyle w:val="Heading4"/>
            </w:pPr>
            <w:r>
              <w:t>DULA</w:t>
            </w:r>
          </w:p>
        </w:tc>
        <w:tc>
          <w:tcPr>
            <w:tcW w:w="7827" w:type="dxa"/>
            <w:gridSpan w:val="2"/>
          </w:tcPr>
          <w:p w:rsidR="00225952" w:rsidRDefault="00225952">
            <w:r>
              <w:t xml:space="preserve">Dense Urban Land Areas (DULAs) are established pursuant to </w:t>
            </w:r>
            <w:hyperlink r:id="rId161" w:anchor="0163.3164" w:history="1">
              <w:r w:rsidRPr="009D4B62">
                <w:rPr>
                  <w:rStyle w:val="Hyperlink"/>
                  <w:bCs/>
                  <w:szCs w:val="24"/>
                </w:rPr>
                <w:t>s.163.3164(34)</w:t>
              </w:r>
            </w:hyperlink>
            <w:r>
              <w:t>, F.S.</w:t>
            </w:r>
            <w:r w:rsidRPr="0042357F">
              <w:t xml:space="preserve"> </w:t>
            </w:r>
            <w:r>
              <w:t xml:space="preserve"> </w:t>
            </w:r>
            <w:r>
              <w:rPr>
                <w:rFonts w:eastAsia="Batang" w:cs="Slimbach-Book"/>
                <w:lang w:eastAsia="ko-KR"/>
              </w:rPr>
              <w:t>Changes to Chapter 163, F.S., enacted in 2009 require all jurisdictions designated as DULAs to adopt within two years land use and transportation strategies to support and fund mobility.  These changes place a strong emphasis on local government planning for mobility as part on the overall comprehensive plan.  L</w:t>
            </w:r>
            <w:r w:rsidRPr="007203C9">
              <w:t>ocal governments are also encouraged to adopt complementary land use and transportation strategies that reflect the region's shared vision for its future (</w:t>
            </w:r>
            <w:hyperlink r:id="rId162" w:anchor="0163.3180" w:history="1">
              <w:r w:rsidRPr="00AC640F">
                <w:rPr>
                  <w:rStyle w:val="Hyperlink"/>
                  <w:szCs w:val="24"/>
                </w:rPr>
                <w:t>s.163.3180(5)(b)4., F.S.</w:t>
              </w:r>
            </w:hyperlink>
            <w:r w:rsidRPr="007203C9">
              <w:t>)</w:t>
            </w:r>
            <w:r>
              <w:t>.</w:t>
            </w:r>
          </w:p>
        </w:tc>
      </w:tr>
      <w:tr w:rsidR="00225952" w:rsidRPr="007C475C" w:rsidTr="00225952">
        <w:tc>
          <w:tcPr>
            <w:tcW w:w="2253" w:type="dxa"/>
          </w:tcPr>
          <w:p w:rsidR="00225952" w:rsidRPr="008956F2" w:rsidRDefault="00225952" w:rsidP="00225952">
            <w:pPr>
              <w:pStyle w:val="HeadSideMain"/>
            </w:pPr>
          </w:p>
        </w:tc>
        <w:tc>
          <w:tcPr>
            <w:tcW w:w="7827" w:type="dxa"/>
            <w:gridSpan w:val="2"/>
          </w:tcPr>
          <w:p w:rsidR="00225952" w:rsidRDefault="00225952" w:rsidP="00896DB2">
            <w:pPr>
              <w:spacing w:after="60"/>
            </w:pPr>
            <w:r>
              <w:t xml:space="preserve">Dense Urban Land Areas </w:t>
            </w:r>
            <w:r w:rsidRPr="0042357F">
              <w:t>are defined as</w:t>
            </w:r>
            <w:r>
              <w:t>:</w:t>
            </w:r>
          </w:p>
          <w:p w:rsidR="00225952" w:rsidRPr="00C1423C" w:rsidRDefault="00225952" w:rsidP="00AD2D7A">
            <w:pPr>
              <w:pStyle w:val="BulletA"/>
              <w:numPr>
                <w:ilvl w:val="0"/>
                <w:numId w:val="89"/>
              </w:numPr>
            </w:pPr>
            <w:r w:rsidRPr="00C1423C">
              <w:t>A municipality that has an average of at least 1,000 people per square</w:t>
            </w:r>
            <w:r>
              <w:t xml:space="preserve"> </w:t>
            </w:r>
            <w:r w:rsidRPr="00C1423C">
              <w:t>mile of land area and a minimum total population of at least 5,000;</w:t>
            </w:r>
          </w:p>
          <w:p w:rsidR="00225952" w:rsidRPr="00C1423C" w:rsidRDefault="00225952" w:rsidP="00AD2D7A">
            <w:pPr>
              <w:pStyle w:val="BulletA"/>
              <w:numPr>
                <w:ilvl w:val="0"/>
                <w:numId w:val="89"/>
              </w:numPr>
            </w:pPr>
            <w:r w:rsidRPr="00C1423C">
              <w:t>A county, including the municipalities located therein, which has an</w:t>
            </w:r>
            <w:r>
              <w:t xml:space="preserve"> </w:t>
            </w:r>
            <w:r w:rsidRPr="00C1423C">
              <w:t>average of at least 1,000 people per square mile of land area; or</w:t>
            </w:r>
          </w:p>
          <w:p w:rsidR="00225952" w:rsidRDefault="00225952" w:rsidP="00AD2D7A">
            <w:pPr>
              <w:pStyle w:val="BulletA"/>
              <w:numPr>
                <w:ilvl w:val="0"/>
                <w:numId w:val="89"/>
              </w:numPr>
              <w:spacing w:after="120"/>
            </w:pPr>
            <w:r w:rsidRPr="00C1423C">
              <w:t>A county, including the municipalities located therein, which has a</w:t>
            </w:r>
            <w:r>
              <w:t xml:space="preserve"> </w:t>
            </w:r>
            <w:r w:rsidRPr="00C1423C">
              <w:t>population of at least 1 million</w:t>
            </w:r>
            <w:r>
              <w:t>. Miami-Dade and Broward Counties are the exceptions.</w:t>
            </w:r>
          </w:p>
        </w:tc>
      </w:tr>
      <w:tr w:rsidR="00225952" w:rsidRPr="007C475C" w:rsidTr="00225952">
        <w:tc>
          <w:tcPr>
            <w:tcW w:w="2253" w:type="dxa"/>
          </w:tcPr>
          <w:p w:rsidR="00225952" w:rsidRPr="008956F2" w:rsidRDefault="00225952" w:rsidP="00225952">
            <w:pPr>
              <w:pStyle w:val="HeadSideMain"/>
            </w:pPr>
          </w:p>
        </w:tc>
        <w:tc>
          <w:tcPr>
            <w:tcW w:w="7827" w:type="dxa"/>
            <w:gridSpan w:val="2"/>
          </w:tcPr>
          <w:p w:rsidR="00225952" w:rsidRDefault="00225952" w:rsidP="00896DB2">
            <w:pPr>
              <w:spacing w:after="60"/>
            </w:pPr>
            <w:r w:rsidRPr="00711F60">
              <w:t>The d</w:t>
            </w:r>
            <w:r>
              <w:t xml:space="preserve">esignation as a DULA has implications for transportation concurrency and land use planning.  </w:t>
            </w:r>
            <w:r w:rsidRPr="0042357F">
              <w:t>All DULAs are designated as TCEAs</w:t>
            </w:r>
            <w:r>
              <w:t xml:space="preserve"> with respect to statewide concurrency requirements (which, see below).  However, i</w:t>
            </w:r>
            <w:r w:rsidRPr="0042357F">
              <w:t xml:space="preserve">t is important for the reviewer to be familiar with the </w:t>
            </w:r>
            <w:r>
              <w:t xml:space="preserve">specific </w:t>
            </w:r>
            <w:r w:rsidRPr="0042357F">
              <w:t xml:space="preserve">statutory </w:t>
            </w:r>
            <w:r>
              <w:t>directives</w:t>
            </w:r>
            <w:r w:rsidRPr="0042357F">
              <w:t xml:space="preserve"> </w:t>
            </w:r>
            <w:r>
              <w:t>applicable to DULAs.  Under s.163.3180(5)(b), F.S., the following jurisdictions also are TCEAs:</w:t>
            </w:r>
          </w:p>
          <w:p w:rsidR="00225952" w:rsidRPr="00896DB2" w:rsidRDefault="00225952" w:rsidP="00AD2D7A">
            <w:pPr>
              <w:pStyle w:val="BulletA"/>
              <w:numPr>
                <w:ilvl w:val="0"/>
                <w:numId w:val="90"/>
              </w:numPr>
            </w:pPr>
            <w:r w:rsidRPr="0061477C">
              <w:rPr>
                <w:rFonts w:cs="NewCenturySchlbk-Roman"/>
                <w:sz w:val="24"/>
                <w:szCs w:val="24"/>
              </w:rPr>
              <w:t xml:space="preserve">A </w:t>
            </w:r>
            <w:r w:rsidRPr="00896DB2">
              <w:t>municipality that qualified as a DULA.</w:t>
            </w:r>
          </w:p>
          <w:p w:rsidR="00225952" w:rsidRPr="00896DB2" w:rsidRDefault="00225952" w:rsidP="00AD2D7A">
            <w:pPr>
              <w:pStyle w:val="BulletA"/>
              <w:numPr>
                <w:ilvl w:val="0"/>
                <w:numId w:val="90"/>
              </w:numPr>
            </w:pPr>
            <w:r w:rsidRPr="00896DB2">
              <w:t>The urban service areas that are adopted into the comprehensive plans of DULA counties.</w:t>
            </w:r>
          </w:p>
          <w:p w:rsidR="00225952" w:rsidRDefault="00225952" w:rsidP="00AD2D7A">
            <w:pPr>
              <w:pStyle w:val="BulletA"/>
              <w:numPr>
                <w:ilvl w:val="0"/>
                <w:numId w:val="90"/>
              </w:numPr>
              <w:spacing w:after="120"/>
              <w:rPr>
                <w:rFonts w:cs="NewCenturySchlbk-Roman"/>
                <w:sz w:val="24"/>
                <w:szCs w:val="24"/>
              </w:rPr>
            </w:pPr>
            <w:r w:rsidRPr="00896DB2">
              <w:t>A county which</w:t>
            </w:r>
            <w:r w:rsidRPr="0061477C">
              <w:rPr>
                <w:rFonts w:cs="NewCenturySchlbk-Roman"/>
                <w:sz w:val="24"/>
                <w:szCs w:val="24"/>
              </w:rPr>
              <w:t xml:space="preserve"> has a population of at least 900,000 and qualified as a DULA but does not have an adopted urban service area.</w:t>
            </w:r>
          </w:p>
        </w:tc>
      </w:tr>
      <w:tr w:rsidR="00225952" w:rsidRPr="007C475C" w:rsidTr="00225952">
        <w:tc>
          <w:tcPr>
            <w:tcW w:w="2253" w:type="dxa"/>
          </w:tcPr>
          <w:p w:rsidR="00225952" w:rsidRDefault="00AB3325" w:rsidP="00AB3325">
            <w:pPr>
              <w:pStyle w:val="HeadSideMain"/>
              <w:spacing w:before="360"/>
            </w:pPr>
            <w:r w:rsidRPr="00AB3325">
              <w:rPr>
                <w:noProof/>
              </w:rPr>
              <w:drawing>
                <wp:inline distT="0" distB="0" distL="0" distR="0">
                  <wp:extent cx="1280160" cy="494466"/>
                  <wp:effectExtent l="19050" t="0" r="0" b="0"/>
                  <wp:docPr id="554" name="Picture 96" descr="button_web.png">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button_web.png"/>
                          <pic:cNvPicPr>
                            <a:picLocks noChangeAspect="1" noChangeArrowheads="1"/>
                          </pic:cNvPicPr>
                        </pic:nvPicPr>
                        <pic:blipFill>
                          <a:blip r:embed="rId26" cstate="print"/>
                          <a:srcRect/>
                          <a:stretch>
                            <a:fillRect/>
                          </a:stretch>
                        </pic:blipFill>
                        <pic:spPr bwMode="auto">
                          <a:xfrm>
                            <a:off x="0" y="0"/>
                            <a:ext cx="1280160" cy="494466"/>
                          </a:xfrm>
                          <a:prstGeom prst="rect">
                            <a:avLst/>
                          </a:prstGeom>
                          <a:noFill/>
                          <a:ln w="9525">
                            <a:noFill/>
                            <a:miter lim="800000"/>
                            <a:headEnd/>
                            <a:tailEnd/>
                          </a:ln>
                        </pic:spPr>
                      </pic:pic>
                    </a:graphicData>
                  </a:graphic>
                </wp:inline>
              </w:drawing>
            </w:r>
          </w:p>
          <w:p w:rsidR="00AB3325" w:rsidRPr="008956F2" w:rsidRDefault="00AB3325" w:rsidP="00AB3325">
            <w:pPr>
              <w:pStyle w:val="HeadSide2"/>
              <w:jc w:val="center"/>
            </w:pPr>
            <w:r>
              <w:t>List of counties</w:t>
            </w:r>
          </w:p>
        </w:tc>
        <w:tc>
          <w:tcPr>
            <w:tcW w:w="7827" w:type="dxa"/>
            <w:gridSpan w:val="2"/>
          </w:tcPr>
          <w:p w:rsidR="00225952" w:rsidRDefault="00225952" w:rsidP="00087603">
            <w:pPr>
              <w:rPr>
                <w:sz w:val="20"/>
              </w:rPr>
            </w:pPr>
            <w:r>
              <w:t>Eight counties and 246 local governments were designated as DULAs (and therefore as TCEAs) in 2009.  Because populations change and cities incorporate or annex, the FDOT reviewer should check annually which jurisdictions in the District are DULAs.  The list of designated counties and municipalities is posted on the DCA website</w:t>
            </w:r>
            <w:r w:rsidR="00087603">
              <w:t>.</w:t>
            </w:r>
          </w:p>
        </w:tc>
      </w:tr>
      <w:tr w:rsidR="00225952" w:rsidRPr="007C475C" w:rsidTr="00225952">
        <w:tc>
          <w:tcPr>
            <w:tcW w:w="2253" w:type="dxa"/>
          </w:tcPr>
          <w:p w:rsidR="00225952" w:rsidRDefault="00AB3325" w:rsidP="00AB3325">
            <w:pPr>
              <w:pStyle w:val="HeadSideMain"/>
              <w:spacing w:before="360"/>
            </w:pPr>
            <w:r w:rsidRPr="00AB3325">
              <w:rPr>
                <w:noProof/>
              </w:rPr>
              <w:drawing>
                <wp:inline distT="0" distB="0" distL="0" distR="0">
                  <wp:extent cx="1280160" cy="494466"/>
                  <wp:effectExtent l="19050" t="0" r="0" b="0"/>
                  <wp:docPr id="555" name="Picture 96" descr="button_web.png">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button_web.png"/>
                          <pic:cNvPicPr>
                            <a:picLocks noChangeAspect="1" noChangeArrowheads="1"/>
                          </pic:cNvPicPr>
                        </pic:nvPicPr>
                        <pic:blipFill>
                          <a:blip r:embed="rId26" cstate="print"/>
                          <a:srcRect/>
                          <a:stretch>
                            <a:fillRect/>
                          </a:stretch>
                        </pic:blipFill>
                        <pic:spPr bwMode="auto">
                          <a:xfrm>
                            <a:off x="0" y="0"/>
                            <a:ext cx="1280160" cy="494466"/>
                          </a:xfrm>
                          <a:prstGeom prst="rect">
                            <a:avLst/>
                          </a:prstGeom>
                          <a:noFill/>
                          <a:ln w="9525">
                            <a:noFill/>
                            <a:miter lim="800000"/>
                            <a:headEnd/>
                            <a:tailEnd/>
                          </a:ln>
                        </pic:spPr>
                      </pic:pic>
                    </a:graphicData>
                  </a:graphic>
                </wp:inline>
              </w:drawing>
            </w:r>
          </w:p>
          <w:p w:rsidR="00AB3325" w:rsidRPr="008956F2" w:rsidRDefault="00AB3325" w:rsidP="00AB3325">
            <w:pPr>
              <w:pStyle w:val="HeadSide2"/>
              <w:jc w:val="center"/>
            </w:pPr>
            <w:r>
              <w:t>Notice</w:t>
            </w:r>
          </w:p>
        </w:tc>
        <w:tc>
          <w:tcPr>
            <w:tcW w:w="7827" w:type="dxa"/>
            <w:gridSpan w:val="2"/>
          </w:tcPr>
          <w:p w:rsidR="00225952" w:rsidRDefault="00225952" w:rsidP="00087603">
            <w:r>
              <w:t>The state transportation concurrency requirements are not mandated in these areas.  However, any local ordinances (including the comprehensive plan) that establish transportation concurrency are still in effect unless the local government amends its comprehensive plan to remove them.  Refer to the DCA website for further direction on this issue</w:t>
            </w:r>
            <w:r w:rsidR="00087603">
              <w:t>.</w:t>
            </w:r>
          </w:p>
        </w:tc>
      </w:tr>
      <w:tr w:rsidR="00225952" w:rsidRPr="007C475C" w:rsidTr="00225952">
        <w:tc>
          <w:tcPr>
            <w:tcW w:w="2253" w:type="dxa"/>
          </w:tcPr>
          <w:p w:rsidR="00225952" w:rsidRPr="008956F2" w:rsidRDefault="00AB3325" w:rsidP="00225952">
            <w:pPr>
              <w:pStyle w:val="HeadSideMain"/>
            </w:pPr>
            <w:r>
              <w:rPr>
                <w:b w:val="0"/>
                <w:bCs w:val="0"/>
                <w:i w:val="0"/>
              </w:rPr>
              <w:lastRenderedPageBreak/>
              <w:br w:type="page"/>
            </w:r>
          </w:p>
        </w:tc>
        <w:tc>
          <w:tcPr>
            <w:tcW w:w="7827" w:type="dxa"/>
            <w:gridSpan w:val="2"/>
          </w:tcPr>
          <w:p w:rsidR="00AD5BD3" w:rsidRDefault="00225952" w:rsidP="00AD5BD3">
            <w:r>
              <w:t xml:space="preserve">A local government’s future land use plan amendments within all DULAs/TCEAs that are designated and maintained in accordance with </w:t>
            </w:r>
            <w:hyperlink r:id="rId165" w:anchor="0163.3180" w:history="1">
              <w:r w:rsidRPr="00AC640F">
                <w:rPr>
                  <w:rStyle w:val="Hyperlink"/>
                  <w:bCs/>
                  <w:szCs w:val="24"/>
                </w:rPr>
                <w:t>s.163.3180(5), F.S</w:t>
              </w:r>
            </w:hyperlink>
            <w:r>
              <w:t xml:space="preserve">., shall be deemed to meet the requirement to achieve and maintain level of service standards for transportation (s.163.3177(f), F.S.).  Thus, plan amendments within DULAs may not be reviewed for consistency with state transportation LOS standards.  However, when reviewing proposed plan amendment, FDOT reviewers should comment on any proposals that do not reflect sound planning practice or would have the effect of creating future transportation-related issues, including impacts to the SIS.  These issues may require consultation with local governments outside the formal plan amendment review process.  In addition, local governments that must prepare mobility plans for these areas will require a great deal of technical assistance from FDOT to ensure that the plans actually address mobility needs even in the absence of using an LOS standard as a review criterion during the plan amendment process. </w:t>
            </w:r>
          </w:p>
        </w:tc>
      </w:tr>
    </w:tbl>
    <w:p w:rsidR="00AD5BD3" w:rsidRDefault="00AD5BD3">
      <w:bookmarkStart w:id="167" w:name="_Toc256487951"/>
      <w:bookmarkStart w:id="168" w:name="_Toc263447883"/>
      <w:r>
        <w:rPr>
          <w:b/>
          <w:bCs/>
        </w:rPr>
        <w:br w:type="page"/>
      </w:r>
    </w:p>
    <w:tbl>
      <w:tblPr>
        <w:tblW w:w="10080" w:type="dxa"/>
        <w:tblInd w:w="115" w:type="dxa"/>
        <w:tblLayout w:type="fixed"/>
        <w:tblCellMar>
          <w:left w:w="115" w:type="dxa"/>
          <w:right w:w="115" w:type="dxa"/>
        </w:tblCellMar>
        <w:tblLook w:val="0000"/>
      </w:tblPr>
      <w:tblGrid>
        <w:gridCol w:w="2253"/>
        <w:gridCol w:w="7827"/>
      </w:tblGrid>
      <w:tr w:rsidR="00225952" w:rsidRPr="007C475C" w:rsidTr="00225952">
        <w:tc>
          <w:tcPr>
            <w:tcW w:w="10080" w:type="dxa"/>
            <w:gridSpan w:val="2"/>
          </w:tcPr>
          <w:p w:rsidR="00225952" w:rsidRDefault="00225952">
            <w:pPr>
              <w:pStyle w:val="Heading3"/>
            </w:pPr>
            <w:bookmarkStart w:id="169" w:name="_Toc264274128"/>
            <w:r>
              <w:lastRenderedPageBreak/>
              <w:t>3.8.4 Land Use and Transportation Strategies to Support Mobility</w:t>
            </w:r>
            <w:bookmarkEnd w:id="167"/>
            <w:bookmarkEnd w:id="168"/>
            <w:bookmarkEnd w:id="169"/>
          </w:p>
        </w:tc>
      </w:tr>
      <w:tr w:rsidR="00225952" w:rsidRPr="007C475C" w:rsidTr="00225952">
        <w:tc>
          <w:tcPr>
            <w:tcW w:w="2253" w:type="dxa"/>
          </w:tcPr>
          <w:p w:rsidR="00225952" w:rsidRPr="008956F2" w:rsidRDefault="00AD5BD3" w:rsidP="00AD5BD3">
            <w:pPr>
              <w:pStyle w:val="Heading4"/>
            </w:pPr>
            <w:r>
              <w:t>DULA</w:t>
            </w:r>
          </w:p>
        </w:tc>
        <w:tc>
          <w:tcPr>
            <w:tcW w:w="7827" w:type="dxa"/>
          </w:tcPr>
          <w:p w:rsidR="00225952" w:rsidRDefault="00225952">
            <w:r>
              <w:rPr>
                <w:lang w:eastAsia="ko-KR"/>
              </w:rPr>
              <w:t xml:space="preserve">As mentioned above, all jurisdictions designated as DULAs must adopt within two years land use and transportation strategies to support and fund mobility.  Since the DULA designations became effective on July 8, 2009 (the date the list was published on the DCA website), these amendments are due by July 8, 2011.  The amendments must include </w:t>
            </w:r>
            <w:r>
              <w:rPr>
                <w:bCs/>
              </w:rPr>
              <w:t>land use and transportation s</w:t>
            </w:r>
            <w:r w:rsidRPr="008C6101">
              <w:rPr>
                <w:bCs/>
              </w:rPr>
              <w:t xml:space="preserve">trategies to support </w:t>
            </w:r>
            <w:r>
              <w:rPr>
                <w:bCs/>
              </w:rPr>
              <w:t xml:space="preserve">and fund </w:t>
            </w:r>
            <w:r w:rsidRPr="008C6101">
              <w:rPr>
                <w:bCs/>
              </w:rPr>
              <w:t>mobility</w:t>
            </w:r>
            <w:r>
              <w:rPr>
                <w:bCs/>
              </w:rPr>
              <w:t xml:space="preserve"> within the exception area, including alternative modes of transportation.  FDOT and DCA should be prepared to offer technical assistance to local governments as they prepare the required comprehensive plan amendment.  </w:t>
            </w:r>
            <w:r w:rsidRPr="008C6101">
              <w:rPr>
                <w:bCs/>
              </w:rPr>
              <w:t>Strategies available to local governments include</w:t>
            </w:r>
            <w:r>
              <w:rPr>
                <w:bCs/>
              </w:rPr>
              <w:t xml:space="preserve"> but are not limited to</w:t>
            </w:r>
            <w:r w:rsidRPr="008C6101">
              <w:rPr>
                <w:bCs/>
              </w:rPr>
              <w:t>:</w:t>
            </w:r>
          </w:p>
        </w:tc>
      </w:tr>
      <w:tr w:rsidR="00225952" w:rsidRPr="007C475C" w:rsidTr="00225952">
        <w:tc>
          <w:tcPr>
            <w:tcW w:w="2253" w:type="dxa"/>
          </w:tcPr>
          <w:p w:rsidR="00225952" w:rsidRPr="008956F2" w:rsidRDefault="00225952" w:rsidP="00225952">
            <w:pPr>
              <w:pStyle w:val="HeadSideMain"/>
            </w:pPr>
          </w:p>
        </w:tc>
        <w:tc>
          <w:tcPr>
            <w:tcW w:w="7827" w:type="dxa"/>
          </w:tcPr>
          <w:p w:rsidR="00225952" w:rsidRDefault="00225952" w:rsidP="00AD2D7A">
            <w:pPr>
              <w:pStyle w:val="BulletA"/>
              <w:numPr>
                <w:ilvl w:val="0"/>
                <w:numId w:val="91"/>
              </w:numPr>
            </w:pPr>
            <w:r>
              <w:t>Promoting infill development, compact development, mixed use development, and mixed use activity centers</w:t>
            </w:r>
          </w:p>
          <w:p w:rsidR="00225952" w:rsidRDefault="00225952" w:rsidP="00AD2D7A">
            <w:pPr>
              <w:pStyle w:val="BulletA"/>
              <w:numPr>
                <w:ilvl w:val="0"/>
                <w:numId w:val="91"/>
              </w:numPr>
            </w:pPr>
            <w:r>
              <w:t xml:space="preserve">Promoting pedestrian and bicycle access and connectivity to all modes of transportation </w:t>
            </w:r>
          </w:p>
          <w:p w:rsidR="00225952" w:rsidRDefault="00225952" w:rsidP="00AD2D7A">
            <w:pPr>
              <w:pStyle w:val="BulletA"/>
              <w:numPr>
                <w:ilvl w:val="0"/>
                <w:numId w:val="91"/>
              </w:numPr>
            </w:pPr>
            <w:r>
              <w:t>Increasing allowed density/intensity to support transit and minimize vehicle miles traveled</w:t>
            </w:r>
          </w:p>
          <w:p w:rsidR="00225952" w:rsidRDefault="00225952" w:rsidP="00AD2D7A">
            <w:pPr>
              <w:pStyle w:val="BulletA"/>
              <w:numPr>
                <w:ilvl w:val="0"/>
                <w:numId w:val="91"/>
              </w:numPr>
            </w:pPr>
            <w:r>
              <w:t>Supporting alternate</w:t>
            </w:r>
            <w:r w:rsidRPr="008C6101">
              <w:t xml:space="preserve"> modes of transportation</w:t>
            </w:r>
          </w:p>
          <w:p w:rsidR="00225952" w:rsidRDefault="00225952" w:rsidP="00AD2D7A">
            <w:pPr>
              <w:pStyle w:val="BulletA"/>
              <w:numPr>
                <w:ilvl w:val="0"/>
                <w:numId w:val="91"/>
              </w:numPr>
            </w:pPr>
            <w:r>
              <w:t xml:space="preserve">Establishing </w:t>
            </w:r>
            <w:r w:rsidR="00A72D9B">
              <w:t>multimodal</w:t>
            </w:r>
            <w:r>
              <w:t xml:space="preserve"> transportation districts</w:t>
            </w:r>
          </w:p>
          <w:p w:rsidR="00225952" w:rsidRDefault="00225952" w:rsidP="00AD2D7A">
            <w:pPr>
              <w:pStyle w:val="BulletA"/>
              <w:numPr>
                <w:ilvl w:val="0"/>
                <w:numId w:val="91"/>
              </w:numPr>
            </w:pPr>
            <w:r>
              <w:t>Complete streets policies</w:t>
            </w:r>
          </w:p>
          <w:p w:rsidR="00225952" w:rsidRDefault="00225952" w:rsidP="00AD2D7A">
            <w:pPr>
              <w:pStyle w:val="BulletA"/>
              <w:numPr>
                <w:ilvl w:val="0"/>
                <w:numId w:val="91"/>
              </w:numPr>
            </w:pPr>
            <w:r w:rsidRPr="008C6101">
              <w:t>Maintaining or improving the connectivity between all modes</w:t>
            </w:r>
          </w:p>
          <w:p w:rsidR="00225952" w:rsidRDefault="00225952" w:rsidP="00AD2D7A">
            <w:pPr>
              <w:pStyle w:val="BulletA"/>
              <w:numPr>
                <w:ilvl w:val="0"/>
                <w:numId w:val="91"/>
              </w:numPr>
            </w:pPr>
            <w:r>
              <w:t>Adopting corridor management plans that support and fund multimodal development</w:t>
            </w:r>
          </w:p>
          <w:p w:rsidR="00225952" w:rsidRDefault="00225952" w:rsidP="00AD2D7A">
            <w:pPr>
              <w:pStyle w:val="BulletA"/>
              <w:numPr>
                <w:ilvl w:val="0"/>
                <w:numId w:val="91"/>
              </w:numPr>
            </w:pPr>
            <w:r>
              <w:t>Promoting transit oriented development (TOD) and traditional neighborhood development (TND)</w:t>
            </w:r>
          </w:p>
          <w:p w:rsidR="00225952" w:rsidRDefault="00225952" w:rsidP="00AD2D7A">
            <w:pPr>
              <w:pStyle w:val="BulletA"/>
              <w:numPr>
                <w:ilvl w:val="0"/>
                <w:numId w:val="91"/>
              </w:numPr>
            </w:pPr>
            <w:r>
              <w:t>Using t</w:t>
            </w:r>
            <w:r w:rsidRPr="008C6101">
              <w:t xml:space="preserve">ransportation </w:t>
            </w:r>
            <w:r>
              <w:t>s</w:t>
            </w:r>
            <w:r w:rsidRPr="008C6101">
              <w:t xml:space="preserve">ystem </w:t>
            </w:r>
            <w:r>
              <w:t>m</w:t>
            </w:r>
            <w:r w:rsidRPr="008C6101">
              <w:t>anagement (</w:t>
            </w:r>
            <w:r>
              <w:t>TSM) techniques to increase operating efficiency</w:t>
            </w:r>
          </w:p>
          <w:p w:rsidR="00225952" w:rsidRDefault="00225952" w:rsidP="00AD2D7A">
            <w:pPr>
              <w:pStyle w:val="BulletA"/>
              <w:numPr>
                <w:ilvl w:val="0"/>
                <w:numId w:val="91"/>
              </w:numPr>
            </w:pPr>
            <w:r>
              <w:t>Establishing  t</w:t>
            </w:r>
            <w:r w:rsidRPr="008C6101">
              <w:t xml:space="preserve">ransportation </w:t>
            </w:r>
            <w:r>
              <w:t>d</w:t>
            </w:r>
            <w:r w:rsidRPr="008C6101">
              <w:t xml:space="preserve">emand </w:t>
            </w:r>
            <w:r>
              <w:t>m</w:t>
            </w:r>
            <w:r w:rsidRPr="008C6101">
              <w:t xml:space="preserve">anagement (TDM) </w:t>
            </w:r>
            <w:r>
              <w:t xml:space="preserve">programs </w:t>
            </w:r>
            <w:r w:rsidRPr="008C6101">
              <w:t>to encourage alternatives to the single-occupant vehicle</w:t>
            </w:r>
          </w:p>
        </w:tc>
      </w:tr>
      <w:tr w:rsidR="00225952" w:rsidRPr="007C475C" w:rsidTr="00225952">
        <w:tc>
          <w:tcPr>
            <w:tcW w:w="2253" w:type="dxa"/>
          </w:tcPr>
          <w:p w:rsidR="00B13815" w:rsidRDefault="00B13815" w:rsidP="00B13815">
            <w:pPr>
              <w:pStyle w:val="Heading4"/>
            </w:pPr>
          </w:p>
          <w:p w:rsidR="00B13815" w:rsidRDefault="00B13815" w:rsidP="00B13815">
            <w:pPr>
              <w:pStyle w:val="Heading4"/>
            </w:pPr>
          </w:p>
          <w:p w:rsidR="00225952" w:rsidRPr="008956F2" w:rsidRDefault="00745389" w:rsidP="00CC002A">
            <w:pPr>
              <w:pStyle w:val="ResourceLink"/>
            </w:pPr>
            <w:hyperlink w:anchor="R6" w:history="1">
              <w:r w:rsidR="00B13815" w:rsidRPr="00B13815">
                <w:rPr>
                  <w:rStyle w:val="Hyperlink"/>
                </w:rPr>
                <w:sym w:font="Wingdings" w:char="F0E8"/>
              </w:r>
            </w:hyperlink>
          </w:p>
        </w:tc>
        <w:tc>
          <w:tcPr>
            <w:tcW w:w="7827" w:type="dxa"/>
          </w:tcPr>
          <w:p w:rsidR="00225952" w:rsidRDefault="00225952">
            <w:r w:rsidRPr="002E4F4C">
              <w:t xml:space="preserve">Documents that discuss mobility plans and strategies from other states are included in </w:t>
            </w:r>
            <w:r>
              <w:t>Resource Guide 6.</w:t>
            </w:r>
          </w:p>
          <w:p w:rsidR="00225952" w:rsidRDefault="00225952" w:rsidP="00896DB2">
            <w:pPr>
              <w:pStyle w:val="ResourceNotTOC"/>
            </w:pPr>
            <w:r>
              <w:rPr>
                <w:color w:val="1D1B11"/>
              </w:rPr>
              <w:t>Resource Guide</w:t>
            </w:r>
            <w:r w:rsidR="00896DB2">
              <w:rPr>
                <w:color w:val="1D1B11"/>
              </w:rPr>
              <w:t xml:space="preserve"> 6</w:t>
            </w:r>
            <w:r w:rsidRPr="00555EEE">
              <w:rPr>
                <w:color w:val="1D1B11"/>
              </w:rPr>
              <w:t>.</w:t>
            </w:r>
            <w:r w:rsidRPr="00B5662E">
              <w:t xml:space="preserve">   </w:t>
            </w:r>
            <w:r w:rsidR="00896DB2">
              <w:tab/>
              <w:t>Transportation and Land Use</w:t>
            </w:r>
            <w:r>
              <w:t xml:space="preserve">  </w:t>
            </w:r>
          </w:p>
        </w:tc>
      </w:tr>
    </w:tbl>
    <w:p w:rsidR="00AD5BD3" w:rsidRDefault="00AD5BD3">
      <w:bookmarkStart w:id="170" w:name="_Toc256487952"/>
      <w:bookmarkStart w:id="171" w:name="_Toc263447884"/>
      <w:r>
        <w:rPr>
          <w:b/>
          <w:bCs/>
        </w:rPr>
        <w:br w:type="page"/>
      </w:r>
    </w:p>
    <w:tbl>
      <w:tblPr>
        <w:tblW w:w="10080" w:type="dxa"/>
        <w:tblInd w:w="115" w:type="dxa"/>
        <w:tblLayout w:type="fixed"/>
        <w:tblCellMar>
          <w:left w:w="115" w:type="dxa"/>
          <w:right w:w="115" w:type="dxa"/>
        </w:tblCellMar>
        <w:tblLook w:val="0000"/>
      </w:tblPr>
      <w:tblGrid>
        <w:gridCol w:w="2253"/>
        <w:gridCol w:w="3913"/>
        <w:gridCol w:w="3914"/>
      </w:tblGrid>
      <w:tr w:rsidR="00225952" w:rsidRPr="007C475C" w:rsidTr="00225952">
        <w:tc>
          <w:tcPr>
            <w:tcW w:w="10080" w:type="dxa"/>
            <w:gridSpan w:val="3"/>
          </w:tcPr>
          <w:p w:rsidR="00225952" w:rsidRDefault="00225952" w:rsidP="00AD5BD3">
            <w:pPr>
              <w:pStyle w:val="Heading3"/>
            </w:pPr>
            <w:bookmarkStart w:id="172" w:name="_Toc264274129"/>
            <w:r>
              <w:lastRenderedPageBreak/>
              <w:t xml:space="preserve">3.8.5 </w:t>
            </w:r>
            <w:r w:rsidRPr="00345A58">
              <w:t>Multimodal Transportation Districts</w:t>
            </w:r>
            <w:bookmarkEnd w:id="170"/>
            <w:bookmarkEnd w:id="171"/>
            <w:bookmarkEnd w:id="172"/>
          </w:p>
        </w:tc>
      </w:tr>
      <w:tr w:rsidR="00225952" w:rsidRPr="007C475C" w:rsidTr="00225952">
        <w:tc>
          <w:tcPr>
            <w:tcW w:w="2253" w:type="dxa"/>
          </w:tcPr>
          <w:p w:rsidR="00225952" w:rsidRPr="008956F2" w:rsidRDefault="00AD5BD3" w:rsidP="00AD5BD3">
            <w:pPr>
              <w:pStyle w:val="Heading4"/>
            </w:pPr>
            <w:r>
              <w:t>MMTD</w:t>
            </w:r>
          </w:p>
        </w:tc>
        <w:tc>
          <w:tcPr>
            <w:tcW w:w="7827" w:type="dxa"/>
            <w:gridSpan w:val="2"/>
          </w:tcPr>
          <w:p w:rsidR="00225952" w:rsidRDefault="00225952">
            <w:r w:rsidRPr="003438F4">
              <w:t>A Multimodal Transportation District (MMTD) is an urban area where the primary priority is assuring a safe, comfortable, and attractive pedestrian environment with convenient interconnection to transit (</w:t>
            </w:r>
            <w:hyperlink r:id="rId166" w:anchor="0163.3180" w:history="1">
              <w:r w:rsidRPr="00AC640F">
                <w:rPr>
                  <w:rStyle w:val="Hyperlink"/>
                  <w:bCs/>
                  <w:szCs w:val="24"/>
                </w:rPr>
                <w:t>s.163.3180(15)(a), F.S.</w:t>
              </w:r>
            </w:hyperlink>
            <w:r w:rsidRPr="003438F4">
              <w:t xml:space="preserve">).  Vehicle mobility is a secondary priority in these districts through urban design features that support an integrated multimodal transportation system.  MMTDs include mixed-use activity centers, street and land use connectivity, pedestrian and bicycle facilities and accommodations, and access to alternative modes of transportation. </w:t>
            </w:r>
          </w:p>
          <w:p w:rsidR="00225952" w:rsidRPr="002E4F4C" w:rsidRDefault="00225952" w:rsidP="00225952">
            <w:r w:rsidRPr="003438F4">
              <w:t>Another goal of the MMTD is to promote infill development and redevelopment.  Local governments may implement multimodal LOS standards for MMTDs that rely on non-vehicular modes of transportation in an effort to address concurrency, including LOS standards for pedestrians, bicycles, and transit.</w:t>
            </w:r>
          </w:p>
        </w:tc>
      </w:tr>
      <w:tr w:rsidR="00EC35D1" w:rsidRPr="007C475C" w:rsidTr="000569A8">
        <w:tc>
          <w:tcPr>
            <w:tcW w:w="2253" w:type="dxa"/>
          </w:tcPr>
          <w:p w:rsidR="00EC35D1" w:rsidRDefault="00EC35D1">
            <w:pPr>
              <w:pStyle w:val="HeadSideMain"/>
            </w:pPr>
            <w:r w:rsidRPr="008956F2">
              <w:t>Legal Authorities</w:t>
            </w:r>
          </w:p>
          <w:p w:rsidR="00EC35D1" w:rsidRPr="008956F2" w:rsidRDefault="00EC35D1" w:rsidP="00225952">
            <w:pPr>
              <w:pStyle w:val="HeadSideMain"/>
            </w:pPr>
          </w:p>
        </w:tc>
        <w:tc>
          <w:tcPr>
            <w:tcW w:w="3913" w:type="dxa"/>
          </w:tcPr>
          <w:p w:rsidR="00EC35D1" w:rsidRPr="00345A58" w:rsidRDefault="00EC35D1" w:rsidP="00225952">
            <w:pPr>
              <w:autoSpaceDE w:val="0"/>
              <w:autoSpaceDN w:val="0"/>
              <w:adjustRightInd w:val="0"/>
              <w:spacing w:after="60"/>
              <w:ind w:right="432"/>
              <w:rPr>
                <w:b/>
                <w:bCs/>
                <w:sz w:val="24"/>
                <w:szCs w:val="24"/>
              </w:rPr>
            </w:pPr>
            <w:r w:rsidRPr="00345A58">
              <w:rPr>
                <w:b/>
                <w:bCs/>
                <w:sz w:val="24"/>
                <w:szCs w:val="24"/>
              </w:rPr>
              <w:t>Florida Statutes</w:t>
            </w:r>
          </w:p>
          <w:p w:rsidR="00EC35D1" w:rsidRPr="003438F4" w:rsidRDefault="00EC35D1" w:rsidP="00AD2D7A">
            <w:pPr>
              <w:pStyle w:val="BulletA"/>
              <w:numPr>
                <w:ilvl w:val="0"/>
                <w:numId w:val="92"/>
              </w:numPr>
              <w:rPr>
                <w:bCs/>
                <w:sz w:val="24"/>
                <w:szCs w:val="24"/>
              </w:rPr>
            </w:pPr>
            <w:r w:rsidRPr="003438F4">
              <w:rPr>
                <w:bCs/>
                <w:sz w:val="24"/>
                <w:szCs w:val="24"/>
              </w:rPr>
              <w:t xml:space="preserve"> </w:t>
            </w:r>
            <w:hyperlink r:id="rId167" w:history="1">
              <w:r w:rsidRPr="009D4B62">
                <w:rPr>
                  <w:rStyle w:val="Hyperlink"/>
                  <w:bCs/>
                  <w:szCs w:val="24"/>
                </w:rPr>
                <w:t>Section 163.3184(3)</w:t>
              </w:r>
            </w:hyperlink>
            <w:r w:rsidRPr="003438F4">
              <w:rPr>
                <w:bCs/>
                <w:sz w:val="24"/>
                <w:szCs w:val="24"/>
              </w:rPr>
              <w:t>, F.S.</w:t>
            </w:r>
          </w:p>
          <w:p w:rsidR="00EC35D1" w:rsidRPr="003438F4" w:rsidRDefault="00EC35D1" w:rsidP="00AD2D7A">
            <w:pPr>
              <w:pStyle w:val="BulletA"/>
              <w:numPr>
                <w:ilvl w:val="0"/>
                <w:numId w:val="92"/>
              </w:numPr>
              <w:rPr>
                <w:bCs/>
                <w:sz w:val="24"/>
                <w:szCs w:val="24"/>
              </w:rPr>
            </w:pPr>
            <w:r w:rsidRPr="003438F4">
              <w:rPr>
                <w:bCs/>
                <w:sz w:val="24"/>
                <w:szCs w:val="24"/>
              </w:rPr>
              <w:t>Section 163.3184(4), F.S.</w:t>
            </w:r>
          </w:p>
          <w:p w:rsidR="00EC35D1" w:rsidRPr="003438F4" w:rsidRDefault="00EC35D1" w:rsidP="00AD2D7A">
            <w:pPr>
              <w:pStyle w:val="BulletA"/>
              <w:numPr>
                <w:ilvl w:val="0"/>
                <w:numId w:val="92"/>
              </w:numPr>
              <w:rPr>
                <w:bCs/>
                <w:sz w:val="24"/>
                <w:szCs w:val="24"/>
              </w:rPr>
            </w:pPr>
            <w:r w:rsidRPr="003438F4">
              <w:rPr>
                <w:bCs/>
                <w:sz w:val="24"/>
                <w:szCs w:val="24"/>
              </w:rPr>
              <w:t xml:space="preserve"> </w:t>
            </w:r>
            <w:hyperlink r:id="rId168" w:anchor="0163.3180" w:history="1">
              <w:r w:rsidRPr="00AC640F">
                <w:rPr>
                  <w:rStyle w:val="Hyperlink"/>
                  <w:bCs/>
                  <w:szCs w:val="24"/>
                </w:rPr>
                <w:t>Section 163.3180(1)(b), F.S</w:t>
              </w:r>
            </w:hyperlink>
            <w:r w:rsidRPr="003438F4">
              <w:rPr>
                <w:bCs/>
                <w:sz w:val="24"/>
                <w:szCs w:val="24"/>
              </w:rPr>
              <w:t>.</w:t>
            </w:r>
          </w:p>
          <w:p w:rsidR="00EC35D1" w:rsidRDefault="00EC35D1" w:rsidP="00AD2D7A">
            <w:pPr>
              <w:pStyle w:val="BulletA"/>
              <w:numPr>
                <w:ilvl w:val="0"/>
                <w:numId w:val="92"/>
              </w:numPr>
              <w:rPr>
                <w:bCs/>
                <w:sz w:val="24"/>
                <w:szCs w:val="24"/>
              </w:rPr>
            </w:pPr>
            <w:r w:rsidRPr="003438F4">
              <w:rPr>
                <w:bCs/>
                <w:sz w:val="24"/>
                <w:szCs w:val="24"/>
              </w:rPr>
              <w:t>Section 163.3180(10), F.S.</w:t>
            </w:r>
          </w:p>
          <w:p w:rsidR="00EC35D1" w:rsidRPr="00EC35D1" w:rsidRDefault="00EC35D1" w:rsidP="00AD2D7A">
            <w:pPr>
              <w:pStyle w:val="BulletA"/>
              <w:numPr>
                <w:ilvl w:val="0"/>
                <w:numId w:val="92"/>
              </w:numPr>
              <w:rPr>
                <w:bCs/>
                <w:sz w:val="24"/>
                <w:szCs w:val="24"/>
              </w:rPr>
            </w:pPr>
            <w:r w:rsidRPr="003438F4">
              <w:rPr>
                <w:bCs/>
                <w:sz w:val="24"/>
                <w:szCs w:val="24"/>
              </w:rPr>
              <w:t>Section 163.3180(15)(a), F.S.</w:t>
            </w:r>
          </w:p>
        </w:tc>
        <w:tc>
          <w:tcPr>
            <w:tcW w:w="3914" w:type="dxa"/>
          </w:tcPr>
          <w:p w:rsidR="00EC35D1" w:rsidRPr="004E2343" w:rsidRDefault="00EC35D1" w:rsidP="00225952">
            <w:pPr>
              <w:autoSpaceDE w:val="0"/>
              <w:autoSpaceDN w:val="0"/>
              <w:adjustRightInd w:val="0"/>
              <w:spacing w:after="60"/>
              <w:ind w:right="432"/>
              <w:rPr>
                <w:b/>
                <w:bCs/>
                <w:sz w:val="24"/>
                <w:szCs w:val="24"/>
              </w:rPr>
            </w:pPr>
            <w:r w:rsidRPr="00345A58">
              <w:rPr>
                <w:b/>
                <w:bCs/>
                <w:sz w:val="24"/>
                <w:szCs w:val="24"/>
              </w:rPr>
              <w:t>Florida Administrative Code:</w:t>
            </w:r>
          </w:p>
          <w:p w:rsidR="00EC35D1" w:rsidRPr="00896DB2" w:rsidRDefault="00EC35D1" w:rsidP="00AD2D7A">
            <w:pPr>
              <w:pStyle w:val="BulletA"/>
              <w:numPr>
                <w:ilvl w:val="0"/>
                <w:numId w:val="93"/>
              </w:numPr>
            </w:pPr>
            <w:r w:rsidRPr="00896DB2">
              <w:t>Rule 9J-5.0055(2)(b), F.A.C.</w:t>
            </w:r>
          </w:p>
          <w:p w:rsidR="00EC35D1" w:rsidRDefault="00EC35D1" w:rsidP="00AD2D7A">
            <w:pPr>
              <w:pStyle w:val="BulletA"/>
              <w:numPr>
                <w:ilvl w:val="0"/>
                <w:numId w:val="93"/>
              </w:numPr>
            </w:pPr>
            <w:r w:rsidRPr="00896DB2">
              <w:t>Rule 9J-5.0055(3)(c)7., F.A.C.</w:t>
            </w:r>
          </w:p>
        </w:tc>
      </w:tr>
      <w:tr w:rsidR="00EC35D1" w:rsidRPr="007C475C" w:rsidTr="00225952">
        <w:tc>
          <w:tcPr>
            <w:tcW w:w="2253" w:type="dxa"/>
          </w:tcPr>
          <w:p w:rsidR="00EC35D1" w:rsidRPr="008956F2" w:rsidRDefault="00745389" w:rsidP="00CC002A">
            <w:pPr>
              <w:pStyle w:val="ResourceLink"/>
            </w:pPr>
            <w:hyperlink w:anchor="R5" w:history="1">
              <w:r w:rsidR="00B13815" w:rsidRPr="00B13815">
                <w:rPr>
                  <w:rStyle w:val="Hyperlink"/>
                </w:rPr>
                <w:sym w:font="Wingdings" w:char="F0E8"/>
              </w:r>
            </w:hyperlink>
          </w:p>
        </w:tc>
        <w:tc>
          <w:tcPr>
            <w:tcW w:w="7827" w:type="dxa"/>
            <w:gridSpan w:val="2"/>
          </w:tcPr>
          <w:p w:rsidR="00EC35D1" w:rsidRPr="003438F4" w:rsidRDefault="00EC35D1" w:rsidP="00EC35D1">
            <w:pPr>
              <w:pStyle w:val="ResourceNotTOC"/>
              <w:rPr>
                <w:bCs/>
                <w:i/>
                <w:szCs w:val="24"/>
              </w:rPr>
            </w:pPr>
            <w:r w:rsidRPr="00EC35D1">
              <w:rPr>
                <w:color w:val="auto"/>
              </w:rPr>
              <w:t>Resource Guide 5.</w:t>
            </w:r>
            <w:r w:rsidRPr="00B5662E">
              <w:t xml:space="preserve">   </w:t>
            </w:r>
            <w:r>
              <w:tab/>
            </w:r>
            <w:r w:rsidRPr="00B5662E">
              <w:t>Multimodal Transportation Districts</w:t>
            </w:r>
          </w:p>
        </w:tc>
      </w:tr>
      <w:tr w:rsidR="00225952" w:rsidRPr="007C475C" w:rsidTr="00225952">
        <w:tc>
          <w:tcPr>
            <w:tcW w:w="2253" w:type="dxa"/>
          </w:tcPr>
          <w:p w:rsidR="00225952" w:rsidRPr="008956F2" w:rsidRDefault="00225952" w:rsidP="00225952">
            <w:pPr>
              <w:pStyle w:val="HeadSideMain"/>
            </w:pPr>
            <w:r w:rsidRPr="008956F2">
              <w:t>Review Procedure</w:t>
            </w:r>
          </w:p>
        </w:tc>
        <w:tc>
          <w:tcPr>
            <w:tcW w:w="7827" w:type="dxa"/>
            <w:gridSpan w:val="2"/>
          </w:tcPr>
          <w:p w:rsidR="00225952" w:rsidRPr="003438F4" w:rsidRDefault="00225952" w:rsidP="00225952">
            <w:pPr>
              <w:autoSpaceDE w:val="0"/>
              <w:autoSpaceDN w:val="0"/>
              <w:adjustRightInd w:val="0"/>
              <w:spacing w:after="0"/>
              <w:ind w:right="432"/>
              <w:rPr>
                <w:b/>
                <w:bCs/>
                <w:i/>
                <w:sz w:val="24"/>
                <w:szCs w:val="24"/>
              </w:rPr>
            </w:pPr>
            <w:r w:rsidRPr="003438F4">
              <w:rPr>
                <w:b/>
                <w:bCs/>
                <w:i/>
                <w:sz w:val="24"/>
                <w:szCs w:val="24"/>
              </w:rPr>
              <w:t xml:space="preserve">Required Information: </w:t>
            </w:r>
          </w:p>
          <w:p w:rsidR="00225952" w:rsidRPr="003438F4" w:rsidRDefault="00225952" w:rsidP="00AD2D7A">
            <w:pPr>
              <w:pStyle w:val="BulletA"/>
              <w:numPr>
                <w:ilvl w:val="0"/>
                <w:numId w:val="94"/>
              </w:numPr>
            </w:pPr>
            <w:r w:rsidRPr="003438F4">
              <w:t>The MMTD comprehensive plan amendments</w:t>
            </w:r>
          </w:p>
          <w:p w:rsidR="00225952" w:rsidRPr="003438F4" w:rsidRDefault="00225952" w:rsidP="00AD2D7A">
            <w:pPr>
              <w:pStyle w:val="BulletA"/>
              <w:numPr>
                <w:ilvl w:val="0"/>
                <w:numId w:val="94"/>
              </w:numPr>
            </w:pPr>
            <w:r w:rsidRPr="003438F4">
              <w:t>Demonstration of comprehensive plan consistency</w:t>
            </w:r>
          </w:p>
          <w:p w:rsidR="00225952" w:rsidRPr="003438F4" w:rsidRDefault="00225952" w:rsidP="00AD2D7A">
            <w:pPr>
              <w:pStyle w:val="BulletA"/>
              <w:numPr>
                <w:ilvl w:val="0"/>
                <w:numId w:val="94"/>
              </w:numPr>
            </w:pPr>
            <w:r w:rsidRPr="003438F4">
              <w:t xml:space="preserve">The MMTD purpose and boundary justification </w:t>
            </w:r>
          </w:p>
          <w:p w:rsidR="00225952" w:rsidRPr="003438F4" w:rsidRDefault="00225952" w:rsidP="00AD2D7A">
            <w:pPr>
              <w:pStyle w:val="BulletA"/>
              <w:numPr>
                <w:ilvl w:val="0"/>
                <w:numId w:val="94"/>
              </w:numPr>
            </w:pPr>
            <w:r w:rsidRPr="003438F4">
              <w:t xml:space="preserve">The MMTD </w:t>
            </w:r>
            <w:r w:rsidR="00A72D9B">
              <w:t>multimodal</w:t>
            </w:r>
            <w:r w:rsidRPr="003438F4">
              <w:t xml:space="preserve"> transportation system</w:t>
            </w:r>
          </w:p>
          <w:p w:rsidR="00225952" w:rsidRPr="003438F4" w:rsidRDefault="00225952" w:rsidP="00AD2D7A">
            <w:pPr>
              <w:pStyle w:val="BulletA"/>
              <w:numPr>
                <w:ilvl w:val="0"/>
                <w:numId w:val="94"/>
              </w:numPr>
            </w:pPr>
            <w:r w:rsidRPr="003438F4">
              <w:t>Multimodal LOS standards or performance measures</w:t>
            </w:r>
          </w:p>
          <w:p w:rsidR="00225952" w:rsidRPr="003438F4" w:rsidRDefault="00225952" w:rsidP="00AD2D7A">
            <w:pPr>
              <w:pStyle w:val="BulletA"/>
              <w:numPr>
                <w:ilvl w:val="0"/>
                <w:numId w:val="94"/>
              </w:numPr>
            </w:pPr>
            <w:r w:rsidRPr="003438F4">
              <w:t>Proposed community design features/elements</w:t>
            </w:r>
          </w:p>
          <w:p w:rsidR="00225952" w:rsidRPr="003438F4" w:rsidRDefault="00225952" w:rsidP="00AD2D7A">
            <w:pPr>
              <w:pStyle w:val="BulletA"/>
              <w:numPr>
                <w:ilvl w:val="0"/>
                <w:numId w:val="94"/>
              </w:numPr>
            </w:pPr>
            <w:r w:rsidRPr="003438F4">
              <w:t>Potential development within the MMTD</w:t>
            </w:r>
          </w:p>
          <w:p w:rsidR="00225952" w:rsidRPr="003438F4" w:rsidRDefault="00225952" w:rsidP="00AD2D7A">
            <w:pPr>
              <w:pStyle w:val="BulletA"/>
              <w:numPr>
                <w:ilvl w:val="0"/>
                <w:numId w:val="94"/>
              </w:numPr>
            </w:pPr>
            <w:r w:rsidRPr="003438F4">
              <w:t>Tr</w:t>
            </w:r>
            <w:r>
              <w:t>ansportation</w:t>
            </w:r>
            <w:r w:rsidRPr="003438F4">
              <w:t xml:space="preserve"> </w:t>
            </w:r>
            <w:r>
              <w:t>i</w:t>
            </w:r>
            <w:r w:rsidRPr="003438F4">
              <w:t>mpact evaluation</w:t>
            </w:r>
          </w:p>
          <w:p w:rsidR="00225952" w:rsidRPr="003438F4" w:rsidRDefault="00225952" w:rsidP="00AD2D7A">
            <w:pPr>
              <w:pStyle w:val="BulletA"/>
              <w:numPr>
                <w:ilvl w:val="0"/>
                <w:numId w:val="94"/>
              </w:numPr>
            </w:pPr>
            <w:r w:rsidRPr="003438F4">
              <w:t>Financial feasibility of proposed improvements</w:t>
            </w:r>
          </w:p>
          <w:p w:rsidR="00225952" w:rsidRPr="003438F4" w:rsidRDefault="00225952" w:rsidP="00AD2D7A">
            <w:pPr>
              <w:pStyle w:val="BulletA"/>
              <w:numPr>
                <w:ilvl w:val="0"/>
                <w:numId w:val="94"/>
              </w:numPr>
            </w:pPr>
            <w:r w:rsidRPr="003438F4">
              <w:t>Maps and figures</w:t>
            </w:r>
          </w:p>
          <w:p w:rsidR="00225952" w:rsidRDefault="00225952" w:rsidP="00AD2D7A">
            <w:pPr>
              <w:pStyle w:val="BulletA"/>
              <w:numPr>
                <w:ilvl w:val="0"/>
                <w:numId w:val="94"/>
              </w:numPr>
              <w:rPr>
                <w:b/>
              </w:rPr>
            </w:pPr>
            <w:r w:rsidRPr="003438F4">
              <w:t>The data and analysis used</w:t>
            </w:r>
            <w:r w:rsidR="00EC35D1">
              <w:br/>
            </w:r>
          </w:p>
        </w:tc>
      </w:tr>
    </w:tbl>
    <w:p w:rsidR="00EC35D1" w:rsidRDefault="00EC35D1">
      <w:r>
        <w:rPr>
          <w:b/>
          <w:bCs/>
          <w:i/>
        </w:rPr>
        <w:br w:type="page"/>
      </w:r>
    </w:p>
    <w:tbl>
      <w:tblPr>
        <w:tblW w:w="10080" w:type="dxa"/>
        <w:tblInd w:w="115" w:type="dxa"/>
        <w:tblLayout w:type="fixed"/>
        <w:tblCellMar>
          <w:left w:w="115" w:type="dxa"/>
          <w:right w:w="115" w:type="dxa"/>
        </w:tblCellMar>
        <w:tblLook w:val="0000"/>
      </w:tblPr>
      <w:tblGrid>
        <w:gridCol w:w="2253"/>
        <w:gridCol w:w="7827"/>
      </w:tblGrid>
      <w:tr w:rsidR="00225952" w:rsidRPr="007C475C" w:rsidTr="00225952">
        <w:tc>
          <w:tcPr>
            <w:tcW w:w="2253" w:type="dxa"/>
          </w:tcPr>
          <w:p w:rsidR="00225952" w:rsidRDefault="00225952">
            <w:pPr>
              <w:pStyle w:val="HeadSideMain"/>
              <w:rPr>
                <w:lang w:eastAsia="ko-KR"/>
              </w:rPr>
            </w:pPr>
            <w:r w:rsidRPr="008956F2">
              <w:rPr>
                <w:lang w:eastAsia="ko-KR"/>
              </w:rPr>
              <w:lastRenderedPageBreak/>
              <w:t>Key Review Points</w:t>
            </w:r>
          </w:p>
          <w:p w:rsidR="00225952" w:rsidRPr="008956F2" w:rsidRDefault="00225952" w:rsidP="00225952">
            <w:pPr>
              <w:pStyle w:val="HeadSideMain"/>
            </w:pPr>
          </w:p>
        </w:tc>
        <w:tc>
          <w:tcPr>
            <w:tcW w:w="7827" w:type="dxa"/>
          </w:tcPr>
          <w:p w:rsidR="00225952" w:rsidRPr="003438F4" w:rsidRDefault="00225952" w:rsidP="00CD32CA">
            <w:pPr>
              <w:rPr>
                <w:rFonts w:eastAsia="Batang" w:cs="TimesNewRoman"/>
                <w:lang w:eastAsia="ko-KR"/>
              </w:rPr>
            </w:pPr>
            <w:r w:rsidRPr="003438F4">
              <w:t xml:space="preserve">The amendment should demonstrate how the </w:t>
            </w:r>
            <w:r>
              <w:t xml:space="preserve">MMTD </w:t>
            </w:r>
            <w:r w:rsidRPr="003438F4">
              <w:t xml:space="preserve">reduces vehicle miles traveled while supporting alternate modes.  </w:t>
            </w:r>
            <w:r w:rsidRPr="003438F4">
              <w:rPr>
                <w:rFonts w:eastAsia="Batang" w:cs="TimesNewRoman"/>
                <w:lang w:eastAsia="ko-KR"/>
              </w:rPr>
              <w:t>The FDOT reviewer should consider the following criteria during a MMTD analysis:</w:t>
            </w:r>
          </w:p>
          <w:p w:rsidR="00225952" w:rsidRPr="003438F4" w:rsidRDefault="00225952" w:rsidP="00AD2D7A">
            <w:pPr>
              <w:pStyle w:val="BulletA"/>
              <w:numPr>
                <w:ilvl w:val="0"/>
                <w:numId w:val="95"/>
              </w:numPr>
              <w:rPr>
                <w:lang w:eastAsia="ko-KR"/>
              </w:rPr>
            </w:pPr>
            <w:r w:rsidRPr="003438F4">
              <w:rPr>
                <w:lang w:eastAsia="ko-KR"/>
              </w:rPr>
              <w:t>District size</w:t>
            </w:r>
          </w:p>
          <w:p w:rsidR="00225952" w:rsidRPr="003438F4" w:rsidRDefault="00225952" w:rsidP="00AD2D7A">
            <w:pPr>
              <w:pStyle w:val="BulletA"/>
              <w:numPr>
                <w:ilvl w:val="0"/>
                <w:numId w:val="95"/>
              </w:numPr>
              <w:rPr>
                <w:lang w:eastAsia="ko-KR"/>
              </w:rPr>
            </w:pPr>
            <w:r w:rsidRPr="003438F4">
              <w:rPr>
                <w:lang w:eastAsia="ko-KR"/>
              </w:rPr>
              <w:t>Study area</w:t>
            </w:r>
          </w:p>
          <w:p w:rsidR="00225952" w:rsidRPr="003438F4" w:rsidRDefault="00225952" w:rsidP="00AD2D7A">
            <w:pPr>
              <w:pStyle w:val="BulletA"/>
              <w:numPr>
                <w:ilvl w:val="0"/>
                <w:numId w:val="95"/>
              </w:numPr>
              <w:rPr>
                <w:lang w:eastAsia="ko-KR"/>
              </w:rPr>
            </w:pPr>
            <w:r w:rsidRPr="003438F4">
              <w:rPr>
                <w:lang w:eastAsia="ko-KR"/>
              </w:rPr>
              <w:t>Transportation impacts</w:t>
            </w:r>
          </w:p>
          <w:p w:rsidR="00225952" w:rsidRPr="003438F4" w:rsidRDefault="00225952" w:rsidP="00AD2D7A">
            <w:pPr>
              <w:pStyle w:val="BulletA"/>
              <w:numPr>
                <w:ilvl w:val="0"/>
                <w:numId w:val="95"/>
              </w:numPr>
              <w:rPr>
                <w:lang w:eastAsia="ko-KR"/>
              </w:rPr>
            </w:pPr>
            <w:r w:rsidRPr="003438F4">
              <w:rPr>
                <w:lang w:eastAsia="ko-KR"/>
              </w:rPr>
              <w:t>Consistent with the Future Land Use Element</w:t>
            </w:r>
          </w:p>
          <w:p w:rsidR="00225952" w:rsidRPr="003438F4" w:rsidRDefault="00225952" w:rsidP="00AD2D7A">
            <w:pPr>
              <w:pStyle w:val="BulletA"/>
              <w:numPr>
                <w:ilvl w:val="0"/>
                <w:numId w:val="95"/>
              </w:numPr>
              <w:rPr>
                <w:lang w:eastAsia="ko-KR"/>
              </w:rPr>
            </w:pPr>
            <w:r w:rsidRPr="003438F4">
              <w:rPr>
                <w:lang w:eastAsia="ko-KR"/>
              </w:rPr>
              <w:t>Consistent with the Transportation Element</w:t>
            </w:r>
          </w:p>
          <w:p w:rsidR="00225952" w:rsidRPr="003438F4" w:rsidRDefault="00225952" w:rsidP="00AD2D7A">
            <w:pPr>
              <w:pStyle w:val="BulletA"/>
              <w:numPr>
                <w:ilvl w:val="0"/>
                <w:numId w:val="95"/>
              </w:numPr>
              <w:rPr>
                <w:lang w:eastAsia="ko-KR"/>
              </w:rPr>
            </w:pPr>
            <w:r w:rsidRPr="003438F4">
              <w:rPr>
                <w:lang w:eastAsia="ko-KR"/>
              </w:rPr>
              <w:t>Consistent with the Capital Improvements Element</w:t>
            </w:r>
          </w:p>
          <w:p w:rsidR="00225952" w:rsidRDefault="00225952" w:rsidP="00AD2D7A">
            <w:pPr>
              <w:pStyle w:val="BulletA"/>
              <w:numPr>
                <w:ilvl w:val="0"/>
                <w:numId w:val="95"/>
              </w:numPr>
              <w:spacing w:after="240"/>
              <w:rPr>
                <w:bCs/>
              </w:rPr>
            </w:pPr>
            <w:r w:rsidRPr="003438F4">
              <w:rPr>
                <w:lang w:eastAsia="ko-KR"/>
              </w:rPr>
              <w:t>Extra-Jurisdictional impacts</w:t>
            </w:r>
          </w:p>
        </w:tc>
      </w:tr>
      <w:tr w:rsidR="00225952" w:rsidRPr="007C475C" w:rsidTr="00225952">
        <w:tc>
          <w:tcPr>
            <w:tcW w:w="2253" w:type="dxa"/>
          </w:tcPr>
          <w:p w:rsidR="00225952" w:rsidRPr="008956F2" w:rsidRDefault="00225952" w:rsidP="00225952">
            <w:pPr>
              <w:pStyle w:val="HeadSideMain"/>
            </w:pPr>
          </w:p>
        </w:tc>
        <w:tc>
          <w:tcPr>
            <w:tcW w:w="7827" w:type="dxa"/>
          </w:tcPr>
          <w:p w:rsidR="00225952" w:rsidRPr="00406FF6" w:rsidRDefault="00225952" w:rsidP="00225952">
            <w:pPr>
              <w:rPr>
                <w:rFonts w:eastAsia="Batang" w:cs="Slimbach-Book"/>
                <w:lang w:eastAsia="ko-KR"/>
              </w:rPr>
            </w:pPr>
            <w:r>
              <w:t>DCA tracks</w:t>
            </w:r>
            <w:r w:rsidRPr="003438F4">
              <w:t xml:space="preserve"> the adopted MMTDs throughout the state.  Monitoring the progress of an MMTD should include coordination between the Department, local governments, and the DCA.  </w:t>
            </w:r>
            <w:hyperlink r:id="rId169" w:anchor="0163.3180" w:history="1">
              <w:r w:rsidRPr="001D61D6">
                <w:rPr>
                  <w:rStyle w:val="Hyperlink"/>
                </w:rPr>
                <w:t>Section 163.3180(15)(c) FS</w:t>
              </w:r>
            </w:hyperlink>
            <w:r>
              <w:t xml:space="preserve"> states that local governments may establish multimodal level of service standards that rely primarily on nonvehicular modes of transportation within the district…</w:t>
            </w:r>
            <w:r w:rsidRPr="003438F4" w:rsidDel="002E205E">
              <w:t xml:space="preserve"> </w:t>
            </w:r>
            <w:r>
              <w:t xml:space="preserve">These standards can be used to measure progress towards </w:t>
            </w:r>
            <w:r w:rsidRPr="003438F4">
              <w:t xml:space="preserve">meeting multimodal objectives, as </w:t>
            </w:r>
            <w:r>
              <w:t>detailed</w:t>
            </w:r>
            <w:r w:rsidRPr="003438F4">
              <w:t xml:space="preserve"> in the FDOT </w:t>
            </w:r>
            <w:r w:rsidRPr="003438F4">
              <w:rPr>
                <w:i/>
              </w:rPr>
              <w:t>Multimodal Transportation District and Areawide Quality Level of Service Handbook.</w:t>
            </w:r>
          </w:p>
        </w:tc>
      </w:tr>
    </w:tbl>
    <w:p w:rsidR="00AD5BD3" w:rsidRDefault="00AD5BD3">
      <w:bookmarkStart w:id="173" w:name="_Toc256487953"/>
      <w:bookmarkStart w:id="174" w:name="_Toc263447885"/>
      <w:r>
        <w:rPr>
          <w:b/>
          <w:bCs/>
        </w:rPr>
        <w:br w:type="page"/>
      </w:r>
    </w:p>
    <w:tbl>
      <w:tblPr>
        <w:tblW w:w="10080" w:type="dxa"/>
        <w:tblInd w:w="115" w:type="dxa"/>
        <w:tblLayout w:type="fixed"/>
        <w:tblCellMar>
          <w:left w:w="115" w:type="dxa"/>
          <w:right w:w="115" w:type="dxa"/>
        </w:tblCellMar>
        <w:tblLook w:val="0000"/>
      </w:tblPr>
      <w:tblGrid>
        <w:gridCol w:w="2253"/>
        <w:gridCol w:w="3913"/>
        <w:gridCol w:w="3914"/>
      </w:tblGrid>
      <w:tr w:rsidR="00225952" w:rsidRPr="007C475C" w:rsidTr="00225952">
        <w:tc>
          <w:tcPr>
            <w:tcW w:w="10080" w:type="dxa"/>
            <w:gridSpan w:val="3"/>
          </w:tcPr>
          <w:p w:rsidR="00225952" w:rsidRDefault="00225952" w:rsidP="00225952">
            <w:pPr>
              <w:pStyle w:val="Heading3"/>
            </w:pPr>
            <w:bookmarkStart w:id="175" w:name="_Toc264274130"/>
            <w:r>
              <w:lastRenderedPageBreak/>
              <w:t xml:space="preserve">3.8.6 </w:t>
            </w:r>
            <w:r w:rsidRPr="008C6101">
              <w:t xml:space="preserve">Long-Term Transportation </w:t>
            </w:r>
            <w:r>
              <w:t>Concurrency Management Systems</w:t>
            </w:r>
            <w:bookmarkEnd w:id="173"/>
            <w:bookmarkEnd w:id="174"/>
            <w:bookmarkEnd w:id="175"/>
            <w:r>
              <w:t xml:space="preserve"> </w:t>
            </w:r>
          </w:p>
        </w:tc>
      </w:tr>
      <w:tr w:rsidR="00225952" w:rsidRPr="007C475C" w:rsidTr="00225952">
        <w:tc>
          <w:tcPr>
            <w:tcW w:w="2253" w:type="dxa"/>
          </w:tcPr>
          <w:p w:rsidR="00225952" w:rsidRPr="008956F2" w:rsidRDefault="00AD5BD3" w:rsidP="00AD5BD3">
            <w:pPr>
              <w:pStyle w:val="Heading4"/>
            </w:pPr>
            <w:r>
              <w:t>LTTCMS</w:t>
            </w:r>
          </w:p>
        </w:tc>
        <w:tc>
          <w:tcPr>
            <w:tcW w:w="7827" w:type="dxa"/>
            <w:gridSpan w:val="2"/>
          </w:tcPr>
          <w:p w:rsidR="00225952" w:rsidRDefault="00225952" w:rsidP="00CD32CA">
            <w:pPr>
              <w:rPr>
                <w:rFonts w:eastAsia="Batang"/>
                <w:lang w:eastAsia="ko-KR"/>
              </w:rPr>
            </w:pPr>
            <w:r w:rsidRPr="008C6101">
              <w:t>A Long-Term Transportation Concurrency Management System (LTTCMS)</w:t>
            </w:r>
            <w:r>
              <w:rPr>
                <w:rFonts w:eastAsia="Batang"/>
                <w:lang w:eastAsia="ko-KR"/>
              </w:rPr>
              <w:t xml:space="preserve"> </w:t>
            </w:r>
            <w:r w:rsidRPr="008C6101">
              <w:rPr>
                <w:rFonts w:eastAsia="Batang"/>
                <w:lang w:eastAsia="ko-KR"/>
              </w:rPr>
              <w:t xml:space="preserve">provides local governments with additional time to acquire the funding necessary to address </w:t>
            </w:r>
            <w:r>
              <w:rPr>
                <w:rFonts w:eastAsia="Batang"/>
                <w:lang w:eastAsia="ko-KR"/>
              </w:rPr>
              <w:t xml:space="preserve">roadway </w:t>
            </w:r>
            <w:r w:rsidRPr="008C6101">
              <w:rPr>
                <w:rFonts w:eastAsia="Batang"/>
                <w:lang w:eastAsia="ko-KR"/>
              </w:rPr>
              <w:t>deficiencies (</w:t>
            </w:r>
            <w:r>
              <w:t>s.1</w:t>
            </w:r>
            <w:r w:rsidRPr="008C6101">
              <w:t>63.3180(9)</w:t>
            </w:r>
            <w:r>
              <w:t>,</w:t>
            </w:r>
            <w:r w:rsidRPr="008C6101">
              <w:t xml:space="preserve"> F.S.)</w:t>
            </w:r>
            <w:r>
              <w:t xml:space="preserve">.  </w:t>
            </w:r>
            <w:r w:rsidRPr="008C6101">
              <w:t>Local governments may adopt a LTTCMS with a planning period of up to 10 years</w:t>
            </w:r>
            <w:r>
              <w:t xml:space="preserve">, or up to </w:t>
            </w:r>
            <w:r w:rsidRPr="008C6101">
              <w:t xml:space="preserve">15 </w:t>
            </w:r>
            <w:r>
              <w:t xml:space="preserve">years </w:t>
            </w:r>
            <w:r w:rsidRPr="008C6101">
              <w:t xml:space="preserve">with </w:t>
            </w:r>
            <w:r>
              <w:t>DCA approval.</w:t>
            </w:r>
          </w:p>
          <w:p w:rsidR="00225952" w:rsidRDefault="00225952">
            <w:pPr>
              <w:autoSpaceDE w:val="0"/>
              <w:autoSpaceDN w:val="0"/>
              <w:adjustRightInd w:val="0"/>
              <w:spacing w:after="120"/>
              <w:ind w:right="288"/>
              <w:rPr>
                <w:rFonts w:eastAsia="Batang" w:cs="Slimbach-Book"/>
                <w:sz w:val="24"/>
                <w:szCs w:val="24"/>
                <w:lang w:eastAsia="ko-KR"/>
              </w:rPr>
            </w:pPr>
            <w:r w:rsidRPr="008C6101">
              <w:rPr>
                <w:rFonts w:eastAsia="Batang"/>
                <w:sz w:val="24"/>
                <w:szCs w:val="24"/>
                <w:lang w:eastAsia="ko-KR"/>
              </w:rPr>
              <w:t>The local government may adopt interim LOS standards and rely on a long-term schedule of capital improvements</w:t>
            </w:r>
            <w:r>
              <w:rPr>
                <w:rFonts w:eastAsia="Batang"/>
                <w:sz w:val="24"/>
                <w:szCs w:val="24"/>
                <w:lang w:eastAsia="ko-KR"/>
              </w:rPr>
              <w:t xml:space="preserve"> for a particular roadway corridor</w:t>
            </w:r>
            <w:r w:rsidRPr="008C6101">
              <w:rPr>
                <w:rFonts w:eastAsia="Batang"/>
                <w:sz w:val="24"/>
                <w:szCs w:val="24"/>
                <w:lang w:eastAsia="ko-KR"/>
              </w:rPr>
              <w:t xml:space="preserve">.  The long-term schedule must be financially feasible and include the commencement and completion dates of the identified projects.  </w:t>
            </w:r>
          </w:p>
        </w:tc>
      </w:tr>
      <w:tr w:rsidR="00EC35D1" w:rsidRPr="007C475C" w:rsidTr="000569A8">
        <w:tc>
          <w:tcPr>
            <w:tcW w:w="2253" w:type="dxa"/>
          </w:tcPr>
          <w:p w:rsidR="00EC35D1" w:rsidRDefault="00EC35D1" w:rsidP="00EC35D1">
            <w:pPr>
              <w:pStyle w:val="HeadSideMain"/>
            </w:pPr>
            <w:r w:rsidRPr="008956F2">
              <w:t>Legal Authorities</w:t>
            </w:r>
          </w:p>
          <w:p w:rsidR="00EC35D1" w:rsidRPr="008956F2" w:rsidRDefault="00EC35D1">
            <w:pPr>
              <w:pStyle w:val="HeadSideMain"/>
            </w:pPr>
          </w:p>
        </w:tc>
        <w:tc>
          <w:tcPr>
            <w:tcW w:w="3913" w:type="dxa"/>
          </w:tcPr>
          <w:p w:rsidR="00EC35D1" w:rsidRPr="008C6101" w:rsidRDefault="00EC35D1" w:rsidP="00087603">
            <w:pPr>
              <w:autoSpaceDE w:val="0"/>
              <w:autoSpaceDN w:val="0"/>
              <w:adjustRightInd w:val="0"/>
              <w:spacing w:after="0"/>
              <w:ind w:right="432"/>
              <w:rPr>
                <w:b/>
                <w:sz w:val="24"/>
                <w:szCs w:val="24"/>
              </w:rPr>
            </w:pPr>
            <w:r w:rsidRPr="008C6101">
              <w:rPr>
                <w:b/>
                <w:sz w:val="24"/>
                <w:szCs w:val="24"/>
              </w:rPr>
              <w:t>Florida Statutes:</w:t>
            </w:r>
          </w:p>
          <w:p w:rsidR="00EC35D1" w:rsidRPr="00AD5BD3" w:rsidRDefault="00EC35D1" w:rsidP="00AD2D7A">
            <w:pPr>
              <w:pStyle w:val="BulletA"/>
              <w:numPr>
                <w:ilvl w:val="0"/>
                <w:numId w:val="98"/>
              </w:numPr>
              <w:rPr>
                <w:szCs w:val="24"/>
              </w:rPr>
            </w:pPr>
            <w:r w:rsidRPr="00AD5BD3">
              <w:rPr>
                <w:szCs w:val="24"/>
              </w:rPr>
              <w:t>Section 163.3184(3), F.S.</w:t>
            </w:r>
          </w:p>
          <w:p w:rsidR="00EC35D1" w:rsidRPr="00AD5BD3" w:rsidRDefault="00EC35D1" w:rsidP="00AD2D7A">
            <w:pPr>
              <w:pStyle w:val="BulletA"/>
              <w:numPr>
                <w:ilvl w:val="0"/>
                <w:numId w:val="98"/>
              </w:numPr>
              <w:rPr>
                <w:szCs w:val="24"/>
              </w:rPr>
            </w:pPr>
            <w:r w:rsidRPr="00AD5BD3">
              <w:rPr>
                <w:szCs w:val="24"/>
              </w:rPr>
              <w:t>Section 163.3184(4), F.S.</w:t>
            </w:r>
          </w:p>
          <w:p w:rsidR="00EC35D1" w:rsidRPr="00AD5BD3" w:rsidRDefault="00EC35D1" w:rsidP="00AD2D7A">
            <w:pPr>
              <w:pStyle w:val="BulletA"/>
              <w:numPr>
                <w:ilvl w:val="0"/>
                <w:numId w:val="98"/>
              </w:numPr>
              <w:rPr>
                <w:szCs w:val="24"/>
              </w:rPr>
            </w:pPr>
            <w:r w:rsidRPr="00AD5BD3">
              <w:rPr>
                <w:szCs w:val="24"/>
              </w:rPr>
              <w:t>Section 163.3180(1)(b), F.S.</w:t>
            </w:r>
          </w:p>
          <w:p w:rsidR="00EC35D1" w:rsidRPr="00AD5BD3" w:rsidRDefault="00EC35D1" w:rsidP="00AD2D7A">
            <w:pPr>
              <w:pStyle w:val="BulletA"/>
              <w:numPr>
                <w:ilvl w:val="0"/>
                <w:numId w:val="98"/>
              </w:numPr>
              <w:rPr>
                <w:szCs w:val="24"/>
              </w:rPr>
            </w:pPr>
            <w:r w:rsidRPr="00AD5BD3">
              <w:rPr>
                <w:szCs w:val="24"/>
              </w:rPr>
              <w:t>Section 163.3180(10), F.S.</w:t>
            </w:r>
          </w:p>
          <w:p w:rsidR="00EC35D1" w:rsidRDefault="00EC35D1" w:rsidP="00AD2D7A">
            <w:pPr>
              <w:pStyle w:val="BulletA"/>
              <w:numPr>
                <w:ilvl w:val="0"/>
                <w:numId w:val="98"/>
              </w:numPr>
              <w:rPr>
                <w:szCs w:val="24"/>
              </w:rPr>
            </w:pPr>
            <w:r w:rsidRPr="00AD5BD3">
              <w:rPr>
                <w:szCs w:val="24"/>
              </w:rPr>
              <w:t>Section 163.3180(9), F.S.</w:t>
            </w:r>
          </w:p>
          <w:p w:rsidR="00EC35D1" w:rsidRPr="00EC35D1" w:rsidRDefault="00EC35D1" w:rsidP="00AD2D7A">
            <w:pPr>
              <w:pStyle w:val="BulletA"/>
              <w:numPr>
                <w:ilvl w:val="0"/>
                <w:numId w:val="98"/>
              </w:numPr>
            </w:pPr>
            <w:r w:rsidRPr="00AD5BD3">
              <w:rPr>
                <w:szCs w:val="24"/>
              </w:rPr>
              <w:t>Section 163.3180(5)(f),</w:t>
            </w:r>
            <w:r>
              <w:t xml:space="preserve"> F.S.</w:t>
            </w:r>
          </w:p>
        </w:tc>
        <w:tc>
          <w:tcPr>
            <w:tcW w:w="3914" w:type="dxa"/>
          </w:tcPr>
          <w:p w:rsidR="00EC35D1" w:rsidRPr="004E2343" w:rsidRDefault="00EC35D1" w:rsidP="00087603">
            <w:pPr>
              <w:autoSpaceDE w:val="0"/>
              <w:autoSpaceDN w:val="0"/>
              <w:adjustRightInd w:val="0"/>
              <w:spacing w:after="0"/>
              <w:ind w:right="432"/>
              <w:rPr>
                <w:b/>
                <w:sz w:val="24"/>
                <w:szCs w:val="24"/>
              </w:rPr>
            </w:pPr>
            <w:r w:rsidRPr="008C6101">
              <w:rPr>
                <w:b/>
                <w:sz w:val="24"/>
                <w:szCs w:val="24"/>
              </w:rPr>
              <w:t>Florida Administrative Code:</w:t>
            </w:r>
          </w:p>
          <w:p w:rsidR="00EC35D1" w:rsidRPr="008C6101" w:rsidRDefault="00EC35D1" w:rsidP="00AD2D7A">
            <w:pPr>
              <w:pStyle w:val="BulletA"/>
              <w:numPr>
                <w:ilvl w:val="0"/>
                <w:numId w:val="96"/>
              </w:numPr>
            </w:pPr>
            <w:r>
              <w:t>Rule</w:t>
            </w:r>
            <w:r w:rsidRPr="008C6101">
              <w:t xml:space="preserve"> 9J-5.0055(4)</w:t>
            </w:r>
            <w:r>
              <w:t>, F.A.C.</w:t>
            </w:r>
          </w:p>
          <w:p w:rsidR="00EC35D1" w:rsidRDefault="00EC35D1" w:rsidP="00AD2D7A">
            <w:pPr>
              <w:pStyle w:val="BulletA"/>
              <w:numPr>
                <w:ilvl w:val="0"/>
                <w:numId w:val="96"/>
              </w:numPr>
            </w:pPr>
            <w:r>
              <w:t xml:space="preserve">Rule </w:t>
            </w:r>
            <w:r w:rsidRPr="008C6101">
              <w:t>9J-11</w:t>
            </w:r>
            <w:r>
              <w:t>, F.A.C.</w:t>
            </w:r>
          </w:p>
          <w:p w:rsidR="00EC35D1" w:rsidRPr="008C6101" w:rsidRDefault="00EC35D1" w:rsidP="00225952">
            <w:pPr>
              <w:autoSpaceDE w:val="0"/>
              <w:autoSpaceDN w:val="0"/>
              <w:adjustRightInd w:val="0"/>
              <w:spacing w:after="60"/>
              <w:ind w:right="432"/>
              <w:rPr>
                <w:b/>
                <w:sz w:val="24"/>
                <w:szCs w:val="24"/>
              </w:rPr>
            </w:pPr>
          </w:p>
        </w:tc>
      </w:tr>
      <w:tr w:rsidR="00225952" w:rsidRPr="007C475C" w:rsidTr="00225952">
        <w:tc>
          <w:tcPr>
            <w:tcW w:w="2253" w:type="dxa"/>
          </w:tcPr>
          <w:p w:rsidR="00225952" w:rsidRPr="008956F2" w:rsidRDefault="00745389" w:rsidP="00CC002A">
            <w:pPr>
              <w:pStyle w:val="ResourceLink"/>
            </w:pPr>
            <w:hyperlink w:anchor="R4" w:history="1">
              <w:r w:rsidR="00B13815" w:rsidRPr="00B13815">
                <w:rPr>
                  <w:rStyle w:val="Hyperlink"/>
                </w:rPr>
                <w:sym w:font="Wingdings" w:char="F0E8"/>
              </w:r>
            </w:hyperlink>
          </w:p>
        </w:tc>
        <w:tc>
          <w:tcPr>
            <w:tcW w:w="7827" w:type="dxa"/>
            <w:gridSpan w:val="2"/>
          </w:tcPr>
          <w:p w:rsidR="00225952" w:rsidRDefault="00225952" w:rsidP="00AD5BD3">
            <w:pPr>
              <w:pStyle w:val="ResourceNotTOC"/>
              <w:rPr>
                <w:lang w:eastAsia="ko-KR"/>
              </w:rPr>
            </w:pPr>
            <w:r>
              <w:rPr>
                <w:color w:val="1D1B11"/>
                <w:lang w:eastAsia="ko-KR"/>
              </w:rPr>
              <w:t>Resource Guide</w:t>
            </w:r>
            <w:r w:rsidRPr="00B5662E">
              <w:rPr>
                <w:color w:val="1D1B11"/>
                <w:lang w:eastAsia="ko-KR"/>
              </w:rPr>
              <w:t xml:space="preserve"> 4.</w:t>
            </w:r>
            <w:r w:rsidRPr="00B5662E">
              <w:rPr>
                <w:lang w:eastAsia="ko-KR"/>
              </w:rPr>
              <w:t xml:space="preserve">  Concurrency Alternatives</w:t>
            </w:r>
            <w:r>
              <w:rPr>
                <w:lang w:eastAsia="ko-KR"/>
              </w:rPr>
              <w:t xml:space="preserve"> </w:t>
            </w:r>
          </w:p>
        </w:tc>
      </w:tr>
      <w:tr w:rsidR="00225952" w:rsidRPr="007C475C" w:rsidTr="00225952">
        <w:tc>
          <w:tcPr>
            <w:tcW w:w="2253" w:type="dxa"/>
          </w:tcPr>
          <w:p w:rsidR="00225952" w:rsidRDefault="00225952">
            <w:pPr>
              <w:pStyle w:val="HeadSideMain"/>
            </w:pPr>
            <w:r w:rsidRPr="008956F2">
              <w:t>Review Guidance</w:t>
            </w:r>
          </w:p>
          <w:p w:rsidR="00225952" w:rsidRPr="008956F2" w:rsidRDefault="00225952" w:rsidP="00225952">
            <w:pPr>
              <w:pStyle w:val="HeadSideMain"/>
            </w:pPr>
          </w:p>
        </w:tc>
        <w:tc>
          <w:tcPr>
            <w:tcW w:w="7827" w:type="dxa"/>
            <w:gridSpan w:val="2"/>
          </w:tcPr>
          <w:p w:rsidR="00225952" w:rsidRPr="008C6101" w:rsidRDefault="00225952" w:rsidP="00225952">
            <w:pPr>
              <w:autoSpaceDE w:val="0"/>
              <w:autoSpaceDN w:val="0"/>
              <w:adjustRightInd w:val="0"/>
              <w:spacing w:after="0"/>
              <w:ind w:right="432"/>
              <w:rPr>
                <w:b/>
                <w:i/>
                <w:sz w:val="24"/>
                <w:szCs w:val="24"/>
              </w:rPr>
            </w:pPr>
            <w:r>
              <w:rPr>
                <w:b/>
                <w:i/>
                <w:sz w:val="24"/>
                <w:szCs w:val="24"/>
              </w:rPr>
              <w:t>Required Information:</w:t>
            </w:r>
          </w:p>
          <w:p w:rsidR="00225952" w:rsidRDefault="00225952" w:rsidP="00AD2D7A">
            <w:pPr>
              <w:pStyle w:val="BulletA"/>
              <w:numPr>
                <w:ilvl w:val="0"/>
                <w:numId w:val="97"/>
              </w:numPr>
            </w:pPr>
            <w:r w:rsidRPr="008C6101">
              <w:t>Purpose of the LTTCMS</w:t>
            </w:r>
            <w:r>
              <w:t xml:space="preserve"> </w:t>
            </w:r>
          </w:p>
          <w:p w:rsidR="00225952" w:rsidRDefault="00225952" w:rsidP="00AD2D7A">
            <w:pPr>
              <w:pStyle w:val="BulletA"/>
              <w:numPr>
                <w:ilvl w:val="0"/>
                <w:numId w:val="97"/>
              </w:numPr>
            </w:pPr>
            <w:r w:rsidRPr="008C6101">
              <w:t>Proposed study area and boundary</w:t>
            </w:r>
            <w:r>
              <w:t xml:space="preserve"> </w:t>
            </w:r>
          </w:p>
          <w:p w:rsidR="00225952" w:rsidRDefault="00225952" w:rsidP="00AD2D7A">
            <w:pPr>
              <w:pStyle w:val="BulletA"/>
              <w:numPr>
                <w:ilvl w:val="0"/>
                <w:numId w:val="97"/>
              </w:numPr>
            </w:pPr>
            <w:r w:rsidRPr="008C6101">
              <w:t>Existing and interim LOS standards</w:t>
            </w:r>
          </w:p>
          <w:p w:rsidR="00225952" w:rsidRDefault="00225952" w:rsidP="00AD2D7A">
            <w:pPr>
              <w:pStyle w:val="BulletA"/>
              <w:numPr>
                <w:ilvl w:val="0"/>
                <w:numId w:val="97"/>
              </w:numPr>
            </w:pPr>
            <w:r w:rsidRPr="008C6101">
              <w:t xml:space="preserve">Area multimodal transportation </w:t>
            </w:r>
            <w:r>
              <w:t>faci</w:t>
            </w:r>
            <w:r w:rsidRPr="008C6101">
              <w:t>lities</w:t>
            </w:r>
          </w:p>
          <w:p w:rsidR="00225952" w:rsidRDefault="00225952" w:rsidP="00AD2D7A">
            <w:pPr>
              <w:pStyle w:val="BulletA"/>
              <w:numPr>
                <w:ilvl w:val="0"/>
                <w:numId w:val="97"/>
              </w:numPr>
            </w:pPr>
            <w:r w:rsidRPr="008C6101">
              <w:t>Traffic impact evaluation within study area</w:t>
            </w:r>
          </w:p>
          <w:p w:rsidR="00225952" w:rsidRDefault="00225952" w:rsidP="00AD2D7A">
            <w:pPr>
              <w:pStyle w:val="BulletA"/>
              <w:numPr>
                <w:ilvl w:val="0"/>
                <w:numId w:val="97"/>
              </w:numPr>
            </w:pPr>
            <w:r>
              <w:t>Land use categories and zoning</w:t>
            </w:r>
            <w:r w:rsidRPr="008C6101">
              <w:t xml:space="preserve"> within study area</w:t>
            </w:r>
          </w:p>
          <w:p w:rsidR="00225952" w:rsidRDefault="00225952" w:rsidP="00AD2D7A">
            <w:pPr>
              <w:pStyle w:val="BulletA"/>
              <w:numPr>
                <w:ilvl w:val="0"/>
                <w:numId w:val="97"/>
              </w:numPr>
            </w:pPr>
            <w:r w:rsidRPr="008C6101">
              <w:t>LTCMS comprehensive plan amendments</w:t>
            </w:r>
          </w:p>
          <w:p w:rsidR="00225952" w:rsidRDefault="00225952" w:rsidP="00AD2D7A">
            <w:pPr>
              <w:pStyle w:val="BulletA"/>
              <w:numPr>
                <w:ilvl w:val="0"/>
                <w:numId w:val="97"/>
              </w:numPr>
            </w:pPr>
            <w:r w:rsidRPr="008C6101">
              <w:t>Financial feasibility analysis</w:t>
            </w:r>
          </w:p>
          <w:p w:rsidR="00225952" w:rsidRDefault="00225952" w:rsidP="00AD2D7A">
            <w:pPr>
              <w:pStyle w:val="BulletA"/>
              <w:numPr>
                <w:ilvl w:val="0"/>
                <w:numId w:val="97"/>
              </w:numPr>
            </w:pPr>
            <w:r>
              <w:t>I</w:t>
            </w:r>
            <w:r w:rsidRPr="008C6101">
              <w:t>mplementation and monitoring processes</w:t>
            </w:r>
          </w:p>
          <w:p w:rsidR="00225952" w:rsidRDefault="00225952" w:rsidP="00AD2D7A">
            <w:pPr>
              <w:pStyle w:val="BulletA"/>
              <w:numPr>
                <w:ilvl w:val="0"/>
                <w:numId w:val="97"/>
              </w:numPr>
            </w:pPr>
            <w:r w:rsidRPr="008C6101">
              <w:t>Maps and figures</w:t>
            </w:r>
          </w:p>
          <w:p w:rsidR="00225952" w:rsidRDefault="00225952" w:rsidP="00AD2D7A">
            <w:pPr>
              <w:pStyle w:val="BulletA"/>
              <w:numPr>
                <w:ilvl w:val="0"/>
                <w:numId w:val="97"/>
              </w:numPr>
            </w:pPr>
            <w:r>
              <w:t>Data and analysis used</w:t>
            </w:r>
          </w:p>
        </w:tc>
      </w:tr>
      <w:tr w:rsidR="00225952" w:rsidRPr="007C475C" w:rsidTr="00225952">
        <w:tc>
          <w:tcPr>
            <w:tcW w:w="2253" w:type="dxa"/>
          </w:tcPr>
          <w:p w:rsidR="00225952" w:rsidRPr="008956F2" w:rsidRDefault="00225952" w:rsidP="00225952">
            <w:pPr>
              <w:pStyle w:val="HeadSideMain"/>
            </w:pPr>
            <w:r w:rsidRPr="008956F2">
              <w:rPr>
                <w:lang w:eastAsia="ko-KR"/>
              </w:rPr>
              <w:t>Key Review Points</w:t>
            </w:r>
          </w:p>
        </w:tc>
        <w:tc>
          <w:tcPr>
            <w:tcW w:w="7827" w:type="dxa"/>
            <w:gridSpan w:val="2"/>
          </w:tcPr>
          <w:p w:rsidR="00225952" w:rsidRDefault="00745389">
            <w:pPr>
              <w:rPr>
                <w:rFonts w:eastAsia="Batang" w:cs="TimesNewRoman"/>
                <w:lang w:eastAsia="ko-KR"/>
              </w:rPr>
            </w:pPr>
            <w:hyperlink r:id="rId170" w:anchor="0163.3180" w:history="1">
              <w:r w:rsidR="00225952" w:rsidRPr="00BF4FA1">
                <w:rPr>
                  <w:rStyle w:val="Hyperlink"/>
                  <w:szCs w:val="24"/>
                </w:rPr>
                <w:t>Section 163.3180(9), F.S.</w:t>
              </w:r>
            </w:hyperlink>
            <w:r w:rsidR="00225952">
              <w:t xml:space="preserve">, </w:t>
            </w:r>
            <w:r w:rsidR="00225952" w:rsidRPr="008C6101">
              <w:rPr>
                <w:rFonts w:eastAsia="Batang" w:cs="TimesNewRoman"/>
                <w:lang w:eastAsia="ko-KR"/>
              </w:rPr>
              <w:t>provides the minimum requirements for a LTTCMS</w:t>
            </w:r>
            <w:r w:rsidR="00225952">
              <w:rPr>
                <w:rFonts w:eastAsia="Batang" w:cs="TimesNewRoman"/>
                <w:lang w:eastAsia="ko-KR"/>
              </w:rPr>
              <w:t xml:space="preserve">.  </w:t>
            </w:r>
            <w:r w:rsidR="00225952" w:rsidRPr="008C6101">
              <w:rPr>
                <w:rFonts w:eastAsia="Batang" w:cs="TimesNewRoman"/>
                <w:lang w:eastAsia="ko-KR"/>
              </w:rPr>
              <w:t xml:space="preserve">The jurisdiction </w:t>
            </w:r>
            <w:r w:rsidR="00225952" w:rsidRPr="008C6101">
              <w:rPr>
                <w:noProof/>
                <w:color w:val="000000"/>
              </w:rPr>
              <w:t>must designate in the comprehensive plan specific areas where significant backlogs presently exist</w:t>
            </w:r>
            <w:r w:rsidR="00225952">
              <w:rPr>
                <w:noProof/>
                <w:color w:val="000000"/>
              </w:rPr>
              <w:t>.  These areas must be shown</w:t>
            </w:r>
            <w:r w:rsidR="00225952" w:rsidRPr="008C6101">
              <w:rPr>
                <w:noProof/>
                <w:color w:val="000000"/>
              </w:rPr>
              <w:t xml:space="preserve"> </w:t>
            </w:r>
            <w:r w:rsidR="00225952">
              <w:rPr>
                <w:noProof/>
                <w:color w:val="000000"/>
              </w:rPr>
              <w:t>on a</w:t>
            </w:r>
            <w:r w:rsidR="00225952" w:rsidRPr="008C6101">
              <w:rPr>
                <w:noProof/>
                <w:color w:val="000000"/>
              </w:rPr>
              <w:t xml:space="preserve"> map and must be consistent with other elements of the comprehensive plan</w:t>
            </w:r>
            <w:r w:rsidR="00225952">
              <w:rPr>
                <w:noProof/>
                <w:color w:val="000000"/>
              </w:rPr>
              <w:t>, including the FLUM.  The LTTCMS</w:t>
            </w:r>
            <w:r w:rsidR="00225952" w:rsidRPr="008C6101">
              <w:rPr>
                <w:noProof/>
                <w:color w:val="000000"/>
              </w:rPr>
              <w:t xml:space="preserve"> must be a financially feasible system to ensure that </w:t>
            </w:r>
            <w:r w:rsidR="00225952" w:rsidRPr="008C6101">
              <w:rPr>
                <w:noProof/>
                <w:color w:val="000000"/>
              </w:rPr>
              <w:lastRenderedPageBreak/>
              <w:t xml:space="preserve">existing deficiencies are corrected within the 10 year period and establish priorities for addressing backlogged </w:t>
            </w:r>
            <w:r w:rsidR="00225952">
              <w:rPr>
                <w:noProof/>
                <w:color w:val="000000"/>
              </w:rPr>
              <w:t>fac</w:t>
            </w:r>
            <w:r w:rsidR="00225952" w:rsidRPr="008C6101">
              <w:rPr>
                <w:noProof/>
                <w:color w:val="000000"/>
              </w:rPr>
              <w:t>ilities.</w:t>
            </w:r>
          </w:p>
          <w:p w:rsidR="00225952" w:rsidRPr="00087603" w:rsidRDefault="00225952">
            <w:pPr>
              <w:rPr>
                <w:spacing w:val="-4"/>
                <w:lang w:eastAsia="ko-KR"/>
              </w:rPr>
            </w:pPr>
            <w:r w:rsidRPr="00087603">
              <w:rPr>
                <w:spacing w:val="-4"/>
                <w:lang w:eastAsia="ko-KR"/>
              </w:rPr>
              <w:t>As with all local government comprehensive plan amendments, FDOT should coordinate its review with DCA staff.  The FDOT reviewer should also be available to provide technical assistance early in the study preparation and amendment process.</w:t>
            </w:r>
          </w:p>
        </w:tc>
      </w:tr>
      <w:tr w:rsidR="00225952" w:rsidRPr="007C475C" w:rsidTr="00225952">
        <w:tc>
          <w:tcPr>
            <w:tcW w:w="10080" w:type="dxa"/>
            <w:gridSpan w:val="3"/>
          </w:tcPr>
          <w:p w:rsidR="00225952" w:rsidRDefault="00225952" w:rsidP="00225952">
            <w:pPr>
              <w:pStyle w:val="Heading3"/>
              <w:rPr>
                <w:i/>
              </w:rPr>
            </w:pPr>
            <w:bookmarkStart w:id="176" w:name="_Toc256487954"/>
            <w:bookmarkStart w:id="177" w:name="_Toc263447886"/>
            <w:bookmarkStart w:id="178" w:name="_Toc264274131"/>
            <w:r>
              <w:lastRenderedPageBreak/>
              <w:t xml:space="preserve">3.8.7 </w:t>
            </w:r>
            <w:r w:rsidRPr="008C6101">
              <w:t>Transportation Concurrency Management Areas</w:t>
            </w:r>
            <w:bookmarkEnd w:id="176"/>
            <w:bookmarkEnd w:id="177"/>
            <w:bookmarkEnd w:id="178"/>
            <w:r w:rsidRPr="008C6101">
              <w:t xml:space="preserve"> </w:t>
            </w:r>
          </w:p>
        </w:tc>
      </w:tr>
      <w:tr w:rsidR="00225952" w:rsidRPr="007C475C" w:rsidTr="00225952">
        <w:tc>
          <w:tcPr>
            <w:tcW w:w="2253" w:type="dxa"/>
          </w:tcPr>
          <w:p w:rsidR="00225952" w:rsidRPr="008956F2" w:rsidRDefault="00C92364" w:rsidP="00C92364">
            <w:pPr>
              <w:pStyle w:val="Heading4"/>
            </w:pPr>
            <w:r>
              <w:t>TCMA</w:t>
            </w:r>
          </w:p>
        </w:tc>
        <w:tc>
          <w:tcPr>
            <w:tcW w:w="7827" w:type="dxa"/>
            <w:gridSpan w:val="2"/>
          </w:tcPr>
          <w:p w:rsidR="00225952" w:rsidRDefault="00225952">
            <w:pPr>
              <w:rPr>
                <w:lang w:eastAsia="ko-KR"/>
              </w:rPr>
            </w:pPr>
            <w:r w:rsidRPr="008C6101">
              <w:rPr>
                <w:bCs/>
              </w:rPr>
              <w:t>Another alternative for local governments is</w:t>
            </w:r>
            <w:r>
              <w:rPr>
                <w:bCs/>
              </w:rPr>
              <w:t xml:space="preserve"> to establish</w:t>
            </w:r>
            <w:r w:rsidRPr="008C6101">
              <w:rPr>
                <w:bCs/>
              </w:rPr>
              <w:t xml:space="preserve"> a Transportation Concurrency Management Area (TCMA)</w:t>
            </w:r>
            <w:r>
              <w:rPr>
                <w:lang w:eastAsia="ko-KR"/>
              </w:rPr>
              <w:t>, pursuant to s.1</w:t>
            </w:r>
            <w:r w:rsidRPr="008C6101">
              <w:rPr>
                <w:lang w:eastAsia="ko-KR"/>
              </w:rPr>
              <w:t>63.3180(7), F</w:t>
            </w:r>
            <w:r>
              <w:rPr>
                <w:lang w:eastAsia="ko-KR"/>
              </w:rPr>
              <w:t>.</w:t>
            </w:r>
            <w:r w:rsidRPr="008C6101">
              <w:rPr>
                <w:lang w:eastAsia="ko-KR"/>
              </w:rPr>
              <w:t>S.</w:t>
            </w:r>
            <w:r>
              <w:rPr>
                <w:lang w:eastAsia="ko-KR"/>
              </w:rPr>
              <w:t xml:space="preserve">  A</w:t>
            </w:r>
            <w:r w:rsidRPr="008C6101">
              <w:rPr>
                <w:lang w:eastAsia="ko-KR"/>
              </w:rPr>
              <w:t xml:space="preserve"> T</w:t>
            </w:r>
            <w:r>
              <w:rPr>
                <w:lang w:eastAsia="ko-KR"/>
              </w:rPr>
              <w:t xml:space="preserve">CMA </w:t>
            </w:r>
            <w:r w:rsidRPr="008C6101">
              <w:rPr>
                <w:lang w:eastAsia="ko-KR"/>
              </w:rPr>
              <w:t>promote</w:t>
            </w:r>
            <w:r>
              <w:rPr>
                <w:lang w:eastAsia="ko-KR"/>
              </w:rPr>
              <w:t>s</w:t>
            </w:r>
            <w:r w:rsidRPr="008C6101">
              <w:rPr>
                <w:lang w:eastAsia="ko-KR"/>
              </w:rPr>
              <w:t xml:space="preserve"> urban infill development and redevelopment in an effort to reduce urban sprawl</w:t>
            </w:r>
            <w:r>
              <w:rPr>
                <w:lang w:eastAsia="ko-KR"/>
              </w:rPr>
              <w:t xml:space="preserve">.  </w:t>
            </w:r>
            <w:r w:rsidRPr="008C6101">
              <w:rPr>
                <w:lang w:eastAsia="ko-KR"/>
              </w:rPr>
              <w:t xml:space="preserve">However, a </w:t>
            </w:r>
            <w:r>
              <w:rPr>
                <w:lang w:eastAsia="ko-KR"/>
              </w:rPr>
              <w:t>TCMA differs from a TCEA because</w:t>
            </w:r>
            <w:r w:rsidRPr="008C6101">
              <w:rPr>
                <w:lang w:eastAsia="ko-KR"/>
              </w:rPr>
              <w:t xml:space="preserve"> it establishes an areawide LOS for roadways</w:t>
            </w:r>
            <w:r>
              <w:rPr>
                <w:lang w:eastAsia="ko-KR"/>
              </w:rPr>
              <w:t xml:space="preserve">.  </w:t>
            </w:r>
            <w:r w:rsidRPr="008C6101">
              <w:rPr>
                <w:lang w:eastAsia="ko-KR"/>
              </w:rPr>
              <w:t>The FDOT reviewer should coordinate with DCA and the local government to analyze the e</w:t>
            </w:r>
            <w:r>
              <w:rPr>
                <w:lang w:eastAsia="ko-KR"/>
              </w:rPr>
              <w:t>fficiency of this type of LOS.</w:t>
            </w:r>
          </w:p>
        </w:tc>
      </w:tr>
      <w:tr w:rsidR="00EC35D1" w:rsidRPr="007C475C" w:rsidTr="000569A8">
        <w:tc>
          <w:tcPr>
            <w:tcW w:w="2253" w:type="dxa"/>
          </w:tcPr>
          <w:p w:rsidR="00EC35D1" w:rsidRDefault="00EC35D1" w:rsidP="00EC35D1">
            <w:pPr>
              <w:pStyle w:val="HeadSideMain"/>
            </w:pPr>
            <w:r w:rsidRPr="008956F2">
              <w:t xml:space="preserve">Legal Authorities </w:t>
            </w:r>
          </w:p>
          <w:p w:rsidR="00EC35D1" w:rsidRPr="008956F2" w:rsidRDefault="00EC35D1">
            <w:pPr>
              <w:pStyle w:val="HeadSideMain"/>
            </w:pPr>
          </w:p>
        </w:tc>
        <w:tc>
          <w:tcPr>
            <w:tcW w:w="3913" w:type="dxa"/>
          </w:tcPr>
          <w:p w:rsidR="00EC35D1" w:rsidRPr="008C6101" w:rsidRDefault="00EC35D1" w:rsidP="00087603">
            <w:pPr>
              <w:autoSpaceDE w:val="0"/>
              <w:autoSpaceDN w:val="0"/>
              <w:adjustRightInd w:val="0"/>
              <w:spacing w:after="0"/>
              <w:ind w:right="432"/>
              <w:rPr>
                <w:bCs/>
                <w:sz w:val="24"/>
                <w:szCs w:val="24"/>
              </w:rPr>
            </w:pPr>
            <w:r w:rsidRPr="008C6101">
              <w:rPr>
                <w:b/>
                <w:bCs/>
                <w:sz w:val="24"/>
                <w:szCs w:val="24"/>
              </w:rPr>
              <w:t>Florida Statutes</w:t>
            </w:r>
            <w:r w:rsidRPr="008C6101">
              <w:rPr>
                <w:bCs/>
                <w:sz w:val="24"/>
                <w:szCs w:val="24"/>
              </w:rPr>
              <w:t>:</w:t>
            </w:r>
          </w:p>
          <w:p w:rsidR="00EC35D1" w:rsidRPr="008C6101" w:rsidRDefault="00EC35D1" w:rsidP="00AD2D7A">
            <w:pPr>
              <w:pStyle w:val="BulletA"/>
              <w:numPr>
                <w:ilvl w:val="0"/>
                <w:numId w:val="102"/>
              </w:numPr>
              <w:rPr>
                <w:bCs/>
                <w:sz w:val="24"/>
                <w:szCs w:val="24"/>
              </w:rPr>
            </w:pPr>
            <w:r>
              <w:rPr>
                <w:bCs/>
                <w:sz w:val="24"/>
                <w:szCs w:val="24"/>
              </w:rPr>
              <w:t xml:space="preserve"> </w:t>
            </w:r>
            <w:hyperlink r:id="rId171" w:anchor="0163.3184" w:history="1">
              <w:r w:rsidRPr="00754042">
                <w:rPr>
                  <w:rStyle w:val="Hyperlink"/>
                  <w:bCs/>
                  <w:szCs w:val="24"/>
                </w:rPr>
                <w:t>Section 163.3184(4)</w:t>
              </w:r>
            </w:hyperlink>
            <w:r>
              <w:rPr>
                <w:bCs/>
                <w:sz w:val="24"/>
                <w:szCs w:val="24"/>
              </w:rPr>
              <w:t>, F.S.</w:t>
            </w:r>
          </w:p>
          <w:p w:rsidR="00EC35D1" w:rsidRPr="008C6101" w:rsidRDefault="00EC35D1" w:rsidP="00AD2D7A">
            <w:pPr>
              <w:pStyle w:val="BulletA"/>
              <w:numPr>
                <w:ilvl w:val="0"/>
                <w:numId w:val="102"/>
              </w:numPr>
              <w:rPr>
                <w:bCs/>
                <w:sz w:val="24"/>
                <w:szCs w:val="24"/>
              </w:rPr>
            </w:pPr>
            <w:r>
              <w:rPr>
                <w:bCs/>
                <w:sz w:val="24"/>
                <w:szCs w:val="24"/>
              </w:rPr>
              <w:t xml:space="preserve"> </w:t>
            </w:r>
            <w:hyperlink r:id="rId172" w:anchor="0163.3180" w:history="1">
              <w:r w:rsidRPr="00BF4FA1">
                <w:rPr>
                  <w:rStyle w:val="Hyperlink"/>
                  <w:bCs/>
                  <w:szCs w:val="24"/>
                </w:rPr>
                <w:t>Section 163.3180(1)(b), F.S</w:t>
              </w:r>
            </w:hyperlink>
            <w:r>
              <w:rPr>
                <w:bCs/>
                <w:sz w:val="24"/>
                <w:szCs w:val="24"/>
              </w:rPr>
              <w:t>.</w:t>
            </w:r>
          </w:p>
          <w:p w:rsidR="00EC35D1" w:rsidRDefault="00EC35D1" w:rsidP="00AD2D7A">
            <w:pPr>
              <w:pStyle w:val="BulletA"/>
              <w:numPr>
                <w:ilvl w:val="0"/>
                <w:numId w:val="102"/>
              </w:numPr>
              <w:rPr>
                <w:bCs/>
                <w:sz w:val="24"/>
                <w:szCs w:val="24"/>
              </w:rPr>
            </w:pPr>
            <w:r>
              <w:rPr>
                <w:bCs/>
                <w:sz w:val="24"/>
                <w:szCs w:val="24"/>
              </w:rPr>
              <w:t>Section 1</w:t>
            </w:r>
            <w:r w:rsidRPr="008C6101">
              <w:rPr>
                <w:bCs/>
                <w:sz w:val="24"/>
                <w:szCs w:val="24"/>
              </w:rPr>
              <w:t>63.3180(10)</w:t>
            </w:r>
            <w:r>
              <w:rPr>
                <w:bCs/>
                <w:sz w:val="24"/>
                <w:szCs w:val="24"/>
              </w:rPr>
              <w:t>, F.S.</w:t>
            </w:r>
          </w:p>
          <w:p w:rsidR="00EC35D1" w:rsidRPr="008C6101" w:rsidRDefault="00EC35D1" w:rsidP="00AD2D7A">
            <w:pPr>
              <w:pStyle w:val="BulletA"/>
              <w:numPr>
                <w:ilvl w:val="0"/>
                <w:numId w:val="102"/>
              </w:numPr>
              <w:rPr>
                <w:bCs/>
                <w:sz w:val="24"/>
                <w:szCs w:val="24"/>
              </w:rPr>
            </w:pPr>
            <w:r>
              <w:rPr>
                <w:bCs/>
                <w:sz w:val="24"/>
                <w:szCs w:val="24"/>
              </w:rPr>
              <w:t>Section 1</w:t>
            </w:r>
            <w:r w:rsidRPr="008C6101">
              <w:rPr>
                <w:bCs/>
                <w:sz w:val="24"/>
                <w:szCs w:val="24"/>
              </w:rPr>
              <w:t>63.3180(7)</w:t>
            </w:r>
            <w:r>
              <w:rPr>
                <w:bCs/>
                <w:sz w:val="24"/>
                <w:szCs w:val="24"/>
              </w:rPr>
              <w:t>, F.S.</w:t>
            </w:r>
          </w:p>
        </w:tc>
        <w:tc>
          <w:tcPr>
            <w:tcW w:w="3914" w:type="dxa"/>
          </w:tcPr>
          <w:p w:rsidR="00EC35D1" w:rsidRPr="004E2343" w:rsidRDefault="00EC35D1" w:rsidP="00087603">
            <w:pPr>
              <w:autoSpaceDE w:val="0"/>
              <w:autoSpaceDN w:val="0"/>
              <w:adjustRightInd w:val="0"/>
              <w:spacing w:after="0"/>
              <w:ind w:right="432"/>
              <w:rPr>
                <w:b/>
                <w:bCs/>
                <w:sz w:val="24"/>
                <w:szCs w:val="24"/>
              </w:rPr>
            </w:pPr>
            <w:r w:rsidRPr="008C6101">
              <w:rPr>
                <w:b/>
                <w:bCs/>
                <w:sz w:val="24"/>
                <w:szCs w:val="24"/>
              </w:rPr>
              <w:t>Florida Administrative Code:</w:t>
            </w:r>
          </w:p>
          <w:p w:rsidR="00EC35D1" w:rsidRPr="008C6101" w:rsidRDefault="00EC35D1" w:rsidP="00AD2D7A">
            <w:pPr>
              <w:pStyle w:val="BulletA"/>
              <w:numPr>
                <w:ilvl w:val="0"/>
                <w:numId w:val="103"/>
              </w:numPr>
            </w:pPr>
            <w:r>
              <w:t>Section</w:t>
            </w:r>
            <w:r w:rsidRPr="008C6101">
              <w:t xml:space="preserve"> 9J-5.0055(5)</w:t>
            </w:r>
            <w:r>
              <w:t>, F.A.C.</w:t>
            </w:r>
          </w:p>
          <w:p w:rsidR="00EC35D1" w:rsidRPr="008C6101" w:rsidRDefault="00EC35D1" w:rsidP="00225952">
            <w:pPr>
              <w:autoSpaceDE w:val="0"/>
              <w:autoSpaceDN w:val="0"/>
              <w:adjustRightInd w:val="0"/>
              <w:spacing w:after="60"/>
              <w:ind w:right="432"/>
              <w:rPr>
                <w:b/>
                <w:bCs/>
                <w:sz w:val="24"/>
                <w:szCs w:val="24"/>
              </w:rPr>
            </w:pPr>
          </w:p>
        </w:tc>
      </w:tr>
      <w:tr w:rsidR="00225952" w:rsidRPr="007C475C" w:rsidTr="00225952">
        <w:tc>
          <w:tcPr>
            <w:tcW w:w="2253" w:type="dxa"/>
          </w:tcPr>
          <w:p w:rsidR="00225952" w:rsidRPr="008956F2" w:rsidRDefault="00745389" w:rsidP="00CC002A">
            <w:pPr>
              <w:pStyle w:val="ResourceLink"/>
            </w:pPr>
            <w:hyperlink w:anchor="R4" w:history="1">
              <w:r w:rsidR="00B13815" w:rsidRPr="00B13815">
                <w:rPr>
                  <w:rStyle w:val="Hyperlink"/>
                </w:rPr>
                <w:sym w:font="Wingdings" w:char="F0E8"/>
              </w:r>
            </w:hyperlink>
          </w:p>
        </w:tc>
        <w:tc>
          <w:tcPr>
            <w:tcW w:w="7827" w:type="dxa"/>
            <w:gridSpan w:val="2"/>
          </w:tcPr>
          <w:p w:rsidR="00225952" w:rsidRDefault="00225952" w:rsidP="00DB6AE5">
            <w:pPr>
              <w:pStyle w:val="ResourceNotTOC"/>
            </w:pPr>
            <w:bookmarkStart w:id="179" w:name="_Toc263424743"/>
            <w:r>
              <w:rPr>
                <w:color w:val="auto"/>
                <w:lang w:eastAsia="ko-KR"/>
              </w:rPr>
              <w:t>Resource Guide</w:t>
            </w:r>
            <w:r w:rsidRPr="005A0FFF">
              <w:rPr>
                <w:color w:val="auto"/>
                <w:lang w:eastAsia="ko-KR"/>
              </w:rPr>
              <w:t xml:space="preserve"> 4.</w:t>
            </w:r>
            <w:r w:rsidRPr="00B5662E">
              <w:rPr>
                <w:lang w:eastAsia="ko-KR"/>
              </w:rPr>
              <w:t xml:space="preserve">  Concurrency Alternatives</w:t>
            </w:r>
            <w:bookmarkEnd w:id="179"/>
            <w:r>
              <w:rPr>
                <w:lang w:eastAsia="ko-KR"/>
              </w:rPr>
              <w:t xml:space="preserve"> </w:t>
            </w:r>
          </w:p>
        </w:tc>
      </w:tr>
      <w:tr w:rsidR="00225952" w:rsidRPr="007C475C" w:rsidTr="00225952">
        <w:tc>
          <w:tcPr>
            <w:tcW w:w="2253" w:type="dxa"/>
          </w:tcPr>
          <w:p w:rsidR="00225952" w:rsidRDefault="00225952">
            <w:pPr>
              <w:pStyle w:val="HeadSideMain"/>
            </w:pPr>
            <w:r w:rsidRPr="008956F2">
              <w:t>Review Procedure</w:t>
            </w:r>
          </w:p>
          <w:p w:rsidR="00225952" w:rsidRPr="008956F2" w:rsidRDefault="00225952" w:rsidP="00225952">
            <w:pPr>
              <w:pStyle w:val="HeadSideMain"/>
            </w:pPr>
          </w:p>
        </w:tc>
        <w:tc>
          <w:tcPr>
            <w:tcW w:w="7827" w:type="dxa"/>
            <w:gridSpan w:val="2"/>
          </w:tcPr>
          <w:p w:rsidR="00EC35D1" w:rsidRDefault="00225952" w:rsidP="00EC35D1">
            <w:pPr>
              <w:autoSpaceDE w:val="0"/>
              <w:autoSpaceDN w:val="0"/>
              <w:adjustRightInd w:val="0"/>
              <w:spacing w:after="0"/>
              <w:ind w:right="432"/>
              <w:rPr>
                <w:b/>
                <w:bCs/>
                <w:i/>
                <w:sz w:val="24"/>
                <w:szCs w:val="24"/>
              </w:rPr>
            </w:pPr>
            <w:r>
              <w:rPr>
                <w:b/>
                <w:bCs/>
                <w:i/>
                <w:sz w:val="24"/>
                <w:szCs w:val="24"/>
              </w:rPr>
              <w:t>Required Information:</w:t>
            </w:r>
            <w:r w:rsidRPr="008C6101">
              <w:rPr>
                <w:b/>
                <w:bCs/>
                <w:i/>
                <w:sz w:val="24"/>
                <w:szCs w:val="24"/>
              </w:rPr>
              <w:t xml:space="preserve"> </w:t>
            </w:r>
          </w:p>
          <w:p w:rsidR="00225952" w:rsidRPr="00EC35D1" w:rsidRDefault="00225952" w:rsidP="00AD2D7A">
            <w:pPr>
              <w:pStyle w:val="BulletA"/>
              <w:numPr>
                <w:ilvl w:val="0"/>
                <w:numId w:val="97"/>
              </w:numPr>
            </w:pPr>
            <w:r w:rsidRPr="0026114D">
              <w:t>Justification for TCMA</w:t>
            </w:r>
          </w:p>
          <w:p w:rsidR="00225952" w:rsidRPr="0026114D" w:rsidRDefault="00225952" w:rsidP="00AD2D7A">
            <w:pPr>
              <w:pStyle w:val="BulletA"/>
              <w:numPr>
                <w:ilvl w:val="0"/>
                <w:numId w:val="97"/>
              </w:numPr>
            </w:pPr>
            <w:r w:rsidRPr="0026114D">
              <w:t>TCMA size and boundaries</w:t>
            </w:r>
          </w:p>
          <w:p w:rsidR="00225952" w:rsidRPr="0026114D" w:rsidRDefault="00225952" w:rsidP="00AD2D7A">
            <w:pPr>
              <w:pStyle w:val="BulletA"/>
              <w:numPr>
                <w:ilvl w:val="0"/>
                <w:numId w:val="97"/>
              </w:numPr>
            </w:pPr>
            <w:r w:rsidRPr="0026114D">
              <w:t>Roadway system</w:t>
            </w:r>
          </w:p>
          <w:p w:rsidR="00225952" w:rsidRPr="0026114D" w:rsidRDefault="00225952" w:rsidP="00AD2D7A">
            <w:pPr>
              <w:pStyle w:val="BulletA"/>
              <w:numPr>
                <w:ilvl w:val="0"/>
                <w:numId w:val="97"/>
              </w:numPr>
            </w:pPr>
            <w:r w:rsidRPr="0026114D">
              <w:t>Areawide LOS analysis</w:t>
            </w:r>
          </w:p>
          <w:p w:rsidR="00225952" w:rsidRDefault="00225952" w:rsidP="00AD2D7A">
            <w:pPr>
              <w:pStyle w:val="BulletA"/>
              <w:numPr>
                <w:ilvl w:val="0"/>
                <w:numId w:val="97"/>
              </w:numPr>
              <w:rPr>
                <w:lang w:eastAsia="ko-KR"/>
              </w:rPr>
            </w:pPr>
            <w:r w:rsidRPr="0026114D">
              <w:t>Land use categories in the TCMA</w:t>
            </w:r>
          </w:p>
        </w:tc>
      </w:tr>
      <w:tr w:rsidR="00225952" w:rsidRPr="007C475C" w:rsidTr="00225952">
        <w:tc>
          <w:tcPr>
            <w:tcW w:w="2253" w:type="dxa"/>
          </w:tcPr>
          <w:p w:rsidR="00225952" w:rsidRPr="008956F2" w:rsidRDefault="00225952" w:rsidP="00225952">
            <w:pPr>
              <w:pStyle w:val="HeadSideMain"/>
            </w:pPr>
            <w:r w:rsidRPr="00A1778F">
              <w:t>Key Review Points</w:t>
            </w:r>
          </w:p>
        </w:tc>
        <w:tc>
          <w:tcPr>
            <w:tcW w:w="7827" w:type="dxa"/>
            <w:gridSpan w:val="2"/>
          </w:tcPr>
          <w:p w:rsidR="00225952" w:rsidRDefault="00225952" w:rsidP="00087603">
            <w:pPr>
              <w:spacing w:after="0"/>
              <w:rPr>
                <w:lang w:eastAsia="ko-KR"/>
              </w:rPr>
            </w:pPr>
            <w:r w:rsidRPr="008C6101">
              <w:rPr>
                <w:lang w:eastAsia="ko-KR"/>
              </w:rPr>
              <w:t>The LOS for T</w:t>
            </w:r>
            <w:r>
              <w:rPr>
                <w:lang w:eastAsia="ko-KR"/>
              </w:rPr>
              <w:t xml:space="preserve">CMAs is determined by analyzing </w:t>
            </w:r>
            <w:r w:rsidRPr="008C6101">
              <w:rPr>
                <w:lang w:eastAsia="ko-KR"/>
              </w:rPr>
              <w:t xml:space="preserve">the LOS on similar transportation </w:t>
            </w:r>
            <w:r>
              <w:rPr>
                <w:lang w:eastAsia="ko-KR"/>
              </w:rPr>
              <w:t>fac</w:t>
            </w:r>
            <w:r w:rsidRPr="008C6101">
              <w:rPr>
                <w:lang w:eastAsia="ko-KR"/>
              </w:rPr>
              <w:t>ilities within the management area serving common origins and destinations</w:t>
            </w:r>
            <w:r>
              <w:rPr>
                <w:lang w:eastAsia="ko-KR"/>
              </w:rPr>
              <w:t xml:space="preserve">. </w:t>
            </w:r>
            <w:r w:rsidR="00EC35D1">
              <w:rPr>
                <w:lang w:eastAsia="ko-KR"/>
              </w:rPr>
              <w:br/>
            </w:r>
            <w:r>
              <w:rPr>
                <w:lang w:eastAsia="ko-KR"/>
              </w:rPr>
              <w:t xml:space="preserve"> </w:t>
            </w:r>
            <w:r w:rsidRPr="008C6101">
              <w:rPr>
                <w:lang w:eastAsia="ko-KR"/>
              </w:rPr>
              <w:t>If a TCMA has been specified within the LGCP , the plan amendment should:</w:t>
            </w:r>
          </w:p>
          <w:p w:rsidR="00225952" w:rsidRDefault="00225952" w:rsidP="00AD2D7A">
            <w:pPr>
              <w:pStyle w:val="BulletA"/>
              <w:numPr>
                <w:ilvl w:val="0"/>
                <w:numId w:val="104"/>
              </w:numPr>
              <w:rPr>
                <w:lang w:eastAsia="ko-KR"/>
              </w:rPr>
            </w:pPr>
            <w:r w:rsidRPr="008C6101">
              <w:rPr>
                <w:lang w:eastAsia="ko-KR"/>
              </w:rPr>
              <w:t>Show that the TCMA supports and promotes other elements</w:t>
            </w:r>
          </w:p>
          <w:p w:rsidR="00225952" w:rsidRDefault="00225952" w:rsidP="00AD2D7A">
            <w:pPr>
              <w:pStyle w:val="BulletA"/>
              <w:numPr>
                <w:ilvl w:val="0"/>
                <w:numId w:val="104"/>
              </w:numPr>
              <w:rPr>
                <w:lang w:eastAsia="ko-KR"/>
              </w:rPr>
            </w:pPr>
            <w:r>
              <w:rPr>
                <w:lang w:eastAsia="ko-KR"/>
              </w:rPr>
              <w:t>Demonstrate network connectivity and provide multiple options or mode for common trips</w:t>
            </w:r>
          </w:p>
          <w:p w:rsidR="00225952" w:rsidRPr="00087603" w:rsidRDefault="00225952" w:rsidP="00AD2D7A">
            <w:pPr>
              <w:pStyle w:val="BulletA"/>
              <w:numPr>
                <w:ilvl w:val="0"/>
                <w:numId w:val="104"/>
              </w:numPr>
              <w:rPr>
                <w:spacing w:val="-4"/>
                <w:lang w:eastAsia="ko-KR"/>
              </w:rPr>
            </w:pPr>
            <w:r w:rsidRPr="00087603">
              <w:rPr>
                <w:spacing w:val="-4"/>
                <w:lang w:eastAsia="ko-KR"/>
              </w:rPr>
              <w:t>Determine current and future service requirements needed to maintain LOS</w:t>
            </w:r>
          </w:p>
          <w:p w:rsidR="00225952" w:rsidRDefault="00225952" w:rsidP="00AD2D7A">
            <w:pPr>
              <w:pStyle w:val="BulletA"/>
              <w:numPr>
                <w:ilvl w:val="0"/>
                <w:numId w:val="104"/>
              </w:numPr>
              <w:rPr>
                <w:lang w:eastAsia="ko-KR"/>
              </w:rPr>
            </w:pPr>
            <w:r>
              <w:rPr>
                <w:lang w:eastAsia="ko-KR"/>
              </w:rPr>
              <w:t>Show that the LOS and facilities will support infill development and redevelopment, and</w:t>
            </w:r>
          </w:p>
          <w:p w:rsidR="00225952" w:rsidRPr="00087603" w:rsidRDefault="00225952" w:rsidP="00087603">
            <w:pPr>
              <w:pStyle w:val="BulletA"/>
              <w:numPr>
                <w:ilvl w:val="0"/>
                <w:numId w:val="104"/>
              </w:numPr>
              <w:rPr>
                <w:lang w:eastAsia="ko-KR"/>
              </w:rPr>
            </w:pPr>
            <w:r>
              <w:rPr>
                <w:lang w:eastAsia="ko-KR"/>
              </w:rPr>
              <w:t>Demonstrate that the planned improvements and alternate modes will achieve mobility.</w:t>
            </w:r>
          </w:p>
        </w:tc>
      </w:tr>
      <w:tr w:rsidR="00225952" w:rsidRPr="007C475C" w:rsidTr="00225952">
        <w:tc>
          <w:tcPr>
            <w:tcW w:w="10080" w:type="dxa"/>
            <w:gridSpan w:val="3"/>
          </w:tcPr>
          <w:p w:rsidR="00225952" w:rsidRDefault="00225952" w:rsidP="00225952">
            <w:pPr>
              <w:pStyle w:val="Heading3"/>
            </w:pPr>
            <w:bookmarkStart w:id="180" w:name="_Toc256487955"/>
            <w:bookmarkStart w:id="181" w:name="_Toc263447887"/>
            <w:bookmarkStart w:id="182" w:name="_Toc264274132"/>
            <w:r>
              <w:lastRenderedPageBreak/>
              <w:t xml:space="preserve">3.8.8 </w:t>
            </w:r>
            <w:r w:rsidRPr="008C6101">
              <w:t>Transportation Concurrency Backlog Authorities</w:t>
            </w:r>
            <w:bookmarkEnd w:id="180"/>
            <w:bookmarkEnd w:id="181"/>
            <w:bookmarkEnd w:id="182"/>
          </w:p>
        </w:tc>
      </w:tr>
      <w:tr w:rsidR="00225952" w:rsidRPr="007C475C" w:rsidTr="00225952">
        <w:tc>
          <w:tcPr>
            <w:tcW w:w="2253" w:type="dxa"/>
          </w:tcPr>
          <w:p w:rsidR="00225952" w:rsidRPr="008956F2" w:rsidRDefault="00225952" w:rsidP="00225952">
            <w:pPr>
              <w:pStyle w:val="HeadSideMain"/>
            </w:pPr>
          </w:p>
        </w:tc>
        <w:tc>
          <w:tcPr>
            <w:tcW w:w="7827" w:type="dxa"/>
            <w:gridSpan w:val="2"/>
          </w:tcPr>
          <w:p w:rsidR="00225952" w:rsidRPr="008C6101" w:rsidRDefault="00225952" w:rsidP="00225952">
            <w:r>
              <w:t xml:space="preserve">Pursuant to </w:t>
            </w:r>
            <w:hyperlink r:id="rId173" w:anchor="0163.3182" w:history="1">
              <w:r w:rsidRPr="00754042">
                <w:rPr>
                  <w:rStyle w:val="Hyperlink"/>
                  <w:bCs/>
                  <w:szCs w:val="24"/>
                </w:rPr>
                <w:t>s.163.3182, F.S.</w:t>
              </w:r>
            </w:hyperlink>
            <w:r>
              <w:t xml:space="preserve">, a local government may create a Transportation Concurrency Backlog Authority if it has an identified transportation concurrency backlog.  </w:t>
            </w:r>
            <w:r w:rsidRPr="008C6101">
              <w:t xml:space="preserve">The statute defines a backlog as an identified deficiency where the existing extent of traffic volume exceeds the </w:t>
            </w:r>
            <w:r>
              <w:t>LOS</w:t>
            </w:r>
            <w:r w:rsidRPr="008C6101">
              <w:t xml:space="preserve"> standard adopted in a local government comprehensive plan for a transportation </w:t>
            </w:r>
            <w:r>
              <w:t xml:space="preserve">facility.  </w:t>
            </w:r>
            <w:r w:rsidRPr="008C6101">
              <w:t>This</w:t>
            </w:r>
            <w:r>
              <w:t xml:space="preserve"> definition pertains to s.</w:t>
            </w:r>
            <w:r w:rsidRPr="008C6101">
              <w:t>163.3182, F.S.</w:t>
            </w:r>
            <w:r>
              <w:t>,</w:t>
            </w:r>
            <w:r w:rsidRPr="008C6101">
              <w:t xml:space="preserve"> </w:t>
            </w:r>
            <w:r>
              <w:t xml:space="preserve">only.  Such an authority would develop a plan to eliminate the backlogs and the plan would be adopted as part of the local comprehensive plan.  </w:t>
            </w:r>
          </w:p>
        </w:tc>
      </w:tr>
      <w:tr w:rsidR="00EC35D1" w:rsidRPr="007C475C" w:rsidTr="000569A8">
        <w:tc>
          <w:tcPr>
            <w:tcW w:w="2253" w:type="dxa"/>
          </w:tcPr>
          <w:p w:rsidR="00EC35D1" w:rsidRDefault="00EC35D1" w:rsidP="00EC35D1">
            <w:pPr>
              <w:pStyle w:val="HeadSideMain"/>
            </w:pPr>
            <w:r w:rsidRPr="008956F2">
              <w:t>Legal Authorities</w:t>
            </w:r>
          </w:p>
          <w:p w:rsidR="00EC35D1" w:rsidRPr="008956F2" w:rsidRDefault="00EC35D1">
            <w:pPr>
              <w:pStyle w:val="HeadSideMain"/>
            </w:pPr>
          </w:p>
        </w:tc>
        <w:tc>
          <w:tcPr>
            <w:tcW w:w="3913" w:type="dxa"/>
          </w:tcPr>
          <w:p w:rsidR="00EC35D1" w:rsidRPr="008C6101" w:rsidRDefault="00EC35D1" w:rsidP="00EC35D1">
            <w:pPr>
              <w:autoSpaceDE w:val="0"/>
              <w:autoSpaceDN w:val="0"/>
              <w:adjustRightInd w:val="0"/>
              <w:spacing w:after="60"/>
              <w:ind w:right="432"/>
              <w:rPr>
                <w:b/>
                <w:sz w:val="24"/>
                <w:szCs w:val="24"/>
              </w:rPr>
            </w:pPr>
            <w:r w:rsidRPr="008C6101">
              <w:rPr>
                <w:b/>
                <w:sz w:val="24"/>
                <w:szCs w:val="24"/>
              </w:rPr>
              <w:t>Florida Statutes:</w:t>
            </w:r>
          </w:p>
          <w:p w:rsidR="00EC35D1" w:rsidRDefault="00EC35D1" w:rsidP="00AD2D7A">
            <w:pPr>
              <w:pStyle w:val="BulletA"/>
              <w:numPr>
                <w:ilvl w:val="0"/>
                <w:numId w:val="105"/>
              </w:numPr>
              <w:rPr>
                <w:sz w:val="24"/>
                <w:szCs w:val="24"/>
              </w:rPr>
            </w:pPr>
            <w:r>
              <w:rPr>
                <w:sz w:val="24"/>
                <w:szCs w:val="24"/>
              </w:rPr>
              <w:t xml:space="preserve">Section </w:t>
            </w:r>
            <w:hyperlink r:id="rId174" w:anchor="0163.3182" w:history="1">
              <w:r w:rsidRPr="00754042">
                <w:rPr>
                  <w:rStyle w:val="Hyperlink"/>
                  <w:szCs w:val="24"/>
                </w:rPr>
                <w:t>163.3182, F.S.</w:t>
              </w:r>
            </w:hyperlink>
          </w:p>
          <w:p w:rsidR="00EC35D1" w:rsidRDefault="00EC35D1" w:rsidP="00AD2D7A">
            <w:pPr>
              <w:pStyle w:val="BulletA"/>
              <w:numPr>
                <w:ilvl w:val="0"/>
                <w:numId w:val="105"/>
              </w:numPr>
              <w:rPr>
                <w:sz w:val="24"/>
                <w:szCs w:val="24"/>
              </w:rPr>
            </w:pPr>
            <w:r>
              <w:rPr>
                <w:sz w:val="24"/>
                <w:szCs w:val="24"/>
              </w:rPr>
              <w:t xml:space="preserve">Section </w:t>
            </w:r>
            <w:hyperlink r:id="rId175" w:anchor="0163.3184" w:history="1">
              <w:r w:rsidRPr="00754042">
                <w:rPr>
                  <w:rStyle w:val="Hyperlink"/>
                  <w:szCs w:val="24"/>
                </w:rPr>
                <w:t>163.3184(3), F.S</w:t>
              </w:r>
            </w:hyperlink>
            <w:r>
              <w:rPr>
                <w:sz w:val="24"/>
                <w:szCs w:val="24"/>
              </w:rPr>
              <w:t>.</w:t>
            </w:r>
          </w:p>
          <w:p w:rsidR="00EC35D1" w:rsidRDefault="00EC35D1" w:rsidP="00AD2D7A">
            <w:pPr>
              <w:pStyle w:val="BulletA"/>
              <w:numPr>
                <w:ilvl w:val="0"/>
                <w:numId w:val="105"/>
              </w:numPr>
              <w:rPr>
                <w:sz w:val="24"/>
                <w:szCs w:val="24"/>
              </w:rPr>
            </w:pPr>
            <w:r>
              <w:rPr>
                <w:sz w:val="24"/>
                <w:szCs w:val="24"/>
              </w:rPr>
              <w:t>Section</w:t>
            </w:r>
            <w:r w:rsidRPr="008C6101">
              <w:rPr>
                <w:sz w:val="24"/>
                <w:szCs w:val="24"/>
              </w:rPr>
              <w:t xml:space="preserve"> 163.3184(4)</w:t>
            </w:r>
            <w:r>
              <w:rPr>
                <w:sz w:val="24"/>
                <w:szCs w:val="24"/>
              </w:rPr>
              <w:t>, F.S.</w:t>
            </w:r>
          </w:p>
          <w:p w:rsidR="00EC35D1" w:rsidRDefault="00EC35D1" w:rsidP="00AD2D7A">
            <w:pPr>
              <w:pStyle w:val="BulletA"/>
              <w:numPr>
                <w:ilvl w:val="0"/>
                <w:numId w:val="105"/>
              </w:numPr>
              <w:rPr>
                <w:sz w:val="24"/>
                <w:szCs w:val="24"/>
              </w:rPr>
            </w:pPr>
            <w:r>
              <w:rPr>
                <w:sz w:val="24"/>
                <w:szCs w:val="24"/>
              </w:rPr>
              <w:t xml:space="preserve"> </w:t>
            </w:r>
            <w:hyperlink r:id="rId176" w:anchor="0163.3180" w:history="1">
              <w:r w:rsidRPr="00BF4FA1">
                <w:rPr>
                  <w:rStyle w:val="Hyperlink"/>
                  <w:szCs w:val="24"/>
                </w:rPr>
                <w:t>Section 163.3180(1)(b), F.S</w:t>
              </w:r>
            </w:hyperlink>
            <w:r>
              <w:rPr>
                <w:sz w:val="24"/>
                <w:szCs w:val="24"/>
              </w:rPr>
              <w:t>.</w:t>
            </w:r>
          </w:p>
          <w:p w:rsidR="00EC35D1" w:rsidRDefault="00EC35D1" w:rsidP="00AD2D7A">
            <w:pPr>
              <w:pStyle w:val="BulletA"/>
              <w:numPr>
                <w:ilvl w:val="0"/>
                <w:numId w:val="105"/>
              </w:numPr>
              <w:rPr>
                <w:sz w:val="24"/>
                <w:szCs w:val="24"/>
              </w:rPr>
            </w:pPr>
            <w:r>
              <w:rPr>
                <w:sz w:val="24"/>
                <w:szCs w:val="24"/>
              </w:rPr>
              <w:t xml:space="preserve">Section </w:t>
            </w:r>
            <w:r w:rsidRPr="008C6101">
              <w:rPr>
                <w:sz w:val="24"/>
                <w:szCs w:val="24"/>
              </w:rPr>
              <w:t>163.3180(10)</w:t>
            </w:r>
            <w:r>
              <w:rPr>
                <w:sz w:val="24"/>
                <w:szCs w:val="24"/>
              </w:rPr>
              <w:t>, F.S.</w:t>
            </w:r>
          </w:p>
        </w:tc>
        <w:tc>
          <w:tcPr>
            <w:tcW w:w="3914" w:type="dxa"/>
          </w:tcPr>
          <w:p w:rsidR="00EC35D1" w:rsidRPr="00EC35D1" w:rsidRDefault="00EC35D1" w:rsidP="00EC35D1">
            <w:pPr>
              <w:autoSpaceDE w:val="0"/>
              <w:autoSpaceDN w:val="0"/>
              <w:adjustRightInd w:val="0"/>
              <w:spacing w:after="60"/>
              <w:ind w:right="432"/>
              <w:rPr>
                <w:b/>
                <w:sz w:val="24"/>
                <w:szCs w:val="24"/>
              </w:rPr>
            </w:pPr>
            <w:r w:rsidRPr="00EC35D1">
              <w:rPr>
                <w:b/>
                <w:sz w:val="24"/>
                <w:szCs w:val="24"/>
              </w:rPr>
              <w:t>Florida Administrative Code:</w:t>
            </w:r>
          </w:p>
          <w:p w:rsidR="00EC35D1" w:rsidRPr="008C6101" w:rsidRDefault="00EC35D1" w:rsidP="00AD2D7A">
            <w:pPr>
              <w:pStyle w:val="BulletA"/>
              <w:numPr>
                <w:ilvl w:val="0"/>
                <w:numId w:val="106"/>
              </w:numPr>
            </w:pPr>
            <w:r>
              <w:t xml:space="preserve">Rule </w:t>
            </w:r>
            <w:r w:rsidRPr="008C6101">
              <w:t>9J-5</w:t>
            </w:r>
            <w:r>
              <w:t>, F.A.C.</w:t>
            </w:r>
          </w:p>
          <w:p w:rsidR="00EC35D1" w:rsidRPr="008C6101" w:rsidRDefault="00EC35D1" w:rsidP="00AD2D7A">
            <w:pPr>
              <w:pStyle w:val="BulletA"/>
              <w:numPr>
                <w:ilvl w:val="0"/>
                <w:numId w:val="106"/>
              </w:numPr>
            </w:pPr>
            <w:r>
              <w:t xml:space="preserve">Rule </w:t>
            </w:r>
            <w:r w:rsidRPr="008C6101">
              <w:t>9J-11</w:t>
            </w:r>
            <w:r>
              <w:t>, F.A.C.</w:t>
            </w:r>
          </w:p>
          <w:p w:rsidR="00EC35D1" w:rsidRPr="008C6101" w:rsidRDefault="00EC35D1" w:rsidP="00225952">
            <w:pPr>
              <w:autoSpaceDE w:val="0"/>
              <w:autoSpaceDN w:val="0"/>
              <w:adjustRightInd w:val="0"/>
              <w:spacing w:after="60"/>
              <w:ind w:right="432"/>
              <w:rPr>
                <w:b/>
                <w:sz w:val="24"/>
                <w:szCs w:val="24"/>
              </w:rPr>
            </w:pPr>
          </w:p>
        </w:tc>
      </w:tr>
      <w:tr w:rsidR="00225952" w:rsidRPr="007C475C" w:rsidTr="00225952">
        <w:tc>
          <w:tcPr>
            <w:tcW w:w="2253" w:type="dxa"/>
          </w:tcPr>
          <w:p w:rsidR="00225952" w:rsidRPr="008956F2" w:rsidRDefault="00745389" w:rsidP="00CC002A">
            <w:pPr>
              <w:pStyle w:val="ResourceLink"/>
            </w:pPr>
            <w:hyperlink w:anchor="R4" w:history="1">
              <w:r w:rsidR="00F52017" w:rsidRPr="00B13815">
                <w:rPr>
                  <w:rStyle w:val="Hyperlink"/>
                </w:rPr>
                <w:sym w:font="Wingdings" w:char="F0E8"/>
              </w:r>
            </w:hyperlink>
          </w:p>
        </w:tc>
        <w:tc>
          <w:tcPr>
            <w:tcW w:w="7827" w:type="dxa"/>
            <w:gridSpan w:val="2"/>
          </w:tcPr>
          <w:p w:rsidR="00225952" w:rsidRDefault="00225952" w:rsidP="00EC35D1">
            <w:pPr>
              <w:pStyle w:val="ResourceNotTOC"/>
            </w:pPr>
            <w:r>
              <w:rPr>
                <w:color w:val="1D1B11"/>
                <w:lang w:eastAsia="ko-KR"/>
              </w:rPr>
              <w:t>Resource Guide</w:t>
            </w:r>
            <w:r w:rsidRPr="00B5662E">
              <w:rPr>
                <w:color w:val="1D1B11"/>
                <w:lang w:eastAsia="ko-KR"/>
              </w:rPr>
              <w:t xml:space="preserve"> 4.</w:t>
            </w:r>
            <w:r w:rsidRPr="00B5662E">
              <w:rPr>
                <w:lang w:eastAsia="ko-KR"/>
              </w:rPr>
              <w:t xml:space="preserve">  Concurrency Alternatives</w:t>
            </w:r>
            <w:r>
              <w:rPr>
                <w:lang w:eastAsia="ko-KR"/>
              </w:rPr>
              <w:t xml:space="preserve"> </w:t>
            </w:r>
          </w:p>
        </w:tc>
      </w:tr>
      <w:tr w:rsidR="00225952" w:rsidRPr="007C475C" w:rsidTr="00225952">
        <w:tc>
          <w:tcPr>
            <w:tcW w:w="2253" w:type="dxa"/>
          </w:tcPr>
          <w:p w:rsidR="00225952" w:rsidRDefault="00225952">
            <w:pPr>
              <w:pStyle w:val="HeadSideMain"/>
            </w:pPr>
            <w:r w:rsidRPr="008956F2">
              <w:t>Review Guidance</w:t>
            </w:r>
          </w:p>
          <w:p w:rsidR="00225952" w:rsidRPr="008956F2" w:rsidRDefault="00225952" w:rsidP="00225952">
            <w:pPr>
              <w:pStyle w:val="HeadSideMain"/>
            </w:pPr>
          </w:p>
        </w:tc>
        <w:tc>
          <w:tcPr>
            <w:tcW w:w="7827" w:type="dxa"/>
            <w:gridSpan w:val="2"/>
          </w:tcPr>
          <w:p w:rsidR="00225952" w:rsidRPr="008C6101" w:rsidRDefault="00225952" w:rsidP="00225952">
            <w:pPr>
              <w:autoSpaceDE w:val="0"/>
              <w:autoSpaceDN w:val="0"/>
              <w:adjustRightInd w:val="0"/>
              <w:spacing w:after="0"/>
              <w:ind w:right="432"/>
              <w:rPr>
                <w:b/>
                <w:i/>
                <w:sz w:val="24"/>
                <w:szCs w:val="24"/>
              </w:rPr>
            </w:pPr>
            <w:r>
              <w:rPr>
                <w:b/>
                <w:i/>
                <w:sz w:val="24"/>
                <w:szCs w:val="24"/>
              </w:rPr>
              <w:t>Required Information:</w:t>
            </w:r>
          </w:p>
          <w:p w:rsidR="00225952" w:rsidRPr="008C6101" w:rsidRDefault="00225952" w:rsidP="00AD2D7A">
            <w:pPr>
              <w:pStyle w:val="BulletA"/>
              <w:numPr>
                <w:ilvl w:val="0"/>
                <w:numId w:val="107"/>
              </w:numPr>
            </w:pPr>
            <w:r w:rsidRPr="008C6101">
              <w:t>The Transportation Concurrency Backlog Plan</w:t>
            </w:r>
          </w:p>
          <w:p w:rsidR="00225952" w:rsidRPr="008C6101" w:rsidRDefault="00225952" w:rsidP="00AD2D7A">
            <w:pPr>
              <w:pStyle w:val="BulletA"/>
              <w:numPr>
                <w:ilvl w:val="0"/>
                <w:numId w:val="107"/>
              </w:numPr>
            </w:pPr>
            <w:r w:rsidRPr="008C6101">
              <w:t xml:space="preserve">An identification of concurrency backlogged </w:t>
            </w:r>
            <w:r>
              <w:t>faci</w:t>
            </w:r>
            <w:r w:rsidRPr="008C6101">
              <w:t>lities</w:t>
            </w:r>
          </w:p>
          <w:p w:rsidR="00225952" w:rsidRPr="008C6101" w:rsidRDefault="00225952" w:rsidP="00AD2D7A">
            <w:pPr>
              <w:pStyle w:val="BulletA"/>
              <w:numPr>
                <w:ilvl w:val="0"/>
                <w:numId w:val="107"/>
              </w:numPr>
            </w:pPr>
            <w:r w:rsidRPr="008C6101">
              <w:t>Financial feasibility analysis</w:t>
            </w:r>
          </w:p>
          <w:p w:rsidR="00225952" w:rsidRPr="008C6101" w:rsidRDefault="00225952" w:rsidP="00AD2D7A">
            <w:pPr>
              <w:pStyle w:val="BulletA"/>
              <w:numPr>
                <w:ilvl w:val="0"/>
                <w:numId w:val="107"/>
              </w:numPr>
            </w:pPr>
            <w:r w:rsidRPr="008C6101">
              <w:t>Schedule for completion of projects</w:t>
            </w:r>
          </w:p>
          <w:p w:rsidR="00225952" w:rsidRPr="008C6101" w:rsidRDefault="00225952" w:rsidP="00AD2D7A">
            <w:pPr>
              <w:pStyle w:val="BulletA"/>
              <w:numPr>
                <w:ilvl w:val="0"/>
                <w:numId w:val="107"/>
              </w:numPr>
            </w:pPr>
            <w:r w:rsidRPr="008C6101">
              <w:t>Proposed study area and boundary</w:t>
            </w:r>
          </w:p>
          <w:p w:rsidR="00225952" w:rsidRPr="008C6101" w:rsidRDefault="00225952" w:rsidP="00AD2D7A">
            <w:pPr>
              <w:pStyle w:val="BulletA"/>
              <w:numPr>
                <w:ilvl w:val="0"/>
                <w:numId w:val="107"/>
              </w:numPr>
            </w:pPr>
            <w:r w:rsidRPr="008C6101">
              <w:t>Existing LOS standards</w:t>
            </w:r>
          </w:p>
          <w:p w:rsidR="00225952" w:rsidRPr="008C6101" w:rsidRDefault="00225952" w:rsidP="00AD2D7A">
            <w:pPr>
              <w:pStyle w:val="BulletA"/>
              <w:numPr>
                <w:ilvl w:val="0"/>
                <w:numId w:val="107"/>
              </w:numPr>
            </w:pPr>
            <w:r w:rsidRPr="008C6101">
              <w:t xml:space="preserve">Area multimodal transportation </w:t>
            </w:r>
            <w:r>
              <w:t>fac</w:t>
            </w:r>
            <w:r w:rsidRPr="008C6101">
              <w:t>ilities</w:t>
            </w:r>
          </w:p>
          <w:p w:rsidR="00225952" w:rsidRPr="008C6101" w:rsidRDefault="00225952" w:rsidP="00AD2D7A">
            <w:pPr>
              <w:pStyle w:val="BulletA"/>
              <w:numPr>
                <w:ilvl w:val="0"/>
                <w:numId w:val="107"/>
              </w:numPr>
            </w:pPr>
            <w:r w:rsidRPr="008C6101">
              <w:t>Traffic impact evaluation within study area</w:t>
            </w:r>
          </w:p>
          <w:p w:rsidR="00225952" w:rsidRPr="008C6101" w:rsidRDefault="00225952" w:rsidP="00AD2D7A">
            <w:pPr>
              <w:pStyle w:val="BulletA"/>
              <w:numPr>
                <w:ilvl w:val="0"/>
                <w:numId w:val="107"/>
              </w:numPr>
            </w:pPr>
            <w:r w:rsidRPr="008C6101">
              <w:t>Potential development within study area</w:t>
            </w:r>
          </w:p>
          <w:p w:rsidR="00225952" w:rsidRPr="008C6101" w:rsidRDefault="00225952" w:rsidP="00AD2D7A">
            <w:pPr>
              <w:pStyle w:val="BulletA"/>
              <w:numPr>
                <w:ilvl w:val="0"/>
                <w:numId w:val="107"/>
              </w:numPr>
            </w:pPr>
            <w:r>
              <w:t>Co</w:t>
            </w:r>
            <w:r w:rsidRPr="008C6101">
              <w:t>mprehensive plan amendments</w:t>
            </w:r>
          </w:p>
          <w:p w:rsidR="00225952" w:rsidRPr="008C6101" w:rsidRDefault="00225952" w:rsidP="00AD2D7A">
            <w:pPr>
              <w:pStyle w:val="BulletA"/>
              <w:numPr>
                <w:ilvl w:val="0"/>
                <w:numId w:val="107"/>
              </w:numPr>
            </w:pPr>
            <w:r w:rsidRPr="008C6101">
              <w:t>Maps and figures</w:t>
            </w:r>
          </w:p>
          <w:p w:rsidR="00225952" w:rsidRDefault="00225952" w:rsidP="00AD2D7A">
            <w:pPr>
              <w:pStyle w:val="BulletA"/>
              <w:numPr>
                <w:ilvl w:val="0"/>
                <w:numId w:val="107"/>
              </w:numPr>
              <w:rPr>
                <w:rFonts w:eastAsia="Batang"/>
                <w:b/>
                <w:i/>
                <w:lang w:eastAsia="ko-KR"/>
              </w:rPr>
            </w:pPr>
            <w:r>
              <w:t>D</w:t>
            </w:r>
            <w:r w:rsidRPr="008C6101">
              <w:t>ata and analysis used</w:t>
            </w:r>
          </w:p>
        </w:tc>
      </w:tr>
      <w:tr w:rsidR="00225952" w:rsidRPr="007C475C" w:rsidTr="00225952">
        <w:tc>
          <w:tcPr>
            <w:tcW w:w="2253" w:type="dxa"/>
          </w:tcPr>
          <w:p w:rsidR="00225952" w:rsidRDefault="00225952">
            <w:pPr>
              <w:pStyle w:val="HeadSideMain"/>
              <w:rPr>
                <w:lang w:eastAsia="ko-KR"/>
              </w:rPr>
            </w:pPr>
            <w:r w:rsidRPr="008956F2">
              <w:rPr>
                <w:lang w:eastAsia="ko-KR"/>
              </w:rPr>
              <w:t>Key Review Points</w:t>
            </w:r>
          </w:p>
          <w:p w:rsidR="00225952" w:rsidRPr="008956F2" w:rsidRDefault="00225952" w:rsidP="00225952">
            <w:pPr>
              <w:pStyle w:val="HeadSideMain"/>
            </w:pPr>
          </w:p>
        </w:tc>
        <w:tc>
          <w:tcPr>
            <w:tcW w:w="7827" w:type="dxa"/>
            <w:gridSpan w:val="2"/>
          </w:tcPr>
          <w:p w:rsidR="00225952" w:rsidRPr="008C6101" w:rsidRDefault="00225952" w:rsidP="00CD32CA">
            <w:pPr>
              <w:rPr>
                <w:lang w:eastAsia="ko-KR"/>
              </w:rPr>
            </w:pPr>
            <w:r w:rsidRPr="008C6101">
              <w:rPr>
                <w:lang w:eastAsia="ko-KR"/>
              </w:rPr>
              <w:t xml:space="preserve">As with all local government comprehensive plan amendments, FDOT should coordinate its review with DCA staff.  The FDOT reviewer should also be available to provide technical assistance </w:t>
            </w:r>
            <w:r>
              <w:rPr>
                <w:lang w:eastAsia="ko-KR"/>
              </w:rPr>
              <w:t xml:space="preserve">to jurisdictions </w:t>
            </w:r>
            <w:r w:rsidRPr="008C6101">
              <w:rPr>
                <w:lang w:eastAsia="ko-KR"/>
              </w:rPr>
              <w:t>early in the study preparation and amendment process.</w:t>
            </w:r>
          </w:p>
        </w:tc>
      </w:tr>
    </w:tbl>
    <w:p w:rsidR="00225952" w:rsidRDefault="00225952">
      <w:pPr>
        <w:pStyle w:val="Heading2"/>
        <w:sectPr w:rsidR="00225952" w:rsidSect="00832911">
          <w:headerReference w:type="default" r:id="rId177"/>
          <w:type w:val="continuous"/>
          <w:pgSz w:w="12240" w:h="15840"/>
          <w:pgMar w:top="1440" w:right="720" w:bottom="1440" w:left="1152" w:header="720" w:footer="720" w:gutter="0"/>
          <w:cols w:space="720"/>
          <w:docGrid w:linePitch="360"/>
        </w:sectPr>
      </w:pPr>
    </w:p>
    <w:p w:rsidR="00EC35D1" w:rsidRDefault="00EC35D1">
      <w:bookmarkStart w:id="183" w:name="_Toc256487956"/>
      <w:bookmarkStart w:id="184" w:name="_Toc263447888"/>
      <w:r>
        <w:rPr>
          <w:b/>
          <w:bCs/>
        </w:rPr>
        <w:lastRenderedPageBreak/>
        <w:br w:type="page"/>
      </w:r>
    </w:p>
    <w:tbl>
      <w:tblPr>
        <w:tblW w:w="10080" w:type="dxa"/>
        <w:tblInd w:w="115" w:type="dxa"/>
        <w:tblLayout w:type="fixed"/>
        <w:tblCellMar>
          <w:left w:w="115" w:type="dxa"/>
          <w:right w:w="115" w:type="dxa"/>
        </w:tblCellMar>
        <w:tblLook w:val="0000"/>
      </w:tblPr>
      <w:tblGrid>
        <w:gridCol w:w="2252"/>
        <w:gridCol w:w="3914"/>
        <w:gridCol w:w="3914"/>
      </w:tblGrid>
      <w:tr w:rsidR="00225952" w:rsidRPr="007C475C" w:rsidTr="00225952">
        <w:tc>
          <w:tcPr>
            <w:tcW w:w="10080" w:type="dxa"/>
            <w:gridSpan w:val="3"/>
          </w:tcPr>
          <w:p w:rsidR="00225952" w:rsidRDefault="00225952">
            <w:pPr>
              <w:pStyle w:val="Heading2"/>
              <w:rPr>
                <w:lang w:eastAsia="ko-KR"/>
              </w:rPr>
            </w:pPr>
            <w:bookmarkStart w:id="185" w:name="_Toc264274133"/>
            <w:r>
              <w:lastRenderedPageBreak/>
              <w:t xml:space="preserve">3.9 </w:t>
            </w:r>
            <w:r w:rsidRPr="00FA4F10">
              <w:t xml:space="preserve">Other </w:t>
            </w:r>
            <w:r>
              <w:t>Local Government Comprehensive Plan</w:t>
            </w:r>
            <w:r w:rsidRPr="00FA4F10">
              <w:t xml:space="preserve"> Reviews</w:t>
            </w:r>
            <w:bookmarkEnd w:id="183"/>
            <w:bookmarkEnd w:id="184"/>
            <w:bookmarkEnd w:id="185"/>
          </w:p>
        </w:tc>
      </w:tr>
      <w:tr w:rsidR="00225952" w:rsidRPr="007C475C" w:rsidTr="00225952">
        <w:tc>
          <w:tcPr>
            <w:tcW w:w="2252" w:type="dxa"/>
          </w:tcPr>
          <w:p w:rsidR="00225952" w:rsidRPr="008956F2" w:rsidRDefault="00225952" w:rsidP="00225952">
            <w:pPr>
              <w:pStyle w:val="HeadSideMain"/>
            </w:pPr>
          </w:p>
        </w:tc>
        <w:tc>
          <w:tcPr>
            <w:tcW w:w="7828" w:type="dxa"/>
            <w:gridSpan w:val="2"/>
          </w:tcPr>
          <w:p w:rsidR="00225952" w:rsidRDefault="00225952">
            <w:r w:rsidRPr="008B3FF5">
              <w:t>Local governments may process ot</w:t>
            </w:r>
            <w:r>
              <w:t xml:space="preserve">her amendments to the LGCP in addition to those discussed </w:t>
            </w:r>
            <w:r w:rsidRPr="008B3FF5">
              <w:t>in previous sections</w:t>
            </w:r>
            <w:r>
              <w:t>.  When reviewing such amendments, t</w:t>
            </w:r>
            <w:r w:rsidRPr="008B3FF5">
              <w:t>he</w:t>
            </w:r>
            <w:r>
              <w:t xml:space="preserve"> FDOT reviewer should evaluate</w:t>
            </w:r>
            <w:r w:rsidRPr="008B3FF5">
              <w:t xml:space="preserve"> the impacts on the S</w:t>
            </w:r>
            <w:r>
              <w:t>H</w:t>
            </w:r>
            <w:r w:rsidRPr="008B3FF5">
              <w:t>S and SIS, and the use of professionally accepted techniques for measuring LOS</w:t>
            </w:r>
            <w:r>
              <w:t xml:space="preserve"> and other mobility performance measures.  </w:t>
            </w:r>
          </w:p>
          <w:p w:rsidR="00225952" w:rsidRPr="008C6101" w:rsidRDefault="00225952" w:rsidP="00225952">
            <w:r>
              <w:t>Two frequently encountered reviews are discussed below: the Evaluation and Appraisal Report, and amendments related to developments of regional impact.</w:t>
            </w:r>
          </w:p>
        </w:tc>
      </w:tr>
      <w:tr w:rsidR="00225952" w:rsidRPr="007C475C" w:rsidTr="00225952">
        <w:tc>
          <w:tcPr>
            <w:tcW w:w="2252" w:type="dxa"/>
          </w:tcPr>
          <w:p w:rsidR="00225952" w:rsidRPr="008956F2" w:rsidRDefault="00745389" w:rsidP="00CC002A">
            <w:pPr>
              <w:pStyle w:val="ResourceLink"/>
            </w:pPr>
            <w:hyperlink w:anchor="R2" w:history="1">
              <w:r w:rsidR="00F52017" w:rsidRPr="00B13815">
                <w:rPr>
                  <w:rStyle w:val="Hyperlink"/>
                </w:rPr>
                <w:sym w:font="Wingdings" w:char="F0E8"/>
              </w:r>
            </w:hyperlink>
          </w:p>
        </w:tc>
        <w:tc>
          <w:tcPr>
            <w:tcW w:w="7828" w:type="dxa"/>
            <w:gridSpan w:val="2"/>
          </w:tcPr>
          <w:p w:rsidR="00225952" w:rsidRDefault="00225952" w:rsidP="00EC35D1">
            <w:pPr>
              <w:pStyle w:val="ResourceNotTOC"/>
            </w:pPr>
            <w:r>
              <w:rPr>
                <w:color w:val="1D1B11"/>
                <w:lang w:eastAsia="ko-KR"/>
              </w:rPr>
              <w:t>Resource Guide</w:t>
            </w:r>
            <w:r w:rsidRPr="00B03C55">
              <w:rPr>
                <w:color w:val="1D1B11"/>
                <w:lang w:eastAsia="ko-KR"/>
              </w:rPr>
              <w:t xml:space="preserve"> 2.</w:t>
            </w:r>
            <w:r w:rsidRPr="00A04799">
              <w:rPr>
                <w:lang w:eastAsia="ko-KR"/>
              </w:rPr>
              <w:t xml:space="preserve">  </w:t>
            </w:r>
            <w:r>
              <w:t xml:space="preserve">Online Resources  </w:t>
            </w:r>
          </w:p>
        </w:tc>
      </w:tr>
      <w:tr w:rsidR="00225952" w:rsidRPr="007C475C" w:rsidTr="00225952">
        <w:tc>
          <w:tcPr>
            <w:tcW w:w="10080" w:type="dxa"/>
            <w:gridSpan w:val="3"/>
          </w:tcPr>
          <w:p w:rsidR="00225952" w:rsidRDefault="00225952" w:rsidP="00992EDA">
            <w:pPr>
              <w:pStyle w:val="Heading3"/>
              <w:spacing w:before="360"/>
              <w:rPr>
                <w:lang w:eastAsia="ko-KR"/>
              </w:rPr>
            </w:pPr>
            <w:bookmarkStart w:id="186" w:name="_Toc256487957"/>
            <w:bookmarkStart w:id="187" w:name="_Toc263447889"/>
            <w:bookmarkStart w:id="188" w:name="_Toc264274134"/>
            <w:r>
              <w:rPr>
                <w:lang w:eastAsia="ko-KR"/>
              </w:rPr>
              <w:t xml:space="preserve">3.9.1 </w:t>
            </w:r>
            <w:r w:rsidRPr="008C6101">
              <w:rPr>
                <w:lang w:eastAsia="ko-KR"/>
              </w:rPr>
              <w:t>Evaluation and Appraisal Reports</w:t>
            </w:r>
            <w:r>
              <w:rPr>
                <w:lang w:eastAsia="ko-KR"/>
              </w:rPr>
              <w:t xml:space="preserve"> and Amendments</w:t>
            </w:r>
            <w:bookmarkEnd w:id="186"/>
            <w:bookmarkEnd w:id="187"/>
            <w:bookmarkEnd w:id="188"/>
            <w:r w:rsidRPr="008C6101">
              <w:rPr>
                <w:lang w:eastAsia="ko-KR"/>
              </w:rPr>
              <w:t xml:space="preserve"> </w:t>
            </w:r>
          </w:p>
        </w:tc>
      </w:tr>
      <w:tr w:rsidR="00225952" w:rsidRPr="007C475C" w:rsidTr="00225952">
        <w:tc>
          <w:tcPr>
            <w:tcW w:w="2252" w:type="dxa"/>
          </w:tcPr>
          <w:p w:rsidR="00225952" w:rsidRPr="008956F2" w:rsidRDefault="00C92364" w:rsidP="00C92364">
            <w:pPr>
              <w:pStyle w:val="Heading4"/>
            </w:pPr>
            <w:r>
              <w:t>EAR</w:t>
            </w:r>
          </w:p>
        </w:tc>
        <w:tc>
          <w:tcPr>
            <w:tcW w:w="7828" w:type="dxa"/>
            <w:gridSpan w:val="2"/>
          </w:tcPr>
          <w:p w:rsidR="00225952" w:rsidRPr="008C6101" w:rsidRDefault="00225952" w:rsidP="00225952">
            <w:pPr>
              <w:rPr>
                <w:lang w:eastAsia="ko-KR"/>
              </w:rPr>
            </w:pPr>
            <w:r w:rsidRPr="008C6101">
              <w:rPr>
                <w:bCs/>
                <w:sz w:val="24"/>
                <w:szCs w:val="24"/>
              </w:rPr>
              <w:t xml:space="preserve">The Evaluation and Appraisal Report (EAR) is an audit of </w:t>
            </w:r>
            <w:r>
              <w:rPr>
                <w:bCs/>
                <w:sz w:val="24"/>
                <w:szCs w:val="24"/>
              </w:rPr>
              <w:t>a loc</w:t>
            </w:r>
            <w:r w:rsidRPr="008C6101">
              <w:rPr>
                <w:bCs/>
                <w:sz w:val="24"/>
                <w:szCs w:val="24"/>
              </w:rPr>
              <w:t>al government</w:t>
            </w:r>
            <w:r>
              <w:rPr>
                <w:bCs/>
                <w:sz w:val="24"/>
                <w:szCs w:val="24"/>
              </w:rPr>
              <w:t xml:space="preserve">’s </w:t>
            </w:r>
            <w:r w:rsidRPr="008C6101">
              <w:rPr>
                <w:bCs/>
                <w:sz w:val="24"/>
                <w:szCs w:val="24"/>
              </w:rPr>
              <w:t>succe</w:t>
            </w:r>
            <w:r>
              <w:rPr>
                <w:bCs/>
                <w:sz w:val="24"/>
                <w:szCs w:val="24"/>
              </w:rPr>
              <w:t>sses and failures in implementing its comprehensive plan.  The EAR is prepared</w:t>
            </w:r>
            <w:r w:rsidRPr="008C6101">
              <w:rPr>
                <w:bCs/>
                <w:sz w:val="24"/>
                <w:szCs w:val="24"/>
              </w:rPr>
              <w:t xml:space="preserve"> every seven years to evaluate and update a LGCP (</w:t>
            </w:r>
            <w:hyperlink r:id="rId178" w:anchor="0163.3191" w:history="1">
              <w:r w:rsidRPr="00754042">
                <w:rPr>
                  <w:rStyle w:val="Hyperlink"/>
                  <w:bCs/>
                  <w:szCs w:val="24"/>
                </w:rPr>
                <w:t>s.163.3191, F.S</w:t>
              </w:r>
            </w:hyperlink>
            <w:r w:rsidRPr="008C6101">
              <w:rPr>
                <w:bCs/>
                <w:sz w:val="24"/>
                <w:szCs w:val="24"/>
              </w:rPr>
              <w:t>.)</w:t>
            </w:r>
            <w:r>
              <w:rPr>
                <w:bCs/>
                <w:sz w:val="24"/>
                <w:szCs w:val="24"/>
              </w:rPr>
              <w:t xml:space="preserve">.  It is the first step in updating the comprehensive plan.  The document </w:t>
            </w:r>
            <w:r w:rsidRPr="008C6101">
              <w:rPr>
                <w:bCs/>
                <w:sz w:val="24"/>
                <w:szCs w:val="24"/>
              </w:rPr>
              <w:t>identifies needed changes to the plan, which may include updates that reflect change</w:t>
            </w:r>
            <w:r>
              <w:rPr>
                <w:bCs/>
                <w:sz w:val="24"/>
                <w:szCs w:val="24"/>
              </w:rPr>
              <w:t>s</w:t>
            </w:r>
            <w:r w:rsidRPr="008C6101">
              <w:rPr>
                <w:bCs/>
                <w:sz w:val="24"/>
                <w:szCs w:val="24"/>
              </w:rPr>
              <w:t xml:space="preserve"> in local circumstances and community goals, or changes in state law.  </w:t>
            </w:r>
            <w:r>
              <w:rPr>
                <w:bCs/>
                <w:sz w:val="24"/>
                <w:szCs w:val="24"/>
              </w:rPr>
              <w:t xml:space="preserve">The schedule </w:t>
            </w:r>
            <w:r w:rsidRPr="008C6101">
              <w:rPr>
                <w:bCs/>
                <w:sz w:val="24"/>
                <w:szCs w:val="24"/>
              </w:rPr>
              <w:t>for EAR submissions for each local government</w:t>
            </w:r>
            <w:r>
              <w:rPr>
                <w:bCs/>
                <w:sz w:val="24"/>
                <w:szCs w:val="24"/>
              </w:rPr>
              <w:t xml:space="preserve"> is posted on the DCA website</w:t>
            </w:r>
            <w:r w:rsidRPr="008C6101">
              <w:rPr>
                <w:bCs/>
                <w:sz w:val="24"/>
                <w:szCs w:val="24"/>
              </w:rPr>
              <w:t>.</w:t>
            </w:r>
          </w:p>
        </w:tc>
      </w:tr>
      <w:tr w:rsidR="00225952" w:rsidRPr="007C475C" w:rsidTr="00225952">
        <w:tc>
          <w:tcPr>
            <w:tcW w:w="2252" w:type="dxa"/>
          </w:tcPr>
          <w:p w:rsidR="00225952" w:rsidRPr="008956F2" w:rsidRDefault="00225952" w:rsidP="00225952">
            <w:pPr>
              <w:pStyle w:val="HeadSideMain"/>
            </w:pPr>
          </w:p>
        </w:tc>
        <w:tc>
          <w:tcPr>
            <w:tcW w:w="7828" w:type="dxa"/>
            <w:gridSpan w:val="2"/>
          </w:tcPr>
          <w:p w:rsidR="00225952" w:rsidRPr="008C6101" w:rsidRDefault="00225952" w:rsidP="00C92364">
            <w:pPr>
              <w:spacing w:after="60"/>
            </w:pPr>
            <w:r w:rsidRPr="008C6101">
              <w:t xml:space="preserve">The </w:t>
            </w:r>
            <w:r>
              <w:t>FDOT</w:t>
            </w:r>
            <w:r w:rsidRPr="008C6101">
              <w:t xml:space="preserve"> reviewe</w:t>
            </w:r>
            <w:r>
              <w:t xml:space="preserve">r will be involved in four </w:t>
            </w:r>
            <w:r w:rsidRPr="008C6101">
              <w:t>aspects of the EAR process:</w:t>
            </w:r>
          </w:p>
          <w:p w:rsidR="00225952" w:rsidRDefault="00225952" w:rsidP="00AD2D7A">
            <w:pPr>
              <w:pStyle w:val="BulletA"/>
              <w:numPr>
                <w:ilvl w:val="0"/>
                <w:numId w:val="108"/>
              </w:numPr>
            </w:pPr>
            <w:r w:rsidRPr="008C6101">
              <w:t>the scoping meeting,</w:t>
            </w:r>
            <w:r>
              <w:t xml:space="preserve"> if held,</w:t>
            </w:r>
            <w:r w:rsidRPr="008C6101">
              <w:t xml:space="preserve"> </w:t>
            </w:r>
          </w:p>
          <w:p w:rsidR="00225952" w:rsidRDefault="00225952" w:rsidP="00AD2D7A">
            <w:pPr>
              <w:pStyle w:val="BulletA"/>
              <w:numPr>
                <w:ilvl w:val="0"/>
                <w:numId w:val="108"/>
              </w:numPr>
            </w:pPr>
            <w:r w:rsidRPr="008C6101">
              <w:t xml:space="preserve">review of the </w:t>
            </w:r>
            <w:r>
              <w:t xml:space="preserve">proposed </w:t>
            </w:r>
            <w:r w:rsidRPr="008C6101">
              <w:t>report,</w:t>
            </w:r>
          </w:p>
          <w:p w:rsidR="00225952" w:rsidRDefault="00225952" w:rsidP="00AD2D7A">
            <w:pPr>
              <w:pStyle w:val="BulletA"/>
              <w:numPr>
                <w:ilvl w:val="0"/>
                <w:numId w:val="108"/>
              </w:numPr>
            </w:pPr>
            <w:r>
              <w:t>review of the adopted report, and</w:t>
            </w:r>
          </w:p>
          <w:p w:rsidR="00225952" w:rsidRDefault="00225952" w:rsidP="00AD2D7A">
            <w:pPr>
              <w:pStyle w:val="BulletA"/>
              <w:numPr>
                <w:ilvl w:val="0"/>
                <w:numId w:val="108"/>
              </w:numPr>
            </w:pPr>
            <w:r w:rsidRPr="008C6101">
              <w:t>revie</w:t>
            </w:r>
            <w:r>
              <w:t>w of the EAR-based amendments.</w:t>
            </w:r>
          </w:p>
        </w:tc>
      </w:tr>
      <w:tr w:rsidR="00C92364" w:rsidRPr="007C475C" w:rsidTr="000569A8">
        <w:tc>
          <w:tcPr>
            <w:tcW w:w="2252" w:type="dxa"/>
          </w:tcPr>
          <w:p w:rsidR="00C92364" w:rsidRDefault="00C92364" w:rsidP="00C92364">
            <w:pPr>
              <w:pStyle w:val="HeadSideMain"/>
              <w:rPr>
                <w:lang w:eastAsia="ko-KR"/>
              </w:rPr>
            </w:pPr>
            <w:r w:rsidRPr="008956F2">
              <w:rPr>
                <w:lang w:eastAsia="ko-KR"/>
              </w:rPr>
              <w:t>Legal Authorities</w:t>
            </w:r>
          </w:p>
          <w:p w:rsidR="00C92364" w:rsidRPr="008956F2" w:rsidRDefault="00C92364" w:rsidP="00225952">
            <w:pPr>
              <w:pStyle w:val="HeadSideMain"/>
            </w:pPr>
          </w:p>
        </w:tc>
        <w:tc>
          <w:tcPr>
            <w:tcW w:w="3914" w:type="dxa"/>
          </w:tcPr>
          <w:p w:rsidR="00C92364" w:rsidRPr="008C6101" w:rsidRDefault="00C92364" w:rsidP="00C92364">
            <w:pPr>
              <w:autoSpaceDE w:val="0"/>
              <w:autoSpaceDN w:val="0"/>
              <w:adjustRightInd w:val="0"/>
              <w:spacing w:after="60"/>
              <w:rPr>
                <w:b/>
                <w:sz w:val="24"/>
                <w:szCs w:val="24"/>
              </w:rPr>
            </w:pPr>
            <w:r w:rsidRPr="008C6101">
              <w:rPr>
                <w:b/>
                <w:sz w:val="24"/>
                <w:szCs w:val="24"/>
              </w:rPr>
              <w:t>Florida Statutes (</w:t>
            </w:r>
            <w:r>
              <w:rPr>
                <w:b/>
                <w:sz w:val="24"/>
                <w:szCs w:val="24"/>
              </w:rPr>
              <w:t>F.S.</w:t>
            </w:r>
            <w:r w:rsidRPr="008C6101">
              <w:rPr>
                <w:b/>
                <w:sz w:val="24"/>
                <w:szCs w:val="24"/>
              </w:rPr>
              <w:t>):</w:t>
            </w:r>
          </w:p>
          <w:p w:rsidR="00C92364" w:rsidRDefault="00745389" w:rsidP="00AD2D7A">
            <w:pPr>
              <w:pStyle w:val="BulletA"/>
              <w:numPr>
                <w:ilvl w:val="0"/>
                <w:numId w:val="110"/>
              </w:numPr>
              <w:ind w:left="720"/>
              <w:rPr>
                <w:bCs/>
                <w:sz w:val="24"/>
                <w:szCs w:val="24"/>
              </w:rPr>
            </w:pPr>
            <w:hyperlink r:id="rId179" w:anchor="0163.3180" w:history="1">
              <w:r w:rsidR="00C92364" w:rsidRPr="00E156DA">
                <w:rPr>
                  <w:rStyle w:val="Hyperlink"/>
                  <w:bCs/>
                  <w:szCs w:val="24"/>
                </w:rPr>
                <w:t>Section 163.3180(10), F.S</w:t>
              </w:r>
            </w:hyperlink>
            <w:r w:rsidR="00C92364">
              <w:rPr>
                <w:bCs/>
                <w:sz w:val="24"/>
                <w:szCs w:val="24"/>
              </w:rPr>
              <w:t>.</w:t>
            </w:r>
          </w:p>
          <w:p w:rsidR="00C92364" w:rsidRDefault="00745389" w:rsidP="00AD2D7A">
            <w:pPr>
              <w:pStyle w:val="BulletA"/>
              <w:numPr>
                <w:ilvl w:val="0"/>
                <w:numId w:val="109"/>
              </w:numPr>
              <w:ind w:left="720"/>
              <w:rPr>
                <w:sz w:val="24"/>
                <w:szCs w:val="24"/>
              </w:rPr>
            </w:pPr>
            <w:hyperlink r:id="rId180" w:anchor="0163.3191" w:history="1">
              <w:r w:rsidR="00C92364" w:rsidRPr="00754042">
                <w:rPr>
                  <w:rStyle w:val="Hyperlink"/>
                  <w:szCs w:val="24"/>
                </w:rPr>
                <w:t>Section 163.3191, F.S.</w:t>
              </w:r>
            </w:hyperlink>
          </w:p>
        </w:tc>
        <w:tc>
          <w:tcPr>
            <w:tcW w:w="3914" w:type="dxa"/>
          </w:tcPr>
          <w:p w:rsidR="00C92364" w:rsidRPr="00CA5343" w:rsidRDefault="00C92364" w:rsidP="00C92364">
            <w:pPr>
              <w:autoSpaceDE w:val="0"/>
              <w:autoSpaceDN w:val="0"/>
              <w:adjustRightInd w:val="0"/>
              <w:spacing w:after="60"/>
              <w:rPr>
                <w:b/>
                <w:sz w:val="24"/>
                <w:szCs w:val="24"/>
                <w:lang w:val="es-MX"/>
              </w:rPr>
            </w:pPr>
            <w:r w:rsidRPr="00CA5343">
              <w:rPr>
                <w:b/>
                <w:sz w:val="24"/>
                <w:szCs w:val="24"/>
                <w:lang w:val="es-MX"/>
              </w:rPr>
              <w:t>Florida Administrative Code (F.A.C.):</w:t>
            </w:r>
          </w:p>
          <w:p w:rsidR="00C92364" w:rsidRPr="004E2343" w:rsidRDefault="00C92364" w:rsidP="00AD2D7A">
            <w:pPr>
              <w:pStyle w:val="BulletA"/>
              <w:numPr>
                <w:ilvl w:val="0"/>
                <w:numId w:val="109"/>
              </w:numPr>
            </w:pPr>
            <w:r>
              <w:t xml:space="preserve">Rule </w:t>
            </w:r>
            <w:r w:rsidRPr="008C6101">
              <w:t>9J-11</w:t>
            </w:r>
            <w:r>
              <w:t>, F.A.C.</w:t>
            </w:r>
          </w:p>
          <w:p w:rsidR="00C92364" w:rsidRDefault="00C92364" w:rsidP="00C92364">
            <w:pPr>
              <w:spacing w:after="60"/>
            </w:pPr>
          </w:p>
          <w:p w:rsidR="00992EDA" w:rsidRPr="008C6101" w:rsidRDefault="00992EDA" w:rsidP="00C92364">
            <w:pPr>
              <w:spacing w:after="60"/>
            </w:pPr>
          </w:p>
        </w:tc>
      </w:tr>
      <w:tr w:rsidR="00225952" w:rsidRPr="007C475C" w:rsidTr="00225952">
        <w:tc>
          <w:tcPr>
            <w:tcW w:w="2252" w:type="dxa"/>
          </w:tcPr>
          <w:p w:rsidR="00225952" w:rsidRPr="008956F2" w:rsidRDefault="00745389" w:rsidP="00CC002A">
            <w:pPr>
              <w:pStyle w:val="ResourceLink"/>
            </w:pPr>
            <w:hyperlink w:anchor="R3" w:history="1">
              <w:r w:rsidR="00F52017" w:rsidRPr="00B13815">
                <w:rPr>
                  <w:rStyle w:val="Hyperlink"/>
                </w:rPr>
                <w:sym w:font="Wingdings" w:char="F0E8"/>
              </w:r>
            </w:hyperlink>
          </w:p>
        </w:tc>
        <w:tc>
          <w:tcPr>
            <w:tcW w:w="7828" w:type="dxa"/>
            <w:gridSpan w:val="2"/>
          </w:tcPr>
          <w:p w:rsidR="00225952" w:rsidRDefault="00225952" w:rsidP="00EC35D1">
            <w:pPr>
              <w:pStyle w:val="ResourceNotTOC"/>
              <w:rPr>
                <w:lang w:eastAsia="ko-KR"/>
              </w:rPr>
            </w:pPr>
            <w:r>
              <w:rPr>
                <w:color w:val="1D1B11"/>
                <w:lang w:eastAsia="ko-KR"/>
              </w:rPr>
              <w:t>Resource Guide</w:t>
            </w:r>
            <w:r w:rsidRPr="00A04799">
              <w:rPr>
                <w:color w:val="1D1B11"/>
                <w:lang w:eastAsia="ko-KR"/>
              </w:rPr>
              <w:t xml:space="preserve"> 3.</w:t>
            </w:r>
            <w:r w:rsidRPr="009C5586">
              <w:rPr>
                <w:lang w:eastAsia="ko-KR"/>
              </w:rPr>
              <w:t xml:space="preserve">  Evaluation and Appraisal Reports (EARs)</w:t>
            </w:r>
            <w:r>
              <w:rPr>
                <w:lang w:eastAsia="ko-KR"/>
              </w:rPr>
              <w:t xml:space="preserve"> </w:t>
            </w:r>
          </w:p>
        </w:tc>
      </w:tr>
    </w:tbl>
    <w:p w:rsidR="00992EDA" w:rsidRDefault="00992EDA">
      <w:r>
        <w:rPr>
          <w:b/>
          <w:bCs/>
          <w:i/>
        </w:rPr>
        <w:br w:type="page"/>
      </w:r>
    </w:p>
    <w:tbl>
      <w:tblPr>
        <w:tblW w:w="10080" w:type="dxa"/>
        <w:tblInd w:w="115" w:type="dxa"/>
        <w:tblLayout w:type="fixed"/>
        <w:tblCellMar>
          <w:left w:w="115" w:type="dxa"/>
          <w:right w:w="115" w:type="dxa"/>
        </w:tblCellMar>
        <w:tblLook w:val="0000"/>
      </w:tblPr>
      <w:tblGrid>
        <w:gridCol w:w="2252"/>
        <w:gridCol w:w="3914"/>
        <w:gridCol w:w="3914"/>
      </w:tblGrid>
      <w:tr w:rsidR="00225952" w:rsidRPr="007C475C" w:rsidTr="00992EDA">
        <w:trPr>
          <w:trHeight w:val="3330"/>
        </w:trPr>
        <w:tc>
          <w:tcPr>
            <w:tcW w:w="2252" w:type="dxa"/>
          </w:tcPr>
          <w:p w:rsidR="00225952" w:rsidRDefault="00225952">
            <w:pPr>
              <w:pStyle w:val="HeadSideMain"/>
            </w:pPr>
            <w:r w:rsidRPr="008956F2">
              <w:lastRenderedPageBreak/>
              <w:t>Review Procedure</w:t>
            </w:r>
          </w:p>
          <w:p w:rsidR="00225952" w:rsidRPr="008956F2" w:rsidRDefault="00225952" w:rsidP="00225952">
            <w:pPr>
              <w:pStyle w:val="HeadSideMain"/>
            </w:pPr>
          </w:p>
        </w:tc>
        <w:tc>
          <w:tcPr>
            <w:tcW w:w="7828" w:type="dxa"/>
            <w:gridSpan w:val="2"/>
          </w:tcPr>
          <w:p w:rsidR="00225952" w:rsidRPr="008C6101" w:rsidRDefault="00225952" w:rsidP="00225952">
            <w:pPr>
              <w:autoSpaceDE w:val="0"/>
              <w:autoSpaceDN w:val="0"/>
              <w:adjustRightInd w:val="0"/>
              <w:spacing w:after="0"/>
              <w:rPr>
                <w:b/>
                <w:i/>
                <w:sz w:val="24"/>
                <w:szCs w:val="24"/>
              </w:rPr>
            </w:pPr>
            <w:r w:rsidRPr="008C6101">
              <w:rPr>
                <w:b/>
                <w:i/>
                <w:sz w:val="24"/>
                <w:szCs w:val="24"/>
              </w:rPr>
              <w:t xml:space="preserve">Required Information </w:t>
            </w:r>
          </w:p>
          <w:p w:rsidR="00225952" w:rsidRPr="00C92364" w:rsidRDefault="00225952" w:rsidP="00AD2D7A">
            <w:pPr>
              <w:pStyle w:val="BulletA"/>
              <w:numPr>
                <w:ilvl w:val="0"/>
                <w:numId w:val="111"/>
              </w:numPr>
              <w:rPr>
                <w:szCs w:val="24"/>
              </w:rPr>
            </w:pPr>
            <w:r w:rsidRPr="008C6101">
              <w:t xml:space="preserve">A </w:t>
            </w:r>
            <w:r w:rsidRPr="00C92364">
              <w:rPr>
                <w:szCs w:val="24"/>
              </w:rPr>
              <w:t>vacant and developable lands analysis</w:t>
            </w:r>
          </w:p>
          <w:p w:rsidR="00225952" w:rsidRPr="00C92364" w:rsidRDefault="00225952" w:rsidP="00AD2D7A">
            <w:pPr>
              <w:pStyle w:val="BulletA"/>
              <w:numPr>
                <w:ilvl w:val="0"/>
                <w:numId w:val="111"/>
              </w:numPr>
              <w:rPr>
                <w:szCs w:val="24"/>
              </w:rPr>
            </w:pPr>
            <w:r w:rsidRPr="00C92364">
              <w:rPr>
                <w:szCs w:val="24"/>
              </w:rPr>
              <w:t>A financial feasibility analysis of the comprehensive plan</w:t>
            </w:r>
          </w:p>
          <w:p w:rsidR="00225952" w:rsidRPr="00C92364" w:rsidRDefault="00225952" w:rsidP="00AD2D7A">
            <w:pPr>
              <w:pStyle w:val="BulletA"/>
              <w:numPr>
                <w:ilvl w:val="0"/>
                <w:numId w:val="111"/>
              </w:numPr>
              <w:rPr>
                <w:szCs w:val="24"/>
              </w:rPr>
            </w:pPr>
            <w:r w:rsidRPr="00C92364">
              <w:rPr>
                <w:szCs w:val="24"/>
              </w:rPr>
              <w:t>An identification of corrective measures to address the major issues identified in the EAR process</w:t>
            </w:r>
          </w:p>
          <w:p w:rsidR="00225952" w:rsidRPr="00C92364" w:rsidRDefault="00225952" w:rsidP="00AD2D7A">
            <w:pPr>
              <w:pStyle w:val="BulletA"/>
              <w:numPr>
                <w:ilvl w:val="0"/>
                <w:numId w:val="111"/>
              </w:numPr>
              <w:rPr>
                <w:szCs w:val="24"/>
              </w:rPr>
            </w:pPr>
            <w:r w:rsidRPr="00C92364">
              <w:rPr>
                <w:szCs w:val="24"/>
              </w:rPr>
              <w:t>An evaluation of the success of any adopted transportation concurrency alternative.</w:t>
            </w:r>
          </w:p>
          <w:p w:rsidR="00225952" w:rsidRPr="00C92364" w:rsidRDefault="00225952" w:rsidP="00AD2D7A">
            <w:pPr>
              <w:pStyle w:val="BulletA"/>
              <w:numPr>
                <w:ilvl w:val="0"/>
                <w:numId w:val="111"/>
              </w:numPr>
              <w:spacing w:after="120"/>
            </w:pPr>
            <w:r w:rsidRPr="00C92364">
              <w:t xml:space="preserve">An assessment of the extent to which </w:t>
            </w:r>
            <w:r>
              <w:t xml:space="preserve">changes are needed to develop a common methodology for measuring impacts on transportation facilities for the purpose of implementing its concurrency management system in coordination with the municipalities and counties, as appropriate pursuant to s. </w:t>
            </w:r>
            <w:hyperlink r:id="rId181" w:history="1">
              <w:r>
                <w:rPr>
                  <w:rStyle w:val="Hyperlink"/>
                </w:rPr>
                <w:t>163.3180</w:t>
              </w:r>
            </w:hyperlink>
            <w:r>
              <w:t>(10)</w:t>
            </w:r>
          </w:p>
        </w:tc>
      </w:tr>
      <w:tr w:rsidR="00225952" w:rsidRPr="007C475C" w:rsidTr="00225952">
        <w:tc>
          <w:tcPr>
            <w:tcW w:w="2252" w:type="dxa"/>
          </w:tcPr>
          <w:p w:rsidR="00225952" w:rsidRDefault="00225952">
            <w:pPr>
              <w:pStyle w:val="HeadSideMain"/>
              <w:rPr>
                <w:lang w:eastAsia="ko-KR"/>
              </w:rPr>
            </w:pPr>
            <w:r w:rsidRPr="008956F2">
              <w:rPr>
                <w:lang w:eastAsia="ko-KR"/>
              </w:rPr>
              <w:t>Key Review Points</w:t>
            </w:r>
          </w:p>
          <w:p w:rsidR="00225952" w:rsidRPr="008956F2" w:rsidRDefault="00225952" w:rsidP="00225952">
            <w:pPr>
              <w:pStyle w:val="HeadSideMain"/>
            </w:pPr>
          </w:p>
        </w:tc>
        <w:tc>
          <w:tcPr>
            <w:tcW w:w="7828" w:type="dxa"/>
            <w:gridSpan w:val="2"/>
          </w:tcPr>
          <w:p w:rsidR="00225952" w:rsidRDefault="00225952" w:rsidP="00CD32CA">
            <w:pPr>
              <w:rPr>
                <w:rFonts w:eastAsia="Batang" w:cs="Slimbach-Book"/>
                <w:lang w:eastAsia="ko-KR"/>
              </w:rPr>
            </w:pPr>
            <w:r>
              <w:t>A</w:t>
            </w:r>
            <w:r w:rsidRPr="008C6101">
              <w:t>t the initiation of a local go</w:t>
            </w:r>
            <w:r>
              <w:t>vernment’s EAR process, the local government</w:t>
            </w:r>
            <w:r w:rsidRPr="008C6101">
              <w:t xml:space="preserve"> may </w:t>
            </w:r>
            <w:r>
              <w:t xml:space="preserve">choose to </w:t>
            </w:r>
            <w:r w:rsidRPr="008C6101">
              <w:t xml:space="preserve">hold </w:t>
            </w:r>
            <w:r>
              <w:t>a scoping meeting</w:t>
            </w:r>
            <w:r w:rsidRPr="008C6101">
              <w:t xml:space="preserve"> with adjacent local governments and regional and state agencies </w:t>
            </w:r>
            <w:r>
              <w:t>(s.</w:t>
            </w:r>
            <w:r w:rsidRPr="008C6101">
              <w:t>163.3191(3), F.S.)</w:t>
            </w:r>
            <w:r>
              <w:t xml:space="preserve">.  </w:t>
            </w:r>
            <w:r w:rsidRPr="008C6101">
              <w:t xml:space="preserve">A preliminary list of </w:t>
            </w:r>
            <w:r>
              <w:t>major</w:t>
            </w:r>
            <w:r w:rsidRPr="008C6101">
              <w:t xml:space="preserve"> issues that have emerged since the adoption of the original plan should be developed by </w:t>
            </w:r>
            <w:r>
              <w:t>the local government</w:t>
            </w:r>
            <w:r w:rsidRPr="008C6101">
              <w:t xml:space="preserve"> for distribution at the scoping meeting</w:t>
            </w:r>
            <w:r>
              <w:t xml:space="preserve">.  </w:t>
            </w:r>
            <w:r w:rsidRPr="008C6101">
              <w:t xml:space="preserve">The </w:t>
            </w:r>
            <w:r>
              <w:t>FDOT</w:t>
            </w:r>
            <w:r w:rsidRPr="008C6101">
              <w:t xml:space="preserve"> reviewer should attend and identify any transportation issues the EAR should address.</w:t>
            </w:r>
          </w:p>
        </w:tc>
      </w:tr>
      <w:tr w:rsidR="00225952" w:rsidRPr="007C475C" w:rsidTr="00225952">
        <w:tc>
          <w:tcPr>
            <w:tcW w:w="2252" w:type="dxa"/>
          </w:tcPr>
          <w:p w:rsidR="00225952" w:rsidRPr="008956F2" w:rsidRDefault="00225952" w:rsidP="00225952">
            <w:pPr>
              <w:pStyle w:val="HeadSideMain"/>
              <w:rPr>
                <w:lang w:eastAsia="ko-KR"/>
              </w:rPr>
            </w:pPr>
          </w:p>
        </w:tc>
        <w:tc>
          <w:tcPr>
            <w:tcW w:w="7828" w:type="dxa"/>
            <w:gridSpan w:val="2"/>
          </w:tcPr>
          <w:p w:rsidR="00225952" w:rsidRDefault="00225952" w:rsidP="00087603">
            <w:pPr>
              <w:spacing w:after="0"/>
            </w:pPr>
            <w:r w:rsidRPr="008C6101">
              <w:t>The FDOT reviewer should become familiar with the guidelines for reviewing transportation analysis included in the EAR and should consider the following criteria during a review:</w:t>
            </w:r>
          </w:p>
          <w:p w:rsidR="00225952" w:rsidRPr="008C6101" w:rsidRDefault="00225952" w:rsidP="00AD2D7A">
            <w:pPr>
              <w:pStyle w:val="BulletA"/>
              <w:numPr>
                <w:ilvl w:val="0"/>
                <w:numId w:val="112"/>
              </w:numPr>
            </w:pPr>
            <w:r>
              <w:t>Impacts on SHS</w:t>
            </w:r>
            <w:r w:rsidRPr="008C6101">
              <w:t xml:space="preserve"> and SIS</w:t>
            </w:r>
          </w:p>
          <w:p w:rsidR="00225952" w:rsidRPr="008C6101" w:rsidRDefault="00225952" w:rsidP="00AD2D7A">
            <w:pPr>
              <w:pStyle w:val="BulletA"/>
              <w:numPr>
                <w:ilvl w:val="0"/>
                <w:numId w:val="112"/>
              </w:numPr>
            </w:pPr>
            <w:r w:rsidRPr="008C6101">
              <w:t>Issues affecting transportation systems</w:t>
            </w:r>
          </w:p>
          <w:p w:rsidR="00225952" w:rsidRPr="008C6101" w:rsidRDefault="00225952" w:rsidP="00AD2D7A">
            <w:pPr>
              <w:pStyle w:val="BulletA"/>
              <w:numPr>
                <w:ilvl w:val="0"/>
                <w:numId w:val="112"/>
              </w:numPr>
            </w:pPr>
            <w:r w:rsidRPr="008C6101">
              <w:t>Common methodology concurrency determination</w:t>
            </w:r>
          </w:p>
          <w:p w:rsidR="00225952" w:rsidRPr="008C6101" w:rsidRDefault="00225952" w:rsidP="00AD2D7A">
            <w:pPr>
              <w:pStyle w:val="BulletA"/>
              <w:numPr>
                <w:ilvl w:val="0"/>
                <w:numId w:val="112"/>
              </w:numPr>
            </w:pPr>
            <w:r w:rsidRPr="008C6101">
              <w:t xml:space="preserve">Amendments to </w:t>
            </w:r>
            <w:r>
              <w:t>Transportation Element</w:t>
            </w:r>
          </w:p>
          <w:p w:rsidR="00225952" w:rsidRDefault="00225952" w:rsidP="00AD2D7A">
            <w:pPr>
              <w:pStyle w:val="BulletA"/>
              <w:numPr>
                <w:ilvl w:val="0"/>
                <w:numId w:val="112"/>
              </w:numPr>
            </w:pPr>
            <w:r w:rsidRPr="008C6101">
              <w:t xml:space="preserve">Amendments to </w:t>
            </w:r>
            <w:r>
              <w:t>Future Land Use Element</w:t>
            </w:r>
          </w:p>
        </w:tc>
      </w:tr>
      <w:tr w:rsidR="00225952" w:rsidRPr="007C475C" w:rsidTr="00225952">
        <w:tc>
          <w:tcPr>
            <w:tcW w:w="2252" w:type="dxa"/>
          </w:tcPr>
          <w:p w:rsidR="00225952" w:rsidRPr="008956F2" w:rsidRDefault="00225952" w:rsidP="00225952">
            <w:pPr>
              <w:pStyle w:val="HeadSideMain"/>
              <w:rPr>
                <w:lang w:eastAsia="ko-KR"/>
              </w:rPr>
            </w:pPr>
          </w:p>
        </w:tc>
        <w:tc>
          <w:tcPr>
            <w:tcW w:w="7828" w:type="dxa"/>
            <w:gridSpan w:val="2"/>
          </w:tcPr>
          <w:p w:rsidR="00225952" w:rsidRDefault="00225952" w:rsidP="00992EDA">
            <w:pPr>
              <w:spacing w:after="120"/>
            </w:pPr>
            <w:r w:rsidRPr="008C6101">
              <w:t xml:space="preserve">The adopted LOS standards referenced in the EAR should be reviewed to ensure consistency with the FDOT‘s LOS standards for SIS-funded </w:t>
            </w:r>
            <w:r>
              <w:t>fac</w:t>
            </w:r>
            <w:r w:rsidRPr="008C6101">
              <w:t>ilities</w:t>
            </w:r>
            <w:r>
              <w:t>.  By state law (</w:t>
            </w:r>
            <w:hyperlink r:id="rId182" w:anchor="0163.3180" w:history="1">
              <w:r w:rsidRPr="00BF4FA1">
                <w:rPr>
                  <w:rStyle w:val="Hyperlink"/>
                  <w:bCs/>
                  <w:szCs w:val="24"/>
                </w:rPr>
                <w:t>s.163.3180(10), F.S.</w:t>
              </w:r>
            </w:hyperlink>
            <w:r>
              <w:t>) local governments may</w:t>
            </w:r>
            <w:r w:rsidRPr="008C6101">
              <w:t xml:space="preserve"> set different LOS standards for non-SIS </w:t>
            </w:r>
            <w:r>
              <w:t>fac</w:t>
            </w:r>
            <w:r w:rsidRPr="008C6101">
              <w:t>ilities</w:t>
            </w:r>
            <w:r>
              <w:t xml:space="preserve"> and SIS facilities in concurrency exception areas in DULAs created by </w:t>
            </w:r>
            <w:hyperlink r:id="rId183" w:anchor="0163.3180" w:history="1">
              <w:r w:rsidRPr="00E156DA">
                <w:rPr>
                  <w:rStyle w:val="Hyperlink"/>
                  <w:rFonts w:cs="Calibri"/>
                  <w:szCs w:val="23"/>
                </w:rPr>
                <w:t>s. 163.3180(5)(b)</w:t>
              </w:r>
            </w:hyperlink>
            <w:r>
              <w:rPr>
                <w:rFonts w:cs="Calibri"/>
                <w:szCs w:val="23"/>
              </w:rPr>
              <w:t>,</w:t>
            </w:r>
            <w:r>
              <w:t>.  Any noted inconsistencies should be pointed out to the local government along with a request that the inconsistencies be corrected in the EAR-based amendment.</w:t>
            </w:r>
          </w:p>
          <w:p w:rsidR="00225952" w:rsidRDefault="00225952">
            <w:r>
              <w:t>T</w:t>
            </w:r>
            <w:r w:rsidRPr="008C6101">
              <w:t>he FDOT reviewer should evaluate any concurrency exception area</w:t>
            </w:r>
            <w:r>
              <w:t>s</w:t>
            </w:r>
            <w:r w:rsidRPr="008C6101">
              <w:t xml:space="preserve"> by comparing the </w:t>
            </w:r>
            <w:r>
              <w:t xml:space="preserve">current </w:t>
            </w:r>
            <w:r w:rsidRPr="008C6101">
              <w:t>conditions to the goals, objectives, and policies identified in the original justification report</w:t>
            </w:r>
            <w:r>
              <w:t xml:space="preserve">.  </w:t>
            </w:r>
            <w:r w:rsidRPr="008C6101">
              <w:t>This evaluation should confirm that the EAR adequately assesses t</w:t>
            </w:r>
            <w:r>
              <w:t>he efficiency of the area.  It also</w:t>
            </w:r>
            <w:r w:rsidRPr="008C6101">
              <w:t xml:space="preserve"> ensure</w:t>
            </w:r>
            <w:r>
              <w:t>s</w:t>
            </w:r>
            <w:r w:rsidRPr="008C6101">
              <w:t xml:space="preserve"> that the goals, objectives, and policies have been implemented with the funded strategies to </w:t>
            </w:r>
            <w:r w:rsidRPr="008C6101">
              <w:lastRenderedPageBreak/>
              <w:t>support exception areas.</w:t>
            </w:r>
            <w:r w:rsidR="00087603">
              <w:tab/>
            </w:r>
            <w:r w:rsidR="00CD32CA">
              <w:br/>
            </w:r>
          </w:p>
        </w:tc>
      </w:tr>
      <w:tr w:rsidR="00225952" w:rsidRPr="007C475C" w:rsidTr="00225952">
        <w:tc>
          <w:tcPr>
            <w:tcW w:w="10080" w:type="dxa"/>
            <w:gridSpan w:val="3"/>
          </w:tcPr>
          <w:p w:rsidR="00225952" w:rsidRDefault="00225952">
            <w:pPr>
              <w:pStyle w:val="Heading3"/>
              <w:rPr>
                <w:bCs w:val="0"/>
                <w:lang w:eastAsia="ko-KR"/>
              </w:rPr>
            </w:pPr>
            <w:bookmarkStart w:id="189" w:name="_Toc256487958"/>
            <w:bookmarkStart w:id="190" w:name="_Toc263447890"/>
            <w:bookmarkStart w:id="191" w:name="_Toc264274135"/>
            <w:r>
              <w:rPr>
                <w:lang w:eastAsia="ko-KR"/>
              </w:rPr>
              <w:lastRenderedPageBreak/>
              <w:t xml:space="preserve">3.9.2 </w:t>
            </w:r>
            <w:r w:rsidRPr="00CC79F1">
              <w:rPr>
                <w:lang w:eastAsia="ko-KR"/>
              </w:rPr>
              <w:t>EAR</w:t>
            </w:r>
            <w:r>
              <w:rPr>
                <w:lang w:eastAsia="ko-KR"/>
              </w:rPr>
              <w:t>-based Amendments</w:t>
            </w:r>
            <w:bookmarkEnd w:id="189"/>
            <w:bookmarkEnd w:id="190"/>
            <w:bookmarkEnd w:id="191"/>
          </w:p>
        </w:tc>
      </w:tr>
      <w:tr w:rsidR="00225952" w:rsidRPr="007C475C" w:rsidTr="00225952">
        <w:tc>
          <w:tcPr>
            <w:tcW w:w="2252" w:type="dxa"/>
          </w:tcPr>
          <w:p w:rsidR="00225952" w:rsidRPr="008956F2" w:rsidRDefault="00C92364" w:rsidP="00C92364">
            <w:pPr>
              <w:pStyle w:val="Heading4"/>
              <w:rPr>
                <w:lang w:eastAsia="ko-KR"/>
              </w:rPr>
            </w:pPr>
            <w:r>
              <w:rPr>
                <w:lang w:eastAsia="ko-KR"/>
              </w:rPr>
              <w:t>EAR Amendments</w:t>
            </w:r>
          </w:p>
        </w:tc>
        <w:tc>
          <w:tcPr>
            <w:tcW w:w="7828" w:type="dxa"/>
            <w:gridSpan w:val="2"/>
          </w:tcPr>
          <w:p w:rsidR="00225952" w:rsidRDefault="00225952">
            <w:pPr>
              <w:rPr>
                <w:lang w:eastAsia="ko-KR"/>
              </w:rPr>
            </w:pPr>
            <w:r w:rsidRPr="008C6101">
              <w:rPr>
                <w:lang w:eastAsia="ko-KR"/>
              </w:rPr>
              <w:t>EAR-based amendments are required to be submitted within 18</w:t>
            </w:r>
            <w:r>
              <w:rPr>
                <w:lang w:eastAsia="ko-KR"/>
              </w:rPr>
              <w:t xml:space="preserve"> months after DCA determines the EAR is sufficient (</w:t>
            </w:r>
            <w:hyperlink r:id="rId184" w:anchor="0163.3191" w:history="1">
              <w:r w:rsidRPr="00E156DA">
                <w:rPr>
                  <w:rStyle w:val="Hyperlink"/>
                  <w:rFonts w:eastAsia="Batang" w:cs="Slimbach-Book"/>
                  <w:szCs w:val="24"/>
                  <w:lang w:eastAsia="ko-KR"/>
                </w:rPr>
                <w:t xml:space="preserve">s.163.3191(10), F.S.). </w:t>
              </w:r>
            </w:hyperlink>
            <w:r w:rsidRPr="008C6101">
              <w:t xml:space="preserve"> </w:t>
            </w:r>
            <w:r w:rsidRPr="008C6101">
              <w:rPr>
                <w:lang w:eastAsia="ko-KR"/>
              </w:rPr>
              <w:t xml:space="preserve">These amendments may </w:t>
            </w:r>
            <w:r>
              <w:rPr>
                <w:lang w:eastAsia="ko-KR"/>
              </w:rPr>
              <w:t>include</w:t>
            </w:r>
            <w:r w:rsidRPr="008C6101">
              <w:rPr>
                <w:lang w:eastAsia="ko-KR"/>
              </w:rPr>
              <w:t xml:space="preserve"> ch</w:t>
            </w:r>
            <w:r>
              <w:rPr>
                <w:lang w:eastAsia="ko-KR"/>
              </w:rPr>
              <w:t>anges to the FLUM</w:t>
            </w:r>
            <w:r w:rsidRPr="008C6101">
              <w:rPr>
                <w:lang w:eastAsia="ko-KR"/>
              </w:rPr>
              <w:t xml:space="preserve"> or</w:t>
            </w:r>
            <w:r>
              <w:rPr>
                <w:lang w:eastAsia="ko-KR"/>
              </w:rPr>
              <w:t xml:space="preserve"> to the text of the elements, based on the recommendations in the EAR.  EAR-based amendments</w:t>
            </w:r>
            <w:r w:rsidRPr="008C6101">
              <w:rPr>
                <w:lang w:eastAsia="ko-KR"/>
              </w:rPr>
              <w:t xml:space="preserve"> should be reviewed using the process</w:t>
            </w:r>
            <w:r>
              <w:rPr>
                <w:lang w:eastAsia="ko-KR"/>
              </w:rPr>
              <w:t>es</w:t>
            </w:r>
            <w:r w:rsidRPr="008C6101">
              <w:rPr>
                <w:lang w:eastAsia="ko-KR"/>
              </w:rPr>
              <w:t xml:space="preserve"> discussed in the previous sections</w:t>
            </w:r>
            <w:r>
              <w:rPr>
                <w:lang w:eastAsia="ko-KR"/>
              </w:rPr>
              <w:t xml:space="preserve">.  </w:t>
            </w:r>
            <w:r w:rsidRPr="008C6101">
              <w:rPr>
                <w:lang w:eastAsia="ko-KR"/>
              </w:rPr>
              <w:t>For additional guidance on EAR-based amendments, see the DCA document</w:t>
            </w:r>
            <w:r>
              <w:rPr>
                <w:lang w:eastAsia="ko-KR"/>
              </w:rPr>
              <w:t>s</w:t>
            </w:r>
            <w:r w:rsidRPr="008C6101">
              <w:rPr>
                <w:lang w:eastAsia="ko-KR"/>
              </w:rPr>
              <w:t xml:space="preserve"> on EARs on the agency’s website.</w:t>
            </w:r>
          </w:p>
        </w:tc>
      </w:tr>
      <w:tr w:rsidR="00C92364" w:rsidRPr="007C475C" w:rsidTr="000569A8">
        <w:tc>
          <w:tcPr>
            <w:tcW w:w="2252" w:type="dxa"/>
          </w:tcPr>
          <w:p w:rsidR="00C92364" w:rsidRDefault="00C92364">
            <w:pPr>
              <w:pStyle w:val="HeadSideMain"/>
              <w:rPr>
                <w:lang w:eastAsia="ko-KR"/>
              </w:rPr>
            </w:pPr>
            <w:r w:rsidRPr="008956F2">
              <w:rPr>
                <w:lang w:eastAsia="ko-KR"/>
              </w:rPr>
              <w:t>Legal Authorities</w:t>
            </w:r>
          </w:p>
          <w:p w:rsidR="00C92364" w:rsidRPr="008956F2" w:rsidRDefault="00C92364" w:rsidP="00225952">
            <w:pPr>
              <w:pStyle w:val="HeadSideMain"/>
              <w:rPr>
                <w:lang w:eastAsia="ko-KR"/>
              </w:rPr>
            </w:pPr>
          </w:p>
        </w:tc>
        <w:tc>
          <w:tcPr>
            <w:tcW w:w="3914" w:type="dxa"/>
          </w:tcPr>
          <w:p w:rsidR="00C92364" w:rsidRPr="008C6101" w:rsidRDefault="00C92364" w:rsidP="00225952">
            <w:pPr>
              <w:autoSpaceDE w:val="0"/>
              <w:autoSpaceDN w:val="0"/>
              <w:adjustRightInd w:val="0"/>
              <w:spacing w:after="60"/>
              <w:rPr>
                <w:rFonts w:eastAsia="Batang" w:cs="Slimbach-Book"/>
                <w:b/>
                <w:sz w:val="24"/>
                <w:szCs w:val="24"/>
                <w:lang w:eastAsia="ko-KR"/>
              </w:rPr>
            </w:pPr>
            <w:r>
              <w:rPr>
                <w:rFonts w:eastAsia="Batang" w:cs="Slimbach-Book"/>
                <w:b/>
                <w:sz w:val="24"/>
                <w:szCs w:val="24"/>
                <w:lang w:eastAsia="ko-KR"/>
              </w:rPr>
              <w:t>Florida Statutes (F.S.)</w:t>
            </w:r>
          </w:p>
          <w:p w:rsidR="00C92364" w:rsidRPr="00D31C8D" w:rsidRDefault="00745389" w:rsidP="00AD2D7A">
            <w:pPr>
              <w:pStyle w:val="BulletA"/>
              <w:numPr>
                <w:ilvl w:val="0"/>
                <w:numId w:val="113"/>
              </w:numPr>
              <w:rPr>
                <w:rFonts w:eastAsia="Batang" w:cs="Slimbach-Book"/>
                <w:sz w:val="24"/>
                <w:szCs w:val="24"/>
                <w:lang w:eastAsia="ko-KR"/>
              </w:rPr>
            </w:pPr>
            <w:hyperlink r:id="rId185" w:anchor="0163.3191" w:history="1">
              <w:r w:rsidR="00C92364" w:rsidRPr="00E156DA">
                <w:rPr>
                  <w:rStyle w:val="Hyperlink"/>
                  <w:rFonts w:eastAsia="Batang" w:cs="Slimbach-Book"/>
                  <w:szCs w:val="24"/>
                  <w:lang w:eastAsia="ko-KR"/>
                </w:rPr>
                <w:t>Section 163.3191(10), F.S.</w:t>
              </w:r>
            </w:hyperlink>
          </w:p>
        </w:tc>
        <w:tc>
          <w:tcPr>
            <w:tcW w:w="3914" w:type="dxa"/>
          </w:tcPr>
          <w:p w:rsidR="00C92364" w:rsidRDefault="00C92364" w:rsidP="00C92364">
            <w:pPr>
              <w:autoSpaceDE w:val="0"/>
              <w:autoSpaceDN w:val="0"/>
              <w:adjustRightInd w:val="0"/>
              <w:spacing w:after="60"/>
              <w:rPr>
                <w:rFonts w:eastAsia="Batang" w:cs="Slimbach-Book"/>
                <w:b/>
                <w:sz w:val="24"/>
                <w:szCs w:val="24"/>
                <w:lang w:eastAsia="ko-KR"/>
              </w:rPr>
            </w:pPr>
            <w:r>
              <w:rPr>
                <w:rFonts w:eastAsia="Batang" w:cs="Slimbach-Book"/>
                <w:b/>
                <w:sz w:val="24"/>
                <w:szCs w:val="24"/>
                <w:lang w:eastAsia="ko-KR"/>
              </w:rPr>
              <w:t>Florida Administrative Code (F.A.C.)</w:t>
            </w:r>
          </w:p>
          <w:p w:rsidR="00C92364" w:rsidRPr="00C92364" w:rsidRDefault="00745389" w:rsidP="00AD2D7A">
            <w:pPr>
              <w:pStyle w:val="BulletA"/>
              <w:numPr>
                <w:ilvl w:val="0"/>
                <w:numId w:val="113"/>
              </w:numPr>
              <w:spacing w:after="240"/>
              <w:rPr>
                <w:rFonts w:eastAsia="Batang" w:cs="Slimbach-Book"/>
                <w:b/>
                <w:sz w:val="24"/>
                <w:szCs w:val="24"/>
                <w:lang w:eastAsia="ko-KR"/>
              </w:rPr>
            </w:pPr>
            <w:hyperlink r:id="rId186" w:history="1">
              <w:r w:rsidR="00C92364" w:rsidRPr="00E156DA">
                <w:rPr>
                  <w:rStyle w:val="Hyperlink"/>
                  <w:rFonts w:eastAsia="Batang" w:cs="Slimbach-Book"/>
                  <w:szCs w:val="24"/>
                  <w:lang w:eastAsia="ko-KR"/>
                </w:rPr>
                <w:t>Rule 9J-11.018, F.A.C.</w:t>
              </w:r>
            </w:hyperlink>
          </w:p>
        </w:tc>
      </w:tr>
      <w:tr w:rsidR="00225952" w:rsidRPr="007C475C" w:rsidTr="00225952">
        <w:tc>
          <w:tcPr>
            <w:tcW w:w="2252" w:type="dxa"/>
          </w:tcPr>
          <w:p w:rsidR="00225952" w:rsidRDefault="00225952">
            <w:pPr>
              <w:pStyle w:val="HeadSideMain"/>
              <w:rPr>
                <w:lang w:eastAsia="ko-KR"/>
              </w:rPr>
            </w:pPr>
            <w:r w:rsidRPr="008956F2">
              <w:rPr>
                <w:lang w:eastAsia="ko-KR"/>
              </w:rPr>
              <w:t>Key review points</w:t>
            </w:r>
          </w:p>
          <w:p w:rsidR="00225952" w:rsidRPr="008956F2" w:rsidRDefault="00225952" w:rsidP="00225952">
            <w:pPr>
              <w:pStyle w:val="HeadSideMain"/>
              <w:rPr>
                <w:lang w:eastAsia="ko-KR"/>
              </w:rPr>
            </w:pPr>
          </w:p>
        </w:tc>
        <w:tc>
          <w:tcPr>
            <w:tcW w:w="7828" w:type="dxa"/>
            <w:gridSpan w:val="2"/>
          </w:tcPr>
          <w:p w:rsidR="00225952" w:rsidRDefault="00225952" w:rsidP="00CD32CA">
            <w:pPr>
              <w:rPr>
                <w:lang w:eastAsia="ko-KR"/>
              </w:rPr>
            </w:pPr>
            <w:r w:rsidRPr="008C6101">
              <w:rPr>
                <w:lang w:eastAsia="ko-KR"/>
              </w:rPr>
              <w:t>EAR</w:t>
            </w:r>
            <w:r>
              <w:rPr>
                <w:lang w:eastAsia="ko-KR"/>
              </w:rPr>
              <w:t>-based</w:t>
            </w:r>
            <w:r w:rsidRPr="008C6101">
              <w:rPr>
                <w:lang w:eastAsia="ko-KR"/>
              </w:rPr>
              <w:t xml:space="preserve"> amendments should address the recommended changes in the EAR previously reviewed</w:t>
            </w:r>
            <w:r>
              <w:rPr>
                <w:lang w:eastAsia="ko-KR"/>
              </w:rPr>
              <w:t xml:space="preserve">.  </w:t>
            </w:r>
            <w:r w:rsidRPr="008C6101">
              <w:rPr>
                <w:lang w:eastAsia="ko-KR"/>
              </w:rPr>
              <w:t>T</w:t>
            </w:r>
            <w:r>
              <w:rPr>
                <w:lang w:eastAsia="ko-KR"/>
              </w:rPr>
              <w:t xml:space="preserve">he FDOT reviewer should be aware of any </w:t>
            </w:r>
            <w:r w:rsidRPr="008C6101">
              <w:rPr>
                <w:lang w:eastAsia="ko-KR"/>
              </w:rPr>
              <w:t>revisions</w:t>
            </w:r>
            <w:r>
              <w:rPr>
                <w:lang w:eastAsia="ko-KR"/>
              </w:rPr>
              <w:t xml:space="preserve"> that might affect </w:t>
            </w:r>
            <w:r w:rsidRPr="008C6101">
              <w:rPr>
                <w:lang w:eastAsia="ko-KR"/>
              </w:rPr>
              <w:t>internal consistency</w:t>
            </w:r>
            <w:r>
              <w:rPr>
                <w:lang w:eastAsia="ko-KR"/>
              </w:rPr>
              <w:t xml:space="preserve"> of the amendments</w:t>
            </w:r>
            <w:r w:rsidRPr="008C6101">
              <w:rPr>
                <w:lang w:eastAsia="ko-KR"/>
              </w:rPr>
              <w:t xml:space="preserve"> with other elements and effects on the transportation system.</w:t>
            </w:r>
          </w:p>
          <w:p w:rsidR="00225952" w:rsidRPr="00406FF6" w:rsidRDefault="00225952" w:rsidP="00CD32CA">
            <w:pPr>
              <w:rPr>
                <w:lang w:eastAsia="ko-KR"/>
              </w:rPr>
            </w:pPr>
            <w:r w:rsidRPr="008C6101">
              <w:rPr>
                <w:lang w:eastAsia="ko-KR"/>
              </w:rPr>
              <w:t xml:space="preserve">EAR-based amendments may also be </w:t>
            </w:r>
            <w:r>
              <w:rPr>
                <w:lang w:eastAsia="ko-KR"/>
              </w:rPr>
              <w:t xml:space="preserve">responses to </w:t>
            </w:r>
            <w:r w:rsidRPr="008C6101">
              <w:rPr>
                <w:lang w:eastAsia="ko-KR"/>
              </w:rPr>
              <w:t>changes in state law</w:t>
            </w:r>
            <w:r>
              <w:rPr>
                <w:lang w:eastAsia="ko-KR"/>
              </w:rPr>
              <w:t xml:space="preserve">.  </w:t>
            </w:r>
            <w:r w:rsidRPr="008C6101">
              <w:rPr>
                <w:lang w:eastAsia="ko-KR"/>
              </w:rPr>
              <w:t xml:space="preserve">For example, </w:t>
            </w:r>
            <w:r>
              <w:rPr>
                <w:lang w:eastAsia="ko-KR"/>
              </w:rPr>
              <w:t xml:space="preserve">state </w:t>
            </w:r>
            <w:r w:rsidRPr="008C6101">
              <w:rPr>
                <w:lang w:eastAsia="ko-KR"/>
              </w:rPr>
              <w:t xml:space="preserve">law </w:t>
            </w:r>
            <w:r>
              <w:rPr>
                <w:lang w:eastAsia="ko-KR"/>
              </w:rPr>
              <w:t xml:space="preserve">now </w:t>
            </w:r>
            <w:r w:rsidRPr="008C6101">
              <w:rPr>
                <w:lang w:eastAsia="ko-KR"/>
              </w:rPr>
              <w:t>requires including greenhouse gas reduction strategies in</w:t>
            </w:r>
            <w:r>
              <w:rPr>
                <w:lang w:eastAsia="ko-KR"/>
              </w:rPr>
              <w:t xml:space="preserve"> the comprehensive plan.  Amendments based on EARs adopted after July, 2009, must address this requirement.  FDOT reviewers should analyze EAR-based plan amendments for policies and strategies relating to greenhouse gas reduction, which may include transportation strategies, land use, or a combination.</w:t>
            </w:r>
          </w:p>
        </w:tc>
      </w:tr>
    </w:tbl>
    <w:p w:rsidR="00C92364" w:rsidRDefault="00C92364">
      <w:bookmarkStart w:id="192" w:name="_Toc256487959"/>
      <w:bookmarkStart w:id="193" w:name="_Toc263447891"/>
      <w:r>
        <w:rPr>
          <w:b/>
          <w:bCs/>
        </w:rPr>
        <w:br w:type="page"/>
      </w:r>
    </w:p>
    <w:tbl>
      <w:tblPr>
        <w:tblW w:w="10080" w:type="dxa"/>
        <w:tblInd w:w="115" w:type="dxa"/>
        <w:tblLayout w:type="fixed"/>
        <w:tblCellMar>
          <w:left w:w="115" w:type="dxa"/>
          <w:right w:w="115" w:type="dxa"/>
        </w:tblCellMar>
        <w:tblLook w:val="0000"/>
      </w:tblPr>
      <w:tblGrid>
        <w:gridCol w:w="2252"/>
        <w:gridCol w:w="3914"/>
        <w:gridCol w:w="3914"/>
      </w:tblGrid>
      <w:tr w:rsidR="00225952" w:rsidRPr="007C475C" w:rsidTr="00225952">
        <w:tc>
          <w:tcPr>
            <w:tcW w:w="10080" w:type="dxa"/>
            <w:gridSpan w:val="3"/>
          </w:tcPr>
          <w:p w:rsidR="00225952" w:rsidRDefault="00225952">
            <w:pPr>
              <w:pStyle w:val="Heading3"/>
              <w:rPr>
                <w:lang w:eastAsia="ko-KR"/>
              </w:rPr>
            </w:pPr>
            <w:bookmarkStart w:id="194" w:name="_Toc264274136"/>
            <w:r>
              <w:rPr>
                <w:lang w:eastAsia="ko-KR"/>
              </w:rPr>
              <w:lastRenderedPageBreak/>
              <w:t>3.9.3 Development of Regional Impact-b</w:t>
            </w:r>
            <w:r w:rsidRPr="008C6101">
              <w:rPr>
                <w:lang w:eastAsia="ko-KR"/>
              </w:rPr>
              <w:t>ased Amendments</w:t>
            </w:r>
            <w:bookmarkEnd w:id="192"/>
            <w:bookmarkEnd w:id="193"/>
            <w:bookmarkEnd w:id="194"/>
          </w:p>
        </w:tc>
      </w:tr>
      <w:tr w:rsidR="00225952" w:rsidRPr="007C475C" w:rsidTr="00225952">
        <w:tc>
          <w:tcPr>
            <w:tcW w:w="2252" w:type="dxa"/>
          </w:tcPr>
          <w:p w:rsidR="00225952" w:rsidRPr="008956F2" w:rsidRDefault="00C92364" w:rsidP="00C92364">
            <w:pPr>
              <w:pStyle w:val="Heading4"/>
              <w:rPr>
                <w:lang w:eastAsia="ko-KR"/>
              </w:rPr>
            </w:pPr>
            <w:r>
              <w:rPr>
                <w:lang w:eastAsia="ko-KR"/>
              </w:rPr>
              <w:t>DRI Amendment</w:t>
            </w:r>
          </w:p>
        </w:tc>
        <w:tc>
          <w:tcPr>
            <w:tcW w:w="7828" w:type="dxa"/>
            <w:gridSpan w:val="2"/>
          </w:tcPr>
          <w:p w:rsidR="00225952" w:rsidRPr="00406FF6" w:rsidRDefault="00225952" w:rsidP="00CD32CA">
            <w:r>
              <w:t>A Development of Regional Impact (DRI) is authorized through the issuance of a local development order.  Since all local development orders must be consistent with the comprehensive plan (</w:t>
            </w:r>
            <w:hyperlink r:id="rId187" w:anchor="0163.3194" w:history="1">
              <w:r w:rsidRPr="00E156DA">
                <w:rPr>
                  <w:rStyle w:val="Hyperlink"/>
                  <w:szCs w:val="24"/>
                </w:rPr>
                <w:t>s.163.3194, F.S.</w:t>
              </w:r>
            </w:hyperlink>
            <w:r>
              <w:t xml:space="preserve">), the DRI must be consistent with the comprehensive plan.  Thus, a </w:t>
            </w:r>
            <w:r w:rsidRPr="008C6101">
              <w:t>DRI</w:t>
            </w:r>
            <w:r>
              <w:t>-related comprehensive plan amendment may need to be prepared to</w:t>
            </w:r>
            <w:r w:rsidRPr="008C6101">
              <w:t xml:space="preserve"> </w:t>
            </w:r>
            <w:r>
              <w:t xml:space="preserve">ensure </w:t>
            </w:r>
            <w:r w:rsidRPr="008C6101">
              <w:t xml:space="preserve">consistency </w:t>
            </w:r>
            <w:r>
              <w:t xml:space="preserve">of the plan </w:t>
            </w:r>
            <w:r w:rsidRPr="008C6101">
              <w:t>with a proposed DRI, or substantial deviation to an existing DRI</w:t>
            </w:r>
            <w:r>
              <w:t>.  Such amendments are not subject to the twice year limitation on the adoption of plan amend</w:t>
            </w:r>
            <w:r w:rsidRPr="008C6101">
              <w:t>ment</w:t>
            </w:r>
            <w:r>
              <w:t>s</w:t>
            </w:r>
            <w:r w:rsidRPr="008C6101">
              <w:t>; however, the</w:t>
            </w:r>
            <w:r>
              <w:t>y</w:t>
            </w:r>
            <w:r w:rsidRPr="008C6101">
              <w:t xml:space="preserve"> </w:t>
            </w:r>
            <w:r>
              <w:t>do</w:t>
            </w:r>
            <w:r w:rsidRPr="008C6101">
              <w:t xml:space="preserve"> follow the LGCP amendment review process</w:t>
            </w:r>
            <w:r>
              <w:t xml:space="preserve">. </w:t>
            </w:r>
          </w:p>
        </w:tc>
      </w:tr>
      <w:tr w:rsidR="00C92364" w:rsidRPr="007C475C" w:rsidTr="000569A8">
        <w:tc>
          <w:tcPr>
            <w:tcW w:w="2252" w:type="dxa"/>
          </w:tcPr>
          <w:p w:rsidR="00C92364" w:rsidRDefault="00C92364" w:rsidP="00C92364">
            <w:pPr>
              <w:pStyle w:val="HeadSideMain"/>
              <w:rPr>
                <w:lang w:eastAsia="ko-KR"/>
              </w:rPr>
            </w:pPr>
            <w:r w:rsidRPr="008956F2">
              <w:rPr>
                <w:lang w:eastAsia="ko-KR"/>
              </w:rPr>
              <w:t>Legal Authorities</w:t>
            </w:r>
          </w:p>
          <w:p w:rsidR="00C92364" w:rsidRPr="008956F2" w:rsidRDefault="00C92364" w:rsidP="00225952">
            <w:pPr>
              <w:pStyle w:val="HeadSideMain"/>
              <w:rPr>
                <w:lang w:eastAsia="ko-KR"/>
              </w:rPr>
            </w:pPr>
          </w:p>
        </w:tc>
        <w:tc>
          <w:tcPr>
            <w:tcW w:w="3914" w:type="dxa"/>
          </w:tcPr>
          <w:p w:rsidR="00C92364" w:rsidRDefault="00C92364" w:rsidP="00C92364">
            <w:pPr>
              <w:autoSpaceDE w:val="0"/>
              <w:autoSpaceDN w:val="0"/>
              <w:adjustRightInd w:val="0"/>
              <w:spacing w:after="0"/>
              <w:rPr>
                <w:sz w:val="24"/>
                <w:szCs w:val="24"/>
              </w:rPr>
            </w:pPr>
            <w:r w:rsidRPr="00870E8C">
              <w:rPr>
                <w:b/>
                <w:sz w:val="24"/>
                <w:szCs w:val="24"/>
              </w:rPr>
              <w:t>Florida Statutes</w:t>
            </w:r>
            <w:r w:rsidRPr="008C6101">
              <w:rPr>
                <w:sz w:val="24"/>
                <w:szCs w:val="24"/>
              </w:rPr>
              <w:t>:</w:t>
            </w:r>
          </w:p>
          <w:p w:rsidR="00C92364" w:rsidRDefault="00745389" w:rsidP="00AD2D7A">
            <w:pPr>
              <w:pStyle w:val="BulletA"/>
              <w:numPr>
                <w:ilvl w:val="0"/>
                <w:numId w:val="113"/>
              </w:numPr>
              <w:rPr>
                <w:sz w:val="24"/>
                <w:szCs w:val="24"/>
              </w:rPr>
            </w:pPr>
            <w:hyperlink r:id="rId188" w:anchor="0163.3184" w:history="1">
              <w:r w:rsidR="00C92364" w:rsidRPr="00B01699">
                <w:rPr>
                  <w:rStyle w:val="Hyperlink"/>
                  <w:szCs w:val="24"/>
                </w:rPr>
                <w:t xml:space="preserve"> Section 163.3184(3), F.S</w:t>
              </w:r>
            </w:hyperlink>
            <w:r w:rsidR="00C92364">
              <w:rPr>
                <w:sz w:val="24"/>
                <w:szCs w:val="24"/>
              </w:rPr>
              <w:t>.</w:t>
            </w:r>
            <w:r w:rsidR="00C92364" w:rsidRPr="008C6101">
              <w:rPr>
                <w:sz w:val="24"/>
                <w:szCs w:val="24"/>
              </w:rPr>
              <w:t xml:space="preserve"> </w:t>
            </w:r>
          </w:p>
          <w:p w:rsidR="00C92364" w:rsidRDefault="00C92364" w:rsidP="00AD2D7A">
            <w:pPr>
              <w:pStyle w:val="BulletA"/>
              <w:numPr>
                <w:ilvl w:val="0"/>
                <w:numId w:val="113"/>
              </w:numPr>
              <w:rPr>
                <w:sz w:val="24"/>
                <w:szCs w:val="24"/>
              </w:rPr>
            </w:pPr>
            <w:r>
              <w:rPr>
                <w:sz w:val="24"/>
                <w:szCs w:val="24"/>
              </w:rPr>
              <w:t>Section 163.3184(4), F.S.</w:t>
            </w:r>
          </w:p>
          <w:p w:rsidR="00C92364" w:rsidRPr="008C6101" w:rsidRDefault="00C92364" w:rsidP="00AD2D7A">
            <w:pPr>
              <w:pStyle w:val="BulletA"/>
              <w:numPr>
                <w:ilvl w:val="0"/>
                <w:numId w:val="113"/>
              </w:numPr>
              <w:spacing w:after="240"/>
              <w:rPr>
                <w:sz w:val="24"/>
                <w:szCs w:val="24"/>
              </w:rPr>
            </w:pPr>
            <w:r>
              <w:rPr>
                <w:sz w:val="24"/>
                <w:szCs w:val="24"/>
              </w:rPr>
              <w:t xml:space="preserve"> </w:t>
            </w:r>
            <w:hyperlink r:id="rId189" w:anchor="0380.06" w:history="1">
              <w:r w:rsidRPr="00B01699">
                <w:rPr>
                  <w:rStyle w:val="Hyperlink"/>
                  <w:szCs w:val="24"/>
                </w:rPr>
                <w:t>Section 380.06(6), F.S.</w:t>
              </w:r>
            </w:hyperlink>
          </w:p>
        </w:tc>
        <w:tc>
          <w:tcPr>
            <w:tcW w:w="3914" w:type="dxa"/>
          </w:tcPr>
          <w:p w:rsidR="00C92364" w:rsidRPr="00CA5343" w:rsidRDefault="00C92364" w:rsidP="00C92364">
            <w:pPr>
              <w:autoSpaceDE w:val="0"/>
              <w:autoSpaceDN w:val="0"/>
              <w:adjustRightInd w:val="0"/>
              <w:spacing w:after="0"/>
              <w:rPr>
                <w:sz w:val="24"/>
                <w:szCs w:val="24"/>
                <w:lang w:val="es-MX"/>
              </w:rPr>
            </w:pPr>
            <w:r w:rsidRPr="00CA5343">
              <w:rPr>
                <w:b/>
                <w:sz w:val="24"/>
                <w:szCs w:val="24"/>
                <w:lang w:val="es-MX"/>
              </w:rPr>
              <w:t>Florida Administrative Code (F.A.C.)</w:t>
            </w:r>
            <w:r w:rsidRPr="00CA5343">
              <w:rPr>
                <w:sz w:val="24"/>
                <w:szCs w:val="24"/>
                <w:lang w:val="es-MX"/>
              </w:rPr>
              <w:t>:</w:t>
            </w:r>
          </w:p>
          <w:p w:rsidR="00C92364" w:rsidRDefault="00C92364" w:rsidP="00AD2D7A">
            <w:pPr>
              <w:pStyle w:val="BulletA"/>
              <w:numPr>
                <w:ilvl w:val="0"/>
                <w:numId w:val="114"/>
              </w:numPr>
            </w:pPr>
            <w:r>
              <w:t xml:space="preserve">Rule </w:t>
            </w:r>
            <w:r w:rsidRPr="008C6101">
              <w:t>9J-5</w:t>
            </w:r>
            <w:r>
              <w:t>, F.A.C.</w:t>
            </w:r>
          </w:p>
          <w:p w:rsidR="00C92364" w:rsidRDefault="00C92364" w:rsidP="00AD2D7A">
            <w:pPr>
              <w:pStyle w:val="BulletA"/>
              <w:numPr>
                <w:ilvl w:val="0"/>
                <w:numId w:val="114"/>
              </w:numPr>
            </w:pPr>
            <w:r>
              <w:t xml:space="preserve">Rule </w:t>
            </w:r>
            <w:r w:rsidRPr="008C6101">
              <w:t>9J-11</w:t>
            </w:r>
            <w:r>
              <w:t>, F.A.C.</w:t>
            </w:r>
          </w:p>
          <w:p w:rsidR="00C92364" w:rsidRDefault="00C92364" w:rsidP="00225952">
            <w:pPr>
              <w:autoSpaceDE w:val="0"/>
              <w:autoSpaceDN w:val="0"/>
              <w:adjustRightInd w:val="0"/>
              <w:spacing w:after="120"/>
              <w:ind w:right="288"/>
              <w:rPr>
                <w:sz w:val="24"/>
                <w:szCs w:val="24"/>
              </w:rPr>
            </w:pPr>
          </w:p>
        </w:tc>
      </w:tr>
      <w:tr w:rsidR="00225952" w:rsidRPr="007C475C" w:rsidTr="00225952">
        <w:tc>
          <w:tcPr>
            <w:tcW w:w="2252" w:type="dxa"/>
          </w:tcPr>
          <w:p w:rsidR="00225952" w:rsidRPr="008956F2" w:rsidRDefault="00745389" w:rsidP="00CC002A">
            <w:pPr>
              <w:pStyle w:val="ResourceLink"/>
              <w:rPr>
                <w:lang w:eastAsia="ko-KR"/>
              </w:rPr>
            </w:pPr>
            <w:hyperlink w:anchor="R5" w:history="1">
              <w:r w:rsidR="00F52017" w:rsidRPr="00B13815">
                <w:rPr>
                  <w:rStyle w:val="Hyperlink"/>
                </w:rPr>
                <w:sym w:font="Wingdings" w:char="F0E8"/>
              </w:r>
            </w:hyperlink>
          </w:p>
        </w:tc>
        <w:tc>
          <w:tcPr>
            <w:tcW w:w="7828" w:type="dxa"/>
            <w:gridSpan w:val="2"/>
          </w:tcPr>
          <w:p w:rsidR="00225952" w:rsidRDefault="00225952" w:rsidP="00C92364">
            <w:pPr>
              <w:pStyle w:val="ResourceNotTOC"/>
              <w:rPr>
                <w:lang w:eastAsia="ko-KR"/>
              </w:rPr>
            </w:pPr>
            <w:r>
              <w:rPr>
                <w:color w:val="1D1B11"/>
                <w:lang w:eastAsia="ko-KR"/>
              </w:rPr>
              <w:t>Resource Guide</w:t>
            </w:r>
            <w:r w:rsidRPr="00B03C55">
              <w:rPr>
                <w:color w:val="1D1B11"/>
                <w:lang w:eastAsia="ko-KR"/>
              </w:rPr>
              <w:t xml:space="preserve"> 5.</w:t>
            </w:r>
            <w:r>
              <w:rPr>
                <w:lang w:eastAsia="ko-KR"/>
              </w:rPr>
              <w:t xml:space="preserve">  </w:t>
            </w:r>
            <w:r w:rsidRPr="00700214">
              <w:rPr>
                <w:lang w:eastAsia="ko-KR"/>
              </w:rPr>
              <w:t>Existing Guidance</w:t>
            </w:r>
            <w:r>
              <w:rPr>
                <w:lang w:eastAsia="ko-KR"/>
              </w:rPr>
              <w:t xml:space="preserve"> </w:t>
            </w:r>
          </w:p>
        </w:tc>
      </w:tr>
      <w:tr w:rsidR="00225952" w:rsidRPr="007C475C" w:rsidTr="00225952">
        <w:trPr>
          <w:trHeight w:val="423"/>
        </w:trPr>
        <w:tc>
          <w:tcPr>
            <w:tcW w:w="2252" w:type="dxa"/>
          </w:tcPr>
          <w:p w:rsidR="00225952" w:rsidRPr="008956F2" w:rsidRDefault="00225952" w:rsidP="00225952">
            <w:pPr>
              <w:pStyle w:val="HeadSideMain"/>
              <w:rPr>
                <w:lang w:eastAsia="ko-KR"/>
              </w:rPr>
            </w:pPr>
          </w:p>
        </w:tc>
        <w:tc>
          <w:tcPr>
            <w:tcW w:w="7828" w:type="dxa"/>
            <w:gridSpan w:val="2"/>
          </w:tcPr>
          <w:p w:rsidR="00225952" w:rsidRDefault="00225952">
            <w:pPr>
              <w:pStyle w:val="Heading4"/>
              <w:rPr>
                <w:lang w:eastAsia="ko-KR"/>
              </w:rPr>
            </w:pPr>
            <w:r w:rsidRPr="008956F2">
              <w:rPr>
                <w:lang w:eastAsia="ko-KR"/>
              </w:rPr>
              <w:t>FDOT Review Procedure</w:t>
            </w:r>
          </w:p>
          <w:p w:rsidR="00225952" w:rsidRDefault="00225952" w:rsidP="00225952">
            <w:pPr>
              <w:autoSpaceDE w:val="0"/>
              <w:autoSpaceDN w:val="0"/>
              <w:adjustRightInd w:val="0"/>
              <w:spacing w:after="0"/>
              <w:rPr>
                <w:rFonts w:eastAsia="Batang" w:cs="Slimbach-Book"/>
                <w:sz w:val="24"/>
                <w:szCs w:val="24"/>
                <w:lang w:eastAsia="ko-KR"/>
              </w:rPr>
            </w:pPr>
            <w:r w:rsidRPr="00BC18C2">
              <w:rPr>
                <w:rFonts w:eastAsia="Batang" w:cs="Slimbach-Book"/>
                <w:b/>
                <w:i/>
                <w:sz w:val="24"/>
                <w:szCs w:val="24"/>
                <w:lang w:eastAsia="ko-KR"/>
              </w:rPr>
              <w:t>Required information</w:t>
            </w:r>
            <w:r>
              <w:rPr>
                <w:rFonts w:eastAsia="Batang" w:cs="Slimbach-Book"/>
                <w:sz w:val="24"/>
                <w:szCs w:val="24"/>
                <w:lang w:eastAsia="ko-KR"/>
              </w:rPr>
              <w:t>:</w:t>
            </w:r>
          </w:p>
          <w:p w:rsidR="00225952" w:rsidRDefault="00225952" w:rsidP="00AD2D7A">
            <w:pPr>
              <w:pStyle w:val="BulletA"/>
              <w:numPr>
                <w:ilvl w:val="0"/>
                <w:numId w:val="116"/>
              </w:numPr>
              <w:rPr>
                <w:lang w:eastAsia="ko-KR"/>
              </w:rPr>
            </w:pPr>
            <w:r w:rsidRPr="008C6101">
              <w:rPr>
                <w:lang w:eastAsia="ko-KR"/>
              </w:rPr>
              <w:t>Amendment application</w:t>
            </w:r>
          </w:p>
          <w:p w:rsidR="00225952" w:rsidRDefault="00225952" w:rsidP="00AD2D7A">
            <w:pPr>
              <w:pStyle w:val="BulletA"/>
              <w:numPr>
                <w:ilvl w:val="0"/>
                <w:numId w:val="116"/>
              </w:numPr>
              <w:rPr>
                <w:lang w:eastAsia="ko-KR"/>
              </w:rPr>
            </w:pPr>
            <w:r w:rsidRPr="008C6101">
              <w:rPr>
                <w:lang w:eastAsia="ko-KR"/>
              </w:rPr>
              <w:t>Transportation impact study for the amendment</w:t>
            </w:r>
          </w:p>
        </w:tc>
      </w:tr>
      <w:tr w:rsidR="00225952" w:rsidRPr="007C475C" w:rsidTr="00225952">
        <w:trPr>
          <w:trHeight w:val="423"/>
        </w:trPr>
        <w:tc>
          <w:tcPr>
            <w:tcW w:w="2252" w:type="dxa"/>
          </w:tcPr>
          <w:p w:rsidR="00225952" w:rsidRDefault="00225952">
            <w:pPr>
              <w:pStyle w:val="HeadSideMain"/>
              <w:rPr>
                <w:lang w:eastAsia="ko-KR"/>
              </w:rPr>
            </w:pPr>
            <w:r w:rsidRPr="008956F2">
              <w:rPr>
                <w:lang w:eastAsia="ko-KR"/>
              </w:rPr>
              <w:t>Key review points</w:t>
            </w:r>
          </w:p>
          <w:p w:rsidR="00225952" w:rsidRPr="008956F2" w:rsidRDefault="00225952" w:rsidP="00225952">
            <w:pPr>
              <w:pStyle w:val="HeadSideMain"/>
              <w:rPr>
                <w:lang w:eastAsia="ko-KR"/>
              </w:rPr>
            </w:pPr>
          </w:p>
        </w:tc>
        <w:tc>
          <w:tcPr>
            <w:tcW w:w="7828" w:type="dxa"/>
            <w:gridSpan w:val="2"/>
          </w:tcPr>
          <w:p w:rsidR="00225952" w:rsidRDefault="00225952">
            <w:pPr>
              <w:rPr>
                <w:lang w:eastAsia="ko-KR"/>
              </w:rPr>
            </w:pPr>
            <w:r w:rsidRPr="008C6101">
              <w:rPr>
                <w:lang w:eastAsia="ko-KR"/>
              </w:rPr>
              <w:t>The FDOT reviewer should analyze the amendment for consistency with the relevant elements in the comprehensive plan</w:t>
            </w:r>
            <w:r>
              <w:rPr>
                <w:lang w:eastAsia="ko-KR"/>
              </w:rPr>
              <w:t xml:space="preserve"> and with </w:t>
            </w:r>
            <w:hyperlink r:id="rId190" w:anchor="0380.06" w:history="1">
              <w:r w:rsidRPr="00B01699">
                <w:rPr>
                  <w:rStyle w:val="Hyperlink"/>
                  <w:rFonts w:eastAsia="Batang" w:cs="Slimbach-Book"/>
                  <w:szCs w:val="24"/>
                  <w:lang w:eastAsia="ko-KR"/>
                </w:rPr>
                <w:t>Chapter 380, F.S</w:t>
              </w:r>
            </w:hyperlink>
            <w:r>
              <w:rPr>
                <w:lang w:eastAsia="ko-KR"/>
              </w:rPr>
              <w:t>.</w:t>
            </w:r>
            <w:r w:rsidRPr="008C6101">
              <w:rPr>
                <w:lang w:eastAsia="ko-KR"/>
              </w:rPr>
              <w:t xml:space="preserve"> </w:t>
            </w:r>
            <w:r>
              <w:rPr>
                <w:lang w:eastAsia="ko-KR"/>
              </w:rPr>
              <w:t xml:space="preserve"> </w:t>
            </w:r>
            <w:r w:rsidRPr="008C6101">
              <w:rPr>
                <w:lang w:eastAsia="ko-KR"/>
              </w:rPr>
              <w:t>The transportation impact study for the amendment should focus on the anticipated trips</w:t>
            </w:r>
            <w:r>
              <w:rPr>
                <w:lang w:eastAsia="ko-KR"/>
              </w:rPr>
              <w:t xml:space="preserve">, </w:t>
            </w:r>
            <w:r w:rsidRPr="008C6101">
              <w:rPr>
                <w:lang w:eastAsia="ko-KR"/>
              </w:rPr>
              <w:t>growth trends on the adjacent road</w:t>
            </w:r>
            <w:r>
              <w:rPr>
                <w:lang w:eastAsia="ko-KR"/>
              </w:rPr>
              <w:t>way facilities and proposed mitigation.</w:t>
            </w:r>
          </w:p>
        </w:tc>
      </w:tr>
      <w:tr w:rsidR="00225952" w:rsidRPr="007C475C" w:rsidTr="00225952">
        <w:trPr>
          <w:trHeight w:val="423"/>
        </w:trPr>
        <w:tc>
          <w:tcPr>
            <w:tcW w:w="2252" w:type="dxa"/>
          </w:tcPr>
          <w:p w:rsidR="00225952" w:rsidRPr="008956F2" w:rsidRDefault="00225952" w:rsidP="00225952">
            <w:pPr>
              <w:pStyle w:val="HeadSideMain"/>
              <w:rPr>
                <w:lang w:eastAsia="ko-KR"/>
              </w:rPr>
            </w:pPr>
          </w:p>
        </w:tc>
        <w:tc>
          <w:tcPr>
            <w:tcW w:w="7828" w:type="dxa"/>
            <w:gridSpan w:val="2"/>
            <w:vAlign w:val="bottom"/>
          </w:tcPr>
          <w:p w:rsidR="00225952" w:rsidRPr="008C6101" w:rsidRDefault="00225952" w:rsidP="00AD2D7A">
            <w:pPr>
              <w:pStyle w:val="BulletA"/>
              <w:numPr>
                <w:ilvl w:val="0"/>
                <w:numId w:val="115"/>
              </w:numPr>
              <w:rPr>
                <w:rFonts w:eastAsia="Batang" w:cs="Slimbach-Book"/>
                <w:sz w:val="24"/>
                <w:szCs w:val="24"/>
                <w:lang w:eastAsia="ko-KR"/>
              </w:rPr>
            </w:pPr>
            <w:r w:rsidRPr="004C2377">
              <w:t>Primarily Chapter 163, FS and Rule 9J-5, FAC</w:t>
            </w:r>
          </w:p>
        </w:tc>
      </w:tr>
      <w:tr w:rsidR="00225952" w:rsidRPr="007C475C" w:rsidTr="00225952">
        <w:trPr>
          <w:trHeight w:val="423"/>
        </w:trPr>
        <w:tc>
          <w:tcPr>
            <w:tcW w:w="2252" w:type="dxa"/>
          </w:tcPr>
          <w:p w:rsidR="00225952" w:rsidRPr="008956F2" w:rsidRDefault="00225952" w:rsidP="00225952">
            <w:pPr>
              <w:pStyle w:val="HeadSideMain"/>
              <w:rPr>
                <w:lang w:eastAsia="ko-KR"/>
              </w:rPr>
            </w:pPr>
          </w:p>
        </w:tc>
        <w:tc>
          <w:tcPr>
            <w:tcW w:w="7828" w:type="dxa"/>
            <w:gridSpan w:val="2"/>
          </w:tcPr>
          <w:p w:rsidR="00225952" w:rsidRPr="008C6101" w:rsidRDefault="00225952" w:rsidP="00225952">
            <w:pPr>
              <w:autoSpaceDE w:val="0"/>
              <w:autoSpaceDN w:val="0"/>
              <w:adjustRightInd w:val="0"/>
              <w:spacing w:after="120"/>
              <w:ind w:right="288"/>
              <w:rPr>
                <w:rFonts w:eastAsia="Batang" w:cs="Slimbach-Book"/>
                <w:sz w:val="24"/>
                <w:szCs w:val="24"/>
                <w:lang w:eastAsia="ko-KR"/>
              </w:rPr>
            </w:pPr>
          </w:p>
        </w:tc>
      </w:tr>
    </w:tbl>
    <w:p w:rsidR="00225952" w:rsidRDefault="00225952" w:rsidP="00225952">
      <w:pPr>
        <w:sectPr w:rsidR="00225952" w:rsidSect="00832911">
          <w:headerReference w:type="default" r:id="rId191"/>
          <w:type w:val="continuous"/>
          <w:pgSz w:w="12240" w:h="15840"/>
          <w:pgMar w:top="1440" w:right="720" w:bottom="1440" w:left="1152" w:header="720" w:footer="720" w:gutter="0"/>
          <w:cols w:space="720"/>
          <w:docGrid w:linePitch="360"/>
        </w:sectPr>
      </w:pPr>
    </w:p>
    <w:p w:rsidR="00225952" w:rsidRDefault="00225952">
      <w:pPr>
        <w:pStyle w:val="Heading2"/>
        <w:sectPr w:rsidR="00225952" w:rsidSect="00832911">
          <w:type w:val="continuous"/>
          <w:pgSz w:w="12240" w:h="15840"/>
          <w:pgMar w:top="1440" w:right="720" w:bottom="1440" w:left="1152" w:header="720" w:footer="720" w:gutter="0"/>
          <w:cols w:space="720"/>
          <w:docGrid w:linePitch="360"/>
        </w:sectPr>
      </w:pPr>
    </w:p>
    <w:tbl>
      <w:tblPr>
        <w:tblW w:w="9899" w:type="dxa"/>
        <w:tblInd w:w="112" w:type="dxa"/>
        <w:tblLayout w:type="fixed"/>
        <w:tblCellMar>
          <w:left w:w="115" w:type="dxa"/>
          <w:right w:w="115" w:type="dxa"/>
        </w:tblCellMar>
        <w:tblLook w:val="0000"/>
      </w:tblPr>
      <w:tblGrid>
        <w:gridCol w:w="2523"/>
        <w:gridCol w:w="7376"/>
      </w:tblGrid>
      <w:tr w:rsidR="00225952" w:rsidRPr="007C475C" w:rsidTr="00225952">
        <w:tc>
          <w:tcPr>
            <w:tcW w:w="9899" w:type="dxa"/>
            <w:gridSpan w:val="2"/>
          </w:tcPr>
          <w:p w:rsidR="00225952" w:rsidRDefault="00225952" w:rsidP="009A5DBF">
            <w:pPr>
              <w:pStyle w:val="Resource"/>
              <w:outlineLvl w:val="1"/>
            </w:pPr>
            <w:bookmarkStart w:id="195" w:name="R1"/>
            <w:bookmarkStart w:id="196" w:name="_Toc263447892"/>
            <w:bookmarkStart w:id="197" w:name="_Toc264274137"/>
            <w:bookmarkEnd w:id="195"/>
            <w:r w:rsidRPr="00E420C9">
              <w:rPr>
                <w:color w:val="1D1B11"/>
                <w:sz w:val="28"/>
              </w:rPr>
              <w:lastRenderedPageBreak/>
              <w:t>Resource Guide 1.</w:t>
            </w:r>
            <w:r w:rsidRPr="00E420C9">
              <w:rPr>
                <w:sz w:val="28"/>
              </w:rPr>
              <w:t xml:space="preserve">  Legal Authority for Department Review</w:t>
            </w:r>
            <w:bookmarkEnd w:id="196"/>
            <w:bookmarkEnd w:id="197"/>
          </w:p>
        </w:tc>
      </w:tr>
      <w:tr w:rsidR="00225952" w:rsidRPr="007C475C" w:rsidTr="00225952">
        <w:tc>
          <w:tcPr>
            <w:tcW w:w="9899" w:type="dxa"/>
            <w:gridSpan w:val="2"/>
          </w:tcPr>
          <w:p w:rsidR="00225952" w:rsidRPr="008B3FF5" w:rsidRDefault="00225952" w:rsidP="00225952">
            <w:pPr>
              <w:rPr>
                <w:sz w:val="24"/>
                <w:szCs w:val="24"/>
              </w:rPr>
            </w:pPr>
            <w:r w:rsidRPr="00243288">
              <w:t>Florida Statutes</w:t>
            </w:r>
            <w:r w:rsidRPr="008B3FF5">
              <w:rPr>
                <w:sz w:val="24"/>
                <w:szCs w:val="24"/>
              </w:rPr>
              <w:t>:</w:t>
            </w:r>
            <w:r>
              <w:rPr>
                <w:sz w:val="24"/>
                <w:szCs w:val="24"/>
              </w:rPr>
              <w:t xml:space="preserve"> </w:t>
            </w:r>
            <w:hyperlink r:id="rId192" w:history="1">
              <w:r w:rsidRPr="008B3FF5">
                <w:rPr>
                  <w:rStyle w:val="Hyperlink"/>
                  <w:szCs w:val="24"/>
                </w:rPr>
                <w:t>Statutes &amp; Constitution :View Statutes : flsenate.gov</w:t>
              </w:r>
            </w:hyperlink>
          </w:p>
          <w:p w:rsidR="00225952" w:rsidRPr="008B3FF5" w:rsidRDefault="00225952" w:rsidP="00225952">
            <w:r w:rsidRPr="008B3FF5">
              <w:t>Florida Administrative Code:</w:t>
            </w:r>
            <w:r>
              <w:t xml:space="preserve"> </w:t>
            </w:r>
            <w:hyperlink r:id="rId193" w:history="1">
              <w:r w:rsidRPr="008B3FF5">
                <w:rPr>
                  <w:rStyle w:val="Hyperlink"/>
                  <w:szCs w:val="24"/>
                </w:rPr>
                <w:t xml:space="preserve">Florida Administrative Rules, Law, Code, Register – </w:t>
              </w:r>
              <w:r>
                <w:rPr>
                  <w:rStyle w:val="Hyperlink"/>
                  <w:szCs w:val="24"/>
                </w:rPr>
                <w:t>F.A.C.</w:t>
              </w:r>
              <w:r w:rsidRPr="008B3FF5">
                <w:rPr>
                  <w:rStyle w:val="Hyperlink"/>
                  <w:szCs w:val="24"/>
                </w:rPr>
                <w:t>, FAW, eRulemaking</w:t>
              </w:r>
            </w:hyperlink>
          </w:p>
          <w:p w:rsidR="00225952" w:rsidRPr="008B3FF5" w:rsidRDefault="00225952" w:rsidP="00225952">
            <w:r w:rsidRPr="008B3FF5">
              <w:t>The following rules and statutes provide the authority that guides the Department</w:t>
            </w:r>
            <w:r>
              <w:t>’</w:t>
            </w:r>
            <w:r w:rsidRPr="008B3FF5">
              <w:t>s review of local government comprehensive planning documents:</w:t>
            </w:r>
          </w:p>
          <w:p w:rsidR="00225952" w:rsidRPr="00F15894" w:rsidRDefault="00225952" w:rsidP="00225952">
            <w:pPr>
              <w:spacing w:after="0"/>
              <w:rPr>
                <w:b/>
                <w:color w:val="008080"/>
                <w:sz w:val="28"/>
                <w:szCs w:val="28"/>
              </w:rPr>
            </w:pPr>
            <w:bookmarkStart w:id="198" w:name="_Toc256487960"/>
            <w:bookmarkStart w:id="199" w:name="_Toc263424750"/>
            <w:r w:rsidRPr="00F15894">
              <w:rPr>
                <w:b/>
                <w:color w:val="008080"/>
                <w:sz w:val="28"/>
                <w:szCs w:val="28"/>
              </w:rPr>
              <w:t>Florida Statutes (F.S.):</w:t>
            </w:r>
            <w:bookmarkEnd w:id="198"/>
            <w:bookmarkEnd w:id="199"/>
          </w:p>
        </w:tc>
      </w:tr>
      <w:tr w:rsidR="00225952" w:rsidRPr="007C475C" w:rsidTr="00C92364">
        <w:tc>
          <w:tcPr>
            <w:tcW w:w="2523" w:type="dxa"/>
          </w:tcPr>
          <w:p w:rsidR="00225952" w:rsidRPr="00243288" w:rsidRDefault="00225952" w:rsidP="00225952">
            <w:pPr>
              <w:pStyle w:val="HeadSideMain"/>
              <w:jc w:val="right"/>
              <w:rPr>
                <w:b w:val="0"/>
                <w:i w:val="0"/>
              </w:rPr>
            </w:pPr>
            <w:r w:rsidRPr="00243288">
              <w:rPr>
                <w:b w:val="0"/>
                <w:i w:val="0"/>
                <w:szCs w:val="23"/>
              </w:rPr>
              <w:t xml:space="preserve"> </w:t>
            </w:r>
            <w:hyperlink r:id="rId194" w:anchor="0163.3180" w:history="1">
              <w:r w:rsidRPr="00243288">
                <w:rPr>
                  <w:rStyle w:val="Hyperlink"/>
                  <w:b w:val="0"/>
                  <w:i w:val="0"/>
                  <w:szCs w:val="24"/>
                </w:rPr>
                <w:t>ss.163.3180(10</w:t>
              </w:r>
            </w:hyperlink>
            <w:r w:rsidRPr="00243288">
              <w:rPr>
                <w:b w:val="0"/>
                <w:i w:val="0"/>
                <w:sz w:val="24"/>
                <w:szCs w:val="24"/>
              </w:rPr>
              <w:t>)</w:t>
            </w:r>
          </w:p>
        </w:tc>
        <w:tc>
          <w:tcPr>
            <w:tcW w:w="7376" w:type="dxa"/>
          </w:tcPr>
          <w:p w:rsidR="00225952" w:rsidRPr="00104D50" w:rsidRDefault="00225952" w:rsidP="00225952">
            <w:r w:rsidRPr="008B3FF5">
              <w:t>and 163.3191(1)(p)</w:t>
            </w:r>
            <w:r>
              <w:t>, F.S.,</w:t>
            </w:r>
            <w:r w:rsidRPr="008B3FF5">
              <w:t xml:space="preserve"> address roadways that traverse multiple jurisdictions and require local governments to consider compatibility of LOS standards with standards in adjacent jurisdictions.  Local governments are also encouraged to coordinate with </w:t>
            </w:r>
            <w:r>
              <w:t xml:space="preserve">other </w:t>
            </w:r>
            <w:r w:rsidRPr="008B3FF5">
              <w:t xml:space="preserve">local governments </w:t>
            </w:r>
            <w:r>
              <w:t xml:space="preserve">to develop </w:t>
            </w:r>
            <w:r w:rsidRPr="008B3FF5">
              <w:t xml:space="preserve">common methodologies for measuring transportation impacts in their concurrency management systems. </w:t>
            </w:r>
          </w:p>
        </w:tc>
      </w:tr>
      <w:tr w:rsidR="00225952" w:rsidRPr="007C475C" w:rsidTr="00C92364">
        <w:tc>
          <w:tcPr>
            <w:tcW w:w="2523" w:type="dxa"/>
          </w:tcPr>
          <w:p w:rsidR="00225952" w:rsidRDefault="00225952">
            <w:pPr>
              <w:pStyle w:val="HeadSideMain"/>
              <w:jc w:val="right"/>
              <w:rPr>
                <w:b w:val="0"/>
                <w:i w:val="0"/>
              </w:rPr>
            </w:pPr>
            <w:r w:rsidRPr="00243288">
              <w:rPr>
                <w:b w:val="0"/>
                <w:i w:val="0"/>
                <w:sz w:val="24"/>
                <w:szCs w:val="24"/>
              </w:rPr>
              <w:t xml:space="preserve"> </w:t>
            </w:r>
            <w:hyperlink r:id="rId195" w:anchor="0163.3184" w:history="1">
              <w:r w:rsidRPr="00243288">
                <w:rPr>
                  <w:rStyle w:val="Hyperlink"/>
                  <w:b w:val="0"/>
                  <w:i w:val="0"/>
                  <w:szCs w:val="24"/>
                </w:rPr>
                <w:t>s.163.3184(3</w:t>
              </w:r>
              <w:r>
                <w:rPr>
                  <w:rStyle w:val="Hyperlink"/>
                  <w:b w:val="0"/>
                  <w:i w:val="0"/>
                  <w:szCs w:val="24"/>
                </w:rPr>
                <w:t>0) F.S.</w:t>
              </w:r>
            </w:hyperlink>
          </w:p>
        </w:tc>
        <w:tc>
          <w:tcPr>
            <w:tcW w:w="7376" w:type="dxa"/>
          </w:tcPr>
          <w:p w:rsidR="00225952" w:rsidRPr="00104D50" w:rsidRDefault="00225952" w:rsidP="00225952">
            <w:r w:rsidRPr="008B3FF5">
              <w:t xml:space="preserve">Local Government Transmittal of Proposed Plan or Amendment, Paragraph (a) requires local governments to transmit the complete proposed comprehensive plan or plan amendment to FDOT. </w:t>
            </w:r>
          </w:p>
        </w:tc>
      </w:tr>
      <w:tr w:rsidR="00225952" w:rsidRPr="007C475C" w:rsidTr="00C92364">
        <w:tc>
          <w:tcPr>
            <w:tcW w:w="2523" w:type="dxa"/>
          </w:tcPr>
          <w:p w:rsidR="00225952" w:rsidRDefault="00225952">
            <w:pPr>
              <w:pStyle w:val="HeadSideMain"/>
              <w:jc w:val="right"/>
              <w:rPr>
                <w:b w:val="0"/>
                <w:i w:val="0"/>
              </w:rPr>
            </w:pPr>
            <w:r w:rsidRPr="00243288">
              <w:rPr>
                <w:b w:val="0"/>
                <w:i w:val="0"/>
                <w:sz w:val="24"/>
                <w:szCs w:val="24"/>
              </w:rPr>
              <w:t xml:space="preserve"> </w:t>
            </w:r>
            <w:hyperlink r:id="rId196" w:anchor="0163.3184" w:history="1">
              <w:r w:rsidRPr="00243288">
                <w:rPr>
                  <w:rStyle w:val="Hyperlink"/>
                  <w:b w:val="0"/>
                  <w:i w:val="0"/>
                  <w:szCs w:val="24"/>
                </w:rPr>
                <w:t>s.163.3184(4</w:t>
              </w:r>
              <w:r>
                <w:rPr>
                  <w:rStyle w:val="Hyperlink"/>
                  <w:b w:val="0"/>
                  <w:i w:val="0"/>
                  <w:szCs w:val="24"/>
                </w:rPr>
                <w:t>) F.S.</w:t>
              </w:r>
            </w:hyperlink>
          </w:p>
        </w:tc>
        <w:tc>
          <w:tcPr>
            <w:tcW w:w="7376" w:type="dxa"/>
          </w:tcPr>
          <w:p w:rsidR="00225952" w:rsidRPr="00104D50" w:rsidRDefault="00225952" w:rsidP="00225952">
            <w:r w:rsidRPr="008B3FF5">
              <w:t xml:space="preserve">Intergovernmental Review, requires FDOT to provide comments to DCA within 30 days of receipt of the complete proposed plan amendment. </w:t>
            </w:r>
          </w:p>
        </w:tc>
      </w:tr>
      <w:tr w:rsidR="00225952" w:rsidRPr="007C475C" w:rsidTr="00C92364">
        <w:tc>
          <w:tcPr>
            <w:tcW w:w="2523" w:type="dxa"/>
          </w:tcPr>
          <w:p w:rsidR="00225952" w:rsidRPr="00243288" w:rsidRDefault="00225952" w:rsidP="00225952">
            <w:pPr>
              <w:pStyle w:val="HeadSideMain"/>
              <w:jc w:val="right"/>
              <w:rPr>
                <w:b w:val="0"/>
                <w:i w:val="0"/>
                <w:sz w:val="24"/>
                <w:szCs w:val="24"/>
              </w:rPr>
            </w:pPr>
            <w:r w:rsidRPr="00243288">
              <w:rPr>
                <w:b w:val="0"/>
                <w:i w:val="0"/>
                <w:sz w:val="24"/>
                <w:szCs w:val="24"/>
              </w:rPr>
              <w:t xml:space="preserve"> </w:t>
            </w:r>
            <w:hyperlink r:id="rId197" w:anchor="0163.3191" w:history="1">
              <w:r w:rsidRPr="00243288">
                <w:rPr>
                  <w:rStyle w:val="Hyperlink"/>
                  <w:b w:val="0"/>
                  <w:i w:val="0"/>
                  <w:szCs w:val="24"/>
                </w:rPr>
                <w:t>s.163.3191(6), F.S</w:t>
              </w:r>
            </w:hyperlink>
            <w:r w:rsidRPr="00243288">
              <w:rPr>
                <w:b w:val="0"/>
                <w:i w:val="0"/>
                <w:sz w:val="24"/>
                <w:szCs w:val="24"/>
              </w:rPr>
              <w:t>.</w:t>
            </w:r>
          </w:p>
        </w:tc>
        <w:tc>
          <w:tcPr>
            <w:tcW w:w="7376" w:type="dxa"/>
          </w:tcPr>
          <w:p w:rsidR="00225952" w:rsidRPr="00243288" w:rsidRDefault="00225952" w:rsidP="00225952">
            <w:pPr>
              <w:autoSpaceDE w:val="0"/>
              <w:autoSpaceDN w:val="0"/>
              <w:adjustRightInd w:val="0"/>
              <w:ind w:right="335"/>
              <w:rPr>
                <w:sz w:val="24"/>
                <w:szCs w:val="24"/>
              </w:rPr>
            </w:pPr>
            <w:r w:rsidRPr="008B3FF5">
              <w:rPr>
                <w:sz w:val="24"/>
                <w:szCs w:val="24"/>
              </w:rPr>
              <w:t>The local government shall provide a copy of the adopted EAR to FDOT</w:t>
            </w:r>
            <w:r>
              <w:rPr>
                <w:sz w:val="24"/>
                <w:szCs w:val="24"/>
              </w:rPr>
              <w:t xml:space="preserve">.  </w:t>
            </w:r>
            <w:r w:rsidRPr="008B3FF5">
              <w:rPr>
                <w:sz w:val="24"/>
                <w:szCs w:val="24"/>
              </w:rPr>
              <w:t>DCA is to review the adopted EAR and make a preliminary sufficiency determination within 60 days of receiving the adopted EAR</w:t>
            </w:r>
            <w:r>
              <w:rPr>
                <w:sz w:val="24"/>
                <w:szCs w:val="24"/>
              </w:rPr>
              <w:t xml:space="preserve">.  </w:t>
            </w:r>
            <w:r w:rsidRPr="008B3FF5">
              <w:rPr>
                <w:sz w:val="24"/>
                <w:szCs w:val="24"/>
              </w:rPr>
              <w:t>FDOT should provide comments to DCA 30 days prior DCA’s 60-day deadline regarding the sufficiency of the EAR</w:t>
            </w:r>
            <w:r>
              <w:rPr>
                <w:sz w:val="24"/>
                <w:szCs w:val="24"/>
              </w:rPr>
              <w:t xml:space="preserve">.  </w:t>
            </w:r>
            <w:r w:rsidRPr="008B3FF5">
              <w:rPr>
                <w:sz w:val="24"/>
                <w:szCs w:val="24"/>
              </w:rPr>
              <w:t xml:space="preserve">Within 90 days, DCA will make a final sufficiency determination. </w:t>
            </w:r>
          </w:p>
        </w:tc>
      </w:tr>
      <w:tr w:rsidR="00225952" w:rsidRPr="007C475C" w:rsidTr="00C92364">
        <w:tc>
          <w:tcPr>
            <w:tcW w:w="2523" w:type="dxa"/>
          </w:tcPr>
          <w:p w:rsidR="00225952" w:rsidRDefault="00225952">
            <w:pPr>
              <w:pStyle w:val="HeadSideMain"/>
              <w:jc w:val="right"/>
              <w:rPr>
                <w:b w:val="0"/>
                <w:i w:val="0"/>
                <w:sz w:val="24"/>
                <w:szCs w:val="24"/>
              </w:rPr>
            </w:pPr>
            <w:r w:rsidRPr="00243288">
              <w:rPr>
                <w:b w:val="0"/>
                <w:i w:val="0"/>
                <w:sz w:val="24"/>
                <w:szCs w:val="24"/>
              </w:rPr>
              <w:t xml:space="preserve"> </w:t>
            </w:r>
            <w:hyperlink r:id="rId198" w:history="1">
              <w:r w:rsidRPr="00243288">
                <w:rPr>
                  <w:rStyle w:val="Hyperlink"/>
                  <w:b w:val="0"/>
                  <w:i w:val="0"/>
                  <w:szCs w:val="24"/>
                </w:rPr>
                <w:t>s.334.044, F.S.</w:t>
              </w:r>
            </w:hyperlink>
          </w:p>
        </w:tc>
        <w:tc>
          <w:tcPr>
            <w:tcW w:w="7376" w:type="dxa"/>
          </w:tcPr>
          <w:p w:rsidR="00225952" w:rsidRPr="00243288" w:rsidRDefault="00225952" w:rsidP="00225952">
            <w:pPr>
              <w:autoSpaceDE w:val="0"/>
              <w:autoSpaceDN w:val="0"/>
              <w:adjustRightInd w:val="0"/>
              <w:ind w:right="335"/>
              <w:rPr>
                <w:sz w:val="24"/>
                <w:szCs w:val="24"/>
              </w:rPr>
            </w:pPr>
            <w:r w:rsidRPr="008B3FF5">
              <w:rPr>
                <w:sz w:val="24"/>
                <w:szCs w:val="24"/>
              </w:rPr>
              <w:t xml:space="preserve">establishes that FDOT has the responsibility for coordinating the planning of a safe, viable and balanced state transportation system serving all regions of the state, and to assure the compatibility of all components, including multimodal </w:t>
            </w:r>
            <w:r>
              <w:rPr>
                <w:sz w:val="24"/>
                <w:szCs w:val="24"/>
              </w:rPr>
              <w:t>fac</w:t>
            </w:r>
            <w:r w:rsidRPr="008B3FF5">
              <w:rPr>
                <w:sz w:val="24"/>
                <w:szCs w:val="24"/>
              </w:rPr>
              <w:t>ilities.</w:t>
            </w:r>
          </w:p>
        </w:tc>
      </w:tr>
      <w:tr w:rsidR="00225952" w:rsidRPr="007C475C" w:rsidTr="00C92364">
        <w:tc>
          <w:tcPr>
            <w:tcW w:w="2523" w:type="dxa"/>
          </w:tcPr>
          <w:p w:rsidR="00225952" w:rsidRDefault="00745389">
            <w:pPr>
              <w:pStyle w:val="HeadSideMain"/>
              <w:jc w:val="right"/>
              <w:rPr>
                <w:b w:val="0"/>
                <w:i w:val="0"/>
                <w:sz w:val="24"/>
                <w:szCs w:val="24"/>
              </w:rPr>
            </w:pPr>
            <w:hyperlink r:id="rId199" w:anchor="0380.06" w:history="1">
              <w:r w:rsidR="00225952" w:rsidRPr="00243288">
                <w:rPr>
                  <w:rStyle w:val="Hyperlink"/>
                  <w:b w:val="0"/>
                  <w:i w:val="0"/>
                  <w:szCs w:val="24"/>
                </w:rPr>
                <w:t xml:space="preserve"> s.380.06(6</w:t>
              </w:r>
              <w:r w:rsidR="00225952">
                <w:rPr>
                  <w:rStyle w:val="Hyperlink"/>
                  <w:b w:val="0"/>
                  <w:i w:val="0"/>
                  <w:szCs w:val="24"/>
                </w:rPr>
                <w:t>) F.S.</w:t>
              </w:r>
            </w:hyperlink>
          </w:p>
        </w:tc>
        <w:tc>
          <w:tcPr>
            <w:tcW w:w="7376" w:type="dxa"/>
          </w:tcPr>
          <w:p w:rsidR="00225952" w:rsidRPr="00243288" w:rsidRDefault="00225952" w:rsidP="00225952">
            <w:pPr>
              <w:autoSpaceDE w:val="0"/>
              <w:autoSpaceDN w:val="0"/>
              <w:adjustRightInd w:val="0"/>
              <w:ind w:right="335"/>
              <w:rPr>
                <w:sz w:val="24"/>
                <w:szCs w:val="24"/>
              </w:rPr>
            </w:pPr>
            <w:r w:rsidRPr="008B3FF5">
              <w:rPr>
                <w:sz w:val="24"/>
                <w:szCs w:val="24"/>
              </w:rPr>
              <w:t xml:space="preserve">Application for Approval of Development; Concurrent Plan Amendments, requires any local government comprehensive plan amendments related to a development of regional impact (DRI) to be considered by the local government at the same time as the DRI. </w:t>
            </w:r>
            <w:r>
              <w:rPr>
                <w:sz w:val="24"/>
                <w:szCs w:val="24"/>
              </w:rPr>
              <w:br/>
            </w:r>
          </w:p>
        </w:tc>
      </w:tr>
    </w:tbl>
    <w:p w:rsidR="00225952" w:rsidRDefault="00225952" w:rsidP="00225952">
      <w:pPr>
        <w:autoSpaceDE w:val="0"/>
        <w:autoSpaceDN w:val="0"/>
        <w:adjustRightInd w:val="0"/>
        <w:spacing w:after="60"/>
        <w:ind w:right="331"/>
        <w:rPr>
          <w:b/>
          <w:color w:val="943634"/>
          <w:sz w:val="24"/>
          <w:szCs w:val="24"/>
          <w:u w:val="single"/>
          <w:lang w:val="es-MX"/>
        </w:rPr>
        <w:sectPr w:rsidR="00225952" w:rsidSect="00832911">
          <w:headerReference w:type="default" r:id="rId200"/>
          <w:pgSz w:w="12240" w:h="15840"/>
          <w:pgMar w:top="1440" w:right="720" w:bottom="1440" w:left="1152" w:header="720" w:footer="720" w:gutter="0"/>
          <w:cols w:space="720"/>
          <w:docGrid w:linePitch="360"/>
        </w:sectPr>
      </w:pPr>
    </w:p>
    <w:tbl>
      <w:tblPr>
        <w:tblW w:w="9899" w:type="dxa"/>
        <w:tblInd w:w="112" w:type="dxa"/>
        <w:tblLayout w:type="fixed"/>
        <w:tblCellMar>
          <w:left w:w="115" w:type="dxa"/>
          <w:right w:w="115" w:type="dxa"/>
        </w:tblCellMar>
        <w:tblLook w:val="0000"/>
      </w:tblPr>
      <w:tblGrid>
        <w:gridCol w:w="2215"/>
        <w:gridCol w:w="7684"/>
      </w:tblGrid>
      <w:tr w:rsidR="00225952" w:rsidRPr="007C475C" w:rsidTr="00225952">
        <w:tc>
          <w:tcPr>
            <w:tcW w:w="9899" w:type="dxa"/>
            <w:gridSpan w:val="2"/>
          </w:tcPr>
          <w:p w:rsidR="00225952" w:rsidRPr="00243288" w:rsidRDefault="00225952" w:rsidP="00225952">
            <w:pPr>
              <w:spacing w:after="0"/>
              <w:rPr>
                <w:lang w:val="es-MX"/>
              </w:rPr>
            </w:pPr>
            <w:bookmarkStart w:id="200" w:name="_Toc256487961"/>
            <w:bookmarkStart w:id="201" w:name="_Toc263424751"/>
            <w:r w:rsidRPr="00F15894">
              <w:rPr>
                <w:b/>
                <w:color w:val="008080"/>
                <w:sz w:val="28"/>
                <w:szCs w:val="28"/>
              </w:rPr>
              <w:lastRenderedPageBreak/>
              <w:t>Florida Administrative Code (F.A.C.):</w:t>
            </w:r>
            <w:bookmarkEnd w:id="200"/>
            <w:bookmarkEnd w:id="201"/>
          </w:p>
        </w:tc>
      </w:tr>
      <w:tr w:rsidR="00225952" w:rsidRPr="007C475C" w:rsidTr="00225952">
        <w:tc>
          <w:tcPr>
            <w:tcW w:w="2215" w:type="dxa"/>
          </w:tcPr>
          <w:p w:rsidR="00225952" w:rsidRPr="00243288" w:rsidRDefault="00225952" w:rsidP="00225952">
            <w:pPr>
              <w:pStyle w:val="HeadSideMain"/>
              <w:jc w:val="right"/>
              <w:rPr>
                <w:b w:val="0"/>
                <w:i w:val="0"/>
              </w:rPr>
            </w:pPr>
            <w:r w:rsidRPr="00243288">
              <w:rPr>
                <w:b w:val="0"/>
                <w:i w:val="0"/>
                <w:sz w:val="24"/>
                <w:szCs w:val="24"/>
              </w:rPr>
              <w:t>Rule Chapter 9J-5</w:t>
            </w:r>
          </w:p>
        </w:tc>
        <w:tc>
          <w:tcPr>
            <w:tcW w:w="7684" w:type="dxa"/>
          </w:tcPr>
          <w:p w:rsidR="00225952" w:rsidRDefault="00225952" w:rsidP="00CD32CA">
            <w:r w:rsidRPr="00FF65C8">
              <w:t xml:space="preserve">F.A.C., describes the minimum criteria (data and analysis) for review of local government comprehensive plans and plan amendments related to a development of regional impact (DRI) to be considered by the local government at the same time as the DRI.  </w:t>
            </w:r>
          </w:p>
        </w:tc>
      </w:tr>
      <w:tr w:rsidR="00225952" w:rsidRPr="007C475C" w:rsidTr="00225952">
        <w:tc>
          <w:tcPr>
            <w:tcW w:w="2215" w:type="dxa"/>
          </w:tcPr>
          <w:p w:rsidR="00225952" w:rsidRPr="00243288" w:rsidRDefault="00225952" w:rsidP="00225952">
            <w:pPr>
              <w:pStyle w:val="HeadSideMain"/>
              <w:jc w:val="right"/>
              <w:rPr>
                <w:b w:val="0"/>
                <w:i w:val="0"/>
              </w:rPr>
            </w:pPr>
            <w:r w:rsidRPr="00243288">
              <w:rPr>
                <w:b w:val="0"/>
                <w:i w:val="0"/>
                <w:sz w:val="24"/>
                <w:szCs w:val="24"/>
              </w:rPr>
              <w:t>Rule Chapter 9J-11</w:t>
            </w:r>
          </w:p>
        </w:tc>
        <w:tc>
          <w:tcPr>
            <w:tcW w:w="7684" w:type="dxa"/>
          </w:tcPr>
          <w:p w:rsidR="00225952" w:rsidRDefault="00225952" w:rsidP="00CD32CA">
            <w:r w:rsidRPr="00FF65C8">
              <w:t>F.A.C., describes procedures governing the submittal and review of local government comprehensive plans and amendments.</w:t>
            </w:r>
          </w:p>
        </w:tc>
      </w:tr>
      <w:tr w:rsidR="00225952" w:rsidRPr="007C475C" w:rsidTr="00225952">
        <w:tc>
          <w:tcPr>
            <w:tcW w:w="2215" w:type="dxa"/>
          </w:tcPr>
          <w:p w:rsidR="00225952" w:rsidRPr="00243288" w:rsidRDefault="00225952" w:rsidP="00225952">
            <w:pPr>
              <w:pStyle w:val="HeadSideMain"/>
              <w:jc w:val="right"/>
              <w:rPr>
                <w:b w:val="0"/>
                <w:i w:val="0"/>
              </w:rPr>
            </w:pPr>
            <w:r w:rsidRPr="00243288">
              <w:rPr>
                <w:b w:val="0"/>
                <w:i w:val="0"/>
                <w:sz w:val="24"/>
                <w:szCs w:val="24"/>
              </w:rPr>
              <w:t>Rule Chapter 14-94</w:t>
            </w:r>
          </w:p>
        </w:tc>
        <w:tc>
          <w:tcPr>
            <w:tcW w:w="7684" w:type="dxa"/>
          </w:tcPr>
          <w:p w:rsidR="00225952" w:rsidRDefault="00225952" w:rsidP="00CD32CA">
            <w:r w:rsidRPr="00FF65C8">
              <w:t xml:space="preserve">F.A.C., establishes the FDOT LOS standards for SIS (including SIS </w:t>
            </w:r>
            <w:r w:rsidRPr="00213B62">
              <w:t xml:space="preserve">Connectors and Emerging SIS), FIHS, and TRIP-funded </w:t>
            </w:r>
            <w:r>
              <w:t>fac</w:t>
            </w:r>
            <w:r w:rsidRPr="00213B62">
              <w:t xml:space="preserve">ilities. </w:t>
            </w:r>
          </w:p>
          <w:p w:rsidR="00225952" w:rsidRDefault="00225952" w:rsidP="00CD32CA"/>
          <w:p w:rsidR="00225952" w:rsidRDefault="00225952" w:rsidP="00CD32CA"/>
        </w:tc>
      </w:tr>
      <w:tr w:rsidR="00225952" w:rsidRPr="007C475C" w:rsidTr="00225952">
        <w:tc>
          <w:tcPr>
            <w:tcW w:w="9899" w:type="dxa"/>
            <w:gridSpan w:val="2"/>
          </w:tcPr>
          <w:p w:rsidR="00225952" w:rsidRPr="008C6101" w:rsidRDefault="00225952" w:rsidP="00225952">
            <w:pPr>
              <w:spacing w:after="0"/>
            </w:pPr>
            <w:bookmarkStart w:id="202" w:name="_Toc256487962"/>
            <w:bookmarkStart w:id="203" w:name="_Toc263424752"/>
            <w:r w:rsidRPr="00F15894">
              <w:rPr>
                <w:b/>
                <w:color w:val="008080"/>
                <w:sz w:val="28"/>
                <w:szCs w:val="28"/>
              </w:rPr>
              <w:t>FDOT Policies/Procedures</w:t>
            </w:r>
            <w:bookmarkEnd w:id="202"/>
            <w:bookmarkEnd w:id="203"/>
          </w:p>
        </w:tc>
      </w:tr>
      <w:tr w:rsidR="00225952" w:rsidRPr="007C475C" w:rsidTr="00225952">
        <w:tc>
          <w:tcPr>
            <w:tcW w:w="2215" w:type="dxa"/>
          </w:tcPr>
          <w:p w:rsidR="00225952" w:rsidRPr="008956F2" w:rsidRDefault="00225952" w:rsidP="00225952">
            <w:pPr>
              <w:pStyle w:val="HeadSideMain"/>
            </w:pPr>
          </w:p>
        </w:tc>
        <w:tc>
          <w:tcPr>
            <w:tcW w:w="7684" w:type="dxa"/>
          </w:tcPr>
          <w:p w:rsidR="00225952" w:rsidRPr="00243288" w:rsidRDefault="00225952" w:rsidP="00CD32CA">
            <w:r w:rsidRPr="00213B62">
              <w:t>The Department utilizes both policies and procedures to guide reviewers in their duties.  The department reviewer should be familiar with and as needed refer to the following policies and procedures:</w:t>
            </w:r>
          </w:p>
        </w:tc>
      </w:tr>
      <w:tr w:rsidR="00225952" w:rsidRPr="007C475C" w:rsidTr="00225952">
        <w:tc>
          <w:tcPr>
            <w:tcW w:w="9899" w:type="dxa"/>
            <w:gridSpan w:val="2"/>
          </w:tcPr>
          <w:p w:rsidR="00225952" w:rsidRDefault="00225952">
            <w:pPr>
              <w:autoSpaceDE w:val="0"/>
              <w:autoSpaceDN w:val="0"/>
              <w:adjustRightInd w:val="0"/>
              <w:ind w:left="540" w:right="335"/>
              <w:rPr>
                <w:sz w:val="24"/>
                <w:szCs w:val="24"/>
              </w:rPr>
            </w:pPr>
            <w:r w:rsidRPr="00213B62">
              <w:rPr>
                <w:sz w:val="24"/>
                <w:szCs w:val="24"/>
              </w:rPr>
              <w:t>Topic No:</w:t>
            </w:r>
            <w:r>
              <w:rPr>
                <w:sz w:val="24"/>
                <w:szCs w:val="24"/>
              </w:rPr>
              <w:t xml:space="preserve"> </w:t>
            </w:r>
            <w:r w:rsidRPr="00213B62">
              <w:rPr>
                <w:sz w:val="24"/>
                <w:szCs w:val="24"/>
              </w:rPr>
              <w:t>525-010-101-</w:t>
            </w:r>
            <w:r>
              <w:rPr>
                <w:sz w:val="24"/>
                <w:szCs w:val="24"/>
              </w:rPr>
              <w:t>C</w:t>
            </w:r>
            <w:r w:rsidRPr="00213B62">
              <w:rPr>
                <w:sz w:val="24"/>
                <w:szCs w:val="24"/>
              </w:rPr>
              <w:t>, District Review of Local Government Comprehensive Plans</w:t>
            </w:r>
          </w:p>
          <w:p w:rsidR="00C92364" w:rsidRDefault="00C92364">
            <w:pPr>
              <w:autoSpaceDE w:val="0"/>
              <w:autoSpaceDN w:val="0"/>
              <w:adjustRightInd w:val="0"/>
              <w:ind w:left="540" w:right="335"/>
              <w:rPr>
                <w:sz w:val="24"/>
                <w:szCs w:val="24"/>
              </w:rPr>
            </w:pPr>
          </w:p>
        </w:tc>
      </w:tr>
      <w:tr w:rsidR="00225952" w:rsidRPr="007C475C" w:rsidTr="00225952">
        <w:tc>
          <w:tcPr>
            <w:tcW w:w="9899" w:type="dxa"/>
            <w:gridSpan w:val="2"/>
          </w:tcPr>
          <w:p w:rsidR="00225952" w:rsidRPr="00F15894" w:rsidRDefault="00225952" w:rsidP="00225952">
            <w:pPr>
              <w:spacing w:after="0"/>
            </w:pPr>
            <w:bookmarkStart w:id="204" w:name="_Toc256487963"/>
            <w:bookmarkStart w:id="205" w:name="_Toc263424753"/>
            <w:r w:rsidRPr="00F15894">
              <w:rPr>
                <w:b/>
                <w:color w:val="008080"/>
                <w:sz w:val="28"/>
                <w:szCs w:val="28"/>
              </w:rPr>
              <w:t>Publications – Online Guidance</w:t>
            </w:r>
            <w:bookmarkEnd w:id="204"/>
            <w:bookmarkEnd w:id="205"/>
          </w:p>
        </w:tc>
      </w:tr>
      <w:tr w:rsidR="00225952" w:rsidRPr="007C475C" w:rsidTr="00225952">
        <w:tc>
          <w:tcPr>
            <w:tcW w:w="2215" w:type="dxa"/>
          </w:tcPr>
          <w:p w:rsidR="00AB3325" w:rsidRDefault="00AB3325" w:rsidP="00AB3325">
            <w:pPr>
              <w:pStyle w:val="HeadSide20"/>
            </w:pPr>
          </w:p>
          <w:p w:rsidR="00225952" w:rsidRPr="008956F2" w:rsidRDefault="00107F14" w:rsidP="00AB3325">
            <w:pPr>
              <w:pStyle w:val="HeadSide20"/>
            </w:pPr>
            <w:r>
              <w:t xml:space="preserve">Note: 06/07 </w:t>
            </w:r>
            <w:r w:rsidR="00AB3325">
              <w:t xml:space="preserve">Resource Documents are </w:t>
            </w:r>
            <w:r>
              <w:t xml:space="preserve">still </w:t>
            </w:r>
            <w:r w:rsidR="00AB3325">
              <w:t>linked to original sources</w:t>
            </w:r>
          </w:p>
        </w:tc>
        <w:tc>
          <w:tcPr>
            <w:tcW w:w="7684" w:type="dxa"/>
          </w:tcPr>
          <w:p w:rsidR="00225952" w:rsidRPr="00A747E8" w:rsidRDefault="00745389" w:rsidP="00087603">
            <w:pPr>
              <w:jc w:val="left"/>
            </w:pPr>
            <w:hyperlink r:id="rId201" w:tooltip="This is a pdf file." w:history="1">
              <w:r w:rsidR="00225952" w:rsidRPr="00A747E8">
                <w:rPr>
                  <w:rStyle w:val="Hyperlink"/>
                  <w:szCs w:val="24"/>
                </w:rPr>
                <w:t>Transportation Concurrency Best Practices Guide</w:t>
              </w:r>
            </w:hyperlink>
            <w:r w:rsidR="00225952" w:rsidRPr="00A747E8">
              <w:t xml:space="preserve"> – A document produced by the Department of Community Affairs with a primary focus on local government concurrency</w:t>
            </w:r>
            <w:r w:rsidR="00225952">
              <w:t xml:space="preserve">.  </w:t>
            </w:r>
            <w:r w:rsidR="00225952" w:rsidRPr="00A747E8">
              <w:t xml:space="preserve">Also includes guidance on comprehensive plan amendment reviews and cumulative analysis. </w:t>
            </w:r>
          </w:p>
          <w:p w:rsidR="00225952" w:rsidRPr="00A747E8" w:rsidRDefault="00745389" w:rsidP="00087603">
            <w:pPr>
              <w:jc w:val="left"/>
            </w:pPr>
            <w:hyperlink r:id="rId202" w:tgtFrame="_blank" w:tooltip="This is an Excel spreadsheet on an external site that will open in a new browser window." w:history="1">
              <w:r w:rsidR="00225952" w:rsidRPr="00A747E8">
                <w:rPr>
                  <w:rStyle w:val="Hyperlink"/>
                  <w:szCs w:val="24"/>
                </w:rPr>
                <w:t>Sample Concurrency Management Spreadsheet</w:t>
              </w:r>
            </w:hyperlink>
            <w:r w:rsidR="00225952" w:rsidRPr="00A747E8">
              <w:t xml:space="preserve">- A downloadable CMS in excel spreadsheet. </w:t>
            </w:r>
          </w:p>
          <w:p w:rsidR="00225952" w:rsidRPr="00A747E8" w:rsidRDefault="00745389" w:rsidP="00087603">
            <w:pPr>
              <w:jc w:val="left"/>
            </w:pPr>
            <w:hyperlink r:id="rId203" w:tooltip="This is a pdf file." w:history="1">
              <w:r w:rsidR="00225952" w:rsidRPr="00A747E8">
                <w:rPr>
                  <w:rStyle w:val="Hyperlink"/>
                  <w:szCs w:val="24"/>
                </w:rPr>
                <w:t>User Guide</w:t>
              </w:r>
            </w:hyperlink>
            <w:r w:rsidR="00225952">
              <w:t xml:space="preserve"> – Instructions for concurrency management system </w:t>
            </w:r>
            <w:r w:rsidR="00225952" w:rsidRPr="00A747E8">
              <w:t xml:space="preserve">spreadsheet. </w:t>
            </w:r>
          </w:p>
          <w:p w:rsidR="00225952" w:rsidRPr="00A747E8" w:rsidRDefault="00745389" w:rsidP="00087603">
            <w:pPr>
              <w:jc w:val="left"/>
            </w:pPr>
            <w:hyperlink r:id="rId204" w:tooltip="This is a pdf file." w:history="1">
              <w:r w:rsidR="00225952" w:rsidRPr="00A747E8">
                <w:rPr>
                  <w:rStyle w:val="Hyperlink"/>
                  <w:szCs w:val="24"/>
                </w:rPr>
                <w:t>A GIS-Based Concurrency Management System for Local Governments</w:t>
              </w:r>
            </w:hyperlink>
            <w:r w:rsidR="00225952" w:rsidRPr="00A747E8">
              <w:t xml:space="preserve">- </w:t>
            </w:r>
            <w:r w:rsidR="00225952" w:rsidRPr="00A747E8">
              <w:rPr>
                <w:b/>
              </w:rPr>
              <w:t xml:space="preserve"> </w:t>
            </w:r>
            <w:r w:rsidR="00225952" w:rsidRPr="00A747E8">
              <w:t>DCA sponsored project of Treasure Coast Regional Planning Cou</w:t>
            </w:r>
            <w:r w:rsidR="00225952">
              <w:t>ncil to use GIS as basis for concurrency management system</w:t>
            </w:r>
            <w:r w:rsidR="00225952" w:rsidRPr="00A747E8">
              <w:t>.</w:t>
            </w:r>
            <w:r w:rsidR="00225952" w:rsidRPr="00A747E8">
              <w:rPr>
                <w:b/>
              </w:rPr>
              <w:t xml:space="preserve"> </w:t>
            </w:r>
          </w:p>
          <w:p w:rsidR="00225952" w:rsidRPr="004D42E9" w:rsidRDefault="00745389" w:rsidP="00087603">
            <w:pPr>
              <w:spacing w:after="240"/>
              <w:jc w:val="left"/>
            </w:pPr>
            <w:hyperlink r:id="rId205" w:tooltip="This is a pdf file." w:history="1">
              <w:r w:rsidR="00225952" w:rsidRPr="00A747E8">
                <w:rPr>
                  <w:rStyle w:val="Hyperlink"/>
                  <w:szCs w:val="24"/>
                </w:rPr>
                <w:t>Best Practices Guide for Transportation Planning in Small Florida Cities</w:t>
              </w:r>
            </w:hyperlink>
            <w:r w:rsidR="00225952" w:rsidRPr="00A747E8">
              <w:t xml:space="preserve"> – DCA sponsored guide to help small local governments meet transportation planning and concurrency requirements. </w:t>
            </w:r>
          </w:p>
          <w:p w:rsidR="00225952" w:rsidRPr="00A747E8" w:rsidRDefault="00745389" w:rsidP="00087603">
            <w:pPr>
              <w:jc w:val="left"/>
            </w:pPr>
            <w:hyperlink r:id="rId206" w:tooltip="This is a pdf file." w:history="1">
              <w:r w:rsidR="00225952" w:rsidRPr="00A747E8">
                <w:rPr>
                  <w:rStyle w:val="Hyperlink"/>
                  <w:szCs w:val="24"/>
                </w:rPr>
                <w:t>Guide for the Creation and Evaluation of Transportation Concurrency Exception Areas</w:t>
              </w:r>
            </w:hyperlink>
            <w:r w:rsidR="00225952" w:rsidRPr="00A747E8">
              <w:t xml:space="preserve">  - DCA guide that providing detailed guidance on the evaluation of TCEAs. </w:t>
            </w:r>
          </w:p>
          <w:p w:rsidR="00225952" w:rsidRPr="00A747E8" w:rsidRDefault="00745389" w:rsidP="00087603">
            <w:pPr>
              <w:jc w:val="left"/>
            </w:pPr>
            <w:hyperlink r:id="rId207" w:tooltip="This is a pdf file." w:history="1">
              <w:r w:rsidR="00225952" w:rsidRPr="00A747E8">
                <w:rPr>
                  <w:rStyle w:val="Hyperlink"/>
                  <w:szCs w:val="24"/>
                </w:rPr>
                <w:t>Case Studies of Florida Communities</w:t>
              </w:r>
            </w:hyperlink>
            <w:r w:rsidR="00225952" w:rsidRPr="00A747E8">
              <w:t xml:space="preserve"> – Case studies conducted with creation of guidebook. </w:t>
            </w:r>
          </w:p>
          <w:p w:rsidR="00225952" w:rsidRPr="00A747E8" w:rsidRDefault="00745389" w:rsidP="00087603">
            <w:pPr>
              <w:jc w:val="left"/>
            </w:pPr>
            <w:hyperlink r:id="rId208" w:tgtFrame="_blank" w:tooltip="This is a pdf file on an external site that will open in a new browser window." w:history="1">
              <w:r w:rsidR="00225952" w:rsidRPr="00A747E8">
                <w:rPr>
                  <w:rStyle w:val="Hyperlink"/>
                  <w:szCs w:val="24"/>
                </w:rPr>
                <w:t>Working with Transportation Concurrency Exception Areas</w:t>
              </w:r>
            </w:hyperlink>
            <w:r w:rsidR="00225952" w:rsidRPr="00A747E8">
              <w:t xml:space="preserve">- FDOT guidebook on how </w:t>
            </w:r>
            <w:r w:rsidR="00225952">
              <w:t>District</w:t>
            </w:r>
            <w:r w:rsidR="00225952" w:rsidRPr="00A747E8">
              <w:t xml:space="preserve"> staff should coordinate with local governments as they adopt and maintain TCEAs. </w:t>
            </w:r>
          </w:p>
          <w:p w:rsidR="00225952" w:rsidRPr="004D42E9" w:rsidRDefault="00745389" w:rsidP="00087603">
            <w:pPr>
              <w:jc w:val="left"/>
            </w:pPr>
            <w:hyperlink r:id="rId209" w:tgtFrame="_blank" w:tooltip="This is a pdf file on an external site that will open in a new browser window." w:history="1">
              <w:r w:rsidR="00225952" w:rsidRPr="00A747E8">
                <w:rPr>
                  <w:rStyle w:val="Hyperlink"/>
                  <w:szCs w:val="24"/>
                </w:rPr>
                <w:t>Multimodal Transportation Districts and Areawide Quality of Service Handbook</w:t>
              </w:r>
            </w:hyperlink>
            <w:r w:rsidR="00225952" w:rsidRPr="00A747E8">
              <w:t xml:space="preserve"> – FDOT handbook designed to assist local governments create and adopt MMTDs.</w:t>
            </w:r>
            <w:r w:rsidR="00225952" w:rsidRPr="004D42E9">
              <w:t xml:space="preserve"> </w:t>
            </w:r>
          </w:p>
          <w:p w:rsidR="00225952" w:rsidRPr="00A747E8" w:rsidRDefault="00745389" w:rsidP="00087603">
            <w:pPr>
              <w:jc w:val="left"/>
            </w:pPr>
            <w:hyperlink r:id="rId210" w:tgtFrame="_blank" w:tooltip="This is a pdf file on an external site that will open in a new browser window." w:history="1">
              <w:r w:rsidR="00225952" w:rsidRPr="00A747E8">
                <w:rPr>
                  <w:rStyle w:val="Hyperlink"/>
                  <w:szCs w:val="24"/>
                </w:rPr>
                <w:t>Model Regulations and Plan Amendments for Multimodal Transportation Districts Report</w:t>
              </w:r>
            </w:hyperlink>
            <w:r w:rsidR="00225952" w:rsidRPr="00A747E8">
              <w:t xml:space="preserve"> – FDOT guidebook designed to assist local governments in adopting comprehensive plan policies and local ordinances in support of MMTDs. </w:t>
            </w:r>
          </w:p>
          <w:p w:rsidR="00225952" w:rsidRPr="00A747E8" w:rsidRDefault="00745389" w:rsidP="00087603">
            <w:pPr>
              <w:jc w:val="left"/>
            </w:pPr>
            <w:hyperlink r:id="rId211" w:tooltip="This is a pdf file." w:history="1">
              <w:r w:rsidR="00225952" w:rsidRPr="00A747E8">
                <w:rPr>
                  <w:rStyle w:val="Hyperlink"/>
                  <w:szCs w:val="24"/>
                </w:rPr>
                <w:t>Guide to the Annual Update of the Capital Improvements Element</w:t>
              </w:r>
            </w:hyperlink>
            <w:r w:rsidR="00225952" w:rsidRPr="00A747E8">
              <w:t xml:space="preserve">- DCA guide providing detailed direction on the annual update of the Capital Improvements Element of a local comprehensive plan. </w:t>
            </w:r>
          </w:p>
          <w:p w:rsidR="00225952" w:rsidRPr="00A747E8" w:rsidRDefault="00745389" w:rsidP="00087603">
            <w:pPr>
              <w:jc w:val="left"/>
              <w:rPr>
                <w:rStyle w:val="li"/>
                <w:sz w:val="24"/>
                <w:szCs w:val="24"/>
              </w:rPr>
            </w:pPr>
            <w:hyperlink r:id="rId212" w:tgtFrame="_blank" w:tooltip="This is a pdf file on an external site that will open in a new browser window." w:history="1">
              <w:r w:rsidR="00225952" w:rsidRPr="00A747E8">
                <w:rPr>
                  <w:rStyle w:val="Hyperlink"/>
                  <w:szCs w:val="24"/>
                </w:rPr>
                <w:t xml:space="preserve">Working with Proportionate Fair Share   </w:t>
              </w:r>
            </w:hyperlink>
            <w:r w:rsidR="00225952" w:rsidRPr="00A747E8">
              <w:t xml:space="preserve">- FDOT publication providing guidance on the application of proportionate fair share. </w:t>
            </w:r>
          </w:p>
          <w:p w:rsidR="00225952" w:rsidRPr="008C6101" w:rsidRDefault="00745389" w:rsidP="00087603">
            <w:pPr>
              <w:jc w:val="left"/>
              <w:rPr>
                <w:lang w:eastAsia="ko-KR"/>
              </w:rPr>
            </w:pPr>
            <w:hyperlink r:id="rId213" w:tooltip="This is a pdf file." w:history="1">
              <w:r w:rsidR="00225952" w:rsidRPr="00A747E8">
                <w:rPr>
                  <w:rStyle w:val="Hyperlink"/>
                  <w:szCs w:val="24"/>
                </w:rPr>
                <w:t>Joint letter to the Okaloosa-Walton County Transportation Planning Organization</w:t>
              </w:r>
            </w:hyperlink>
            <w:r w:rsidR="00225952" w:rsidRPr="00A747E8">
              <w:t xml:space="preserve"> – A joint letter by FDOT and DCA answering various questions relating to proportionate fair shar</w:t>
            </w:r>
            <w:r w:rsidR="00225952">
              <w:t>e submitted by the Okaloosa-Walt</w:t>
            </w:r>
            <w:r w:rsidR="00225952" w:rsidRPr="00A747E8">
              <w:t>on TPO.</w:t>
            </w:r>
          </w:p>
        </w:tc>
      </w:tr>
    </w:tbl>
    <w:p w:rsidR="00225952" w:rsidRDefault="00225952">
      <w:bookmarkStart w:id="206" w:name="R2"/>
      <w:bookmarkEnd w:id="206"/>
      <w:r>
        <w:rPr>
          <w:b/>
        </w:rPr>
        <w:lastRenderedPageBreak/>
        <w:br w:type="page"/>
      </w:r>
    </w:p>
    <w:tbl>
      <w:tblPr>
        <w:tblW w:w="9899" w:type="dxa"/>
        <w:tblInd w:w="112" w:type="dxa"/>
        <w:tblLayout w:type="fixed"/>
        <w:tblCellMar>
          <w:left w:w="115" w:type="dxa"/>
          <w:right w:w="115" w:type="dxa"/>
        </w:tblCellMar>
        <w:tblLook w:val="0000"/>
      </w:tblPr>
      <w:tblGrid>
        <w:gridCol w:w="2215"/>
        <w:gridCol w:w="7684"/>
      </w:tblGrid>
      <w:tr w:rsidR="00225952" w:rsidRPr="007C475C" w:rsidTr="00225952">
        <w:tc>
          <w:tcPr>
            <w:tcW w:w="9899" w:type="dxa"/>
            <w:gridSpan w:val="2"/>
          </w:tcPr>
          <w:p w:rsidR="00225952" w:rsidRPr="008C6101" w:rsidRDefault="00225952" w:rsidP="009A5DBF">
            <w:pPr>
              <w:pStyle w:val="Resource"/>
              <w:outlineLvl w:val="1"/>
            </w:pPr>
            <w:bookmarkStart w:id="207" w:name="_Toc263447893"/>
            <w:bookmarkStart w:id="208" w:name="_Toc264274138"/>
            <w:r>
              <w:rPr>
                <w:color w:val="1D1B11"/>
                <w:sz w:val="28"/>
              </w:rPr>
              <w:lastRenderedPageBreak/>
              <w:t>Resource Guide</w:t>
            </w:r>
            <w:r w:rsidRPr="00E420C9">
              <w:rPr>
                <w:color w:val="1D1B11"/>
                <w:sz w:val="28"/>
              </w:rPr>
              <w:t xml:space="preserve"> 2</w:t>
            </w:r>
            <w:r>
              <w:rPr>
                <w:color w:val="1D1B11"/>
                <w:sz w:val="28"/>
              </w:rPr>
              <w:t>.</w:t>
            </w:r>
            <w:r w:rsidRPr="00E420C9">
              <w:rPr>
                <w:sz w:val="28"/>
              </w:rPr>
              <w:t xml:space="preserve">  Online Resources</w:t>
            </w:r>
            <w:bookmarkEnd w:id="207"/>
            <w:bookmarkEnd w:id="208"/>
          </w:p>
        </w:tc>
      </w:tr>
      <w:tr w:rsidR="00225952" w:rsidRPr="007C475C" w:rsidTr="00225952">
        <w:tc>
          <w:tcPr>
            <w:tcW w:w="2215" w:type="dxa"/>
          </w:tcPr>
          <w:p w:rsidR="00225952" w:rsidRPr="008956F2" w:rsidRDefault="00225952" w:rsidP="00225952">
            <w:pPr>
              <w:pStyle w:val="HeadSideMain"/>
            </w:pPr>
          </w:p>
        </w:tc>
        <w:tc>
          <w:tcPr>
            <w:tcW w:w="7684" w:type="dxa"/>
          </w:tcPr>
          <w:p w:rsidR="00225952" w:rsidRPr="00482F7F" w:rsidRDefault="00745389" w:rsidP="00482F7F">
            <w:pPr>
              <w:spacing w:after="120"/>
              <w:jc w:val="left"/>
              <w:rPr>
                <w:szCs w:val="23"/>
              </w:rPr>
            </w:pPr>
            <w:hyperlink r:id="rId214" w:history="1">
              <w:r w:rsidR="00225952" w:rsidRPr="00482F7F">
                <w:rPr>
                  <w:rStyle w:val="Hyperlink"/>
                  <w:szCs w:val="23"/>
                </w:rPr>
                <w:t>Evaluation and Appraisal Reports - Division of Community Planning</w:t>
              </w:r>
            </w:hyperlink>
            <w:r w:rsidR="00225952" w:rsidRPr="00482F7F">
              <w:rPr>
                <w:szCs w:val="23"/>
              </w:rPr>
              <w:t xml:space="preserve"> – DCA webpage  providing guidance and resources on the Evaluation and Appraisal Report process.</w:t>
            </w:r>
          </w:p>
          <w:p w:rsidR="00225952" w:rsidRPr="00482F7F" w:rsidRDefault="00745389" w:rsidP="00482F7F">
            <w:pPr>
              <w:spacing w:after="120"/>
              <w:jc w:val="left"/>
              <w:rPr>
                <w:szCs w:val="23"/>
              </w:rPr>
            </w:pPr>
            <w:hyperlink r:id="rId215" w:history="1">
              <w:r w:rsidR="00225952" w:rsidRPr="00482F7F">
                <w:rPr>
                  <w:rStyle w:val="Hyperlink"/>
                  <w:szCs w:val="23"/>
                </w:rPr>
                <w:t>Capital Improvement Elements - Division of Community Planning</w:t>
              </w:r>
            </w:hyperlink>
            <w:r w:rsidR="00225952" w:rsidRPr="00482F7F">
              <w:rPr>
                <w:szCs w:val="23"/>
              </w:rPr>
              <w:t xml:space="preserve"> – DCA webpage  providing guidance and resources on updates to Capital Improvement Elements of local government comprehensive plans. </w:t>
            </w:r>
          </w:p>
          <w:p w:rsidR="00225952" w:rsidRPr="00482F7F" w:rsidRDefault="00745389" w:rsidP="00482F7F">
            <w:pPr>
              <w:spacing w:after="120"/>
              <w:jc w:val="left"/>
              <w:rPr>
                <w:szCs w:val="23"/>
              </w:rPr>
            </w:pPr>
            <w:hyperlink r:id="rId216" w:history="1">
              <w:r w:rsidR="00225952" w:rsidRPr="00482F7F">
                <w:rPr>
                  <w:rStyle w:val="Hyperlink"/>
                  <w:szCs w:val="23"/>
                </w:rPr>
                <w:t>Growth Management and Comprehensive Planning</w:t>
              </w:r>
            </w:hyperlink>
            <w:r w:rsidR="00225952" w:rsidRPr="00482F7F">
              <w:rPr>
                <w:szCs w:val="23"/>
              </w:rPr>
              <w:t xml:space="preserve">- DCA webpage providing guidance and resources on local government comprehensive planning process. </w:t>
            </w:r>
          </w:p>
          <w:p w:rsidR="00225952" w:rsidRPr="00482F7F" w:rsidRDefault="00745389" w:rsidP="00482F7F">
            <w:pPr>
              <w:spacing w:after="120"/>
              <w:jc w:val="left"/>
              <w:rPr>
                <w:szCs w:val="23"/>
              </w:rPr>
            </w:pPr>
            <w:hyperlink r:id="rId217" w:history="1">
              <w:r w:rsidR="00225952" w:rsidRPr="00482F7F">
                <w:rPr>
                  <w:rStyle w:val="Hyperlink"/>
                  <w:szCs w:val="23"/>
                </w:rPr>
                <w:t>Transportation Planning - Division of Community Planning</w:t>
              </w:r>
            </w:hyperlink>
            <w:r w:rsidR="00225952" w:rsidRPr="00482F7F">
              <w:rPr>
                <w:szCs w:val="23"/>
              </w:rPr>
              <w:t>- DCA webpage providing guidance and resources related to transportation planning in Florida.</w:t>
            </w:r>
          </w:p>
          <w:p w:rsidR="00225952" w:rsidRPr="00482F7F" w:rsidRDefault="00745389" w:rsidP="00482F7F">
            <w:pPr>
              <w:spacing w:after="120"/>
              <w:jc w:val="left"/>
              <w:rPr>
                <w:szCs w:val="23"/>
              </w:rPr>
            </w:pPr>
            <w:hyperlink r:id="rId218" w:history="1">
              <w:r w:rsidR="00225952" w:rsidRPr="00482F7F">
                <w:rPr>
                  <w:rStyle w:val="Hyperlink"/>
                  <w:szCs w:val="23"/>
                </w:rPr>
                <w:t>Florida Transportation and Growth Management</w:t>
              </w:r>
            </w:hyperlink>
            <w:r w:rsidR="00225952" w:rsidRPr="00482F7F">
              <w:rPr>
                <w:szCs w:val="23"/>
              </w:rPr>
              <w:t xml:space="preserve"> – FDOT Policy Planning webpage providing transportation and growth management guidance and resources. </w:t>
            </w:r>
          </w:p>
          <w:p w:rsidR="00225952" w:rsidRPr="00482F7F" w:rsidRDefault="00745389" w:rsidP="00482F7F">
            <w:pPr>
              <w:spacing w:after="120"/>
              <w:jc w:val="left"/>
              <w:rPr>
                <w:szCs w:val="23"/>
              </w:rPr>
            </w:pPr>
            <w:hyperlink r:id="rId219" w:history="1">
              <w:r w:rsidR="00225952" w:rsidRPr="00482F7F">
                <w:rPr>
                  <w:rStyle w:val="Hyperlink"/>
                  <w:szCs w:val="23"/>
                </w:rPr>
                <w:t>FDOT Systems Planning Office - Traffic Impact Analysis</w:t>
              </w:r>
            </w:hyperlink>
            <w:r w:rsidR="00225952" w:rsidRPr="00482F7F">
              <w:rPr>
                <w:szCs w:val="23"/>
              </w:rPr>
              <w:t xml:space="preserve"> – FDOT systems planning webpage providing information and resources on traffic impact analysis. </w:t>
            </w:r>
          </w:p>
          <w:p w:rsidR="00225952" w:rsidRPr="00482F7F" w:rsidRDefault="00745389" w:rsidP="00482F7F">
            <w:pPr>
              <w:spacing w:after="120"/>
              <w:jc w:val="left"/>
              <w:rPr>
                <w:szCs w:val="23"/>
              </w:rPr>
            </w:pPr>
            <w:hyperlink r:id="rId220" w:history="1">
              <w:r w:rsidR="00225952" w:rsidRPr="00482F7F">
                <w:rPr>
                  <w:rStyle w:val="Hyperlink"/>
                  <w:szCs w:val="23"/>
                </w:rPr>
                <w:t>FDOT Systems Planning Office - Quality/Level of Service</w:t>
              </w:r>
            </w:hyperlink>
            <w:r w:rsidR="00225952" w:rsidRPr="00482F7F">
              <w:rPr>
                <w:szCs w:val="23"/>
              </w:rPr>
              <w:t xml:space="preserve">- FDOT systems planning webpage providing information and resources on measuring quality/level of service. </w:t>
            </w:r>
          </w:p>
          <w:p w:rsidR="00225952" w:rsidRPr="00482F7F" w:rsidRDefault="00745389" w:rsidP="00482F7F">
            <w:pPr>
              <w:spacing w:after="120"/>
              <w:jc w:val="left"/>
              <w:rPr>
                <w:szCs w:val="23"/>
              </w:rPr>
            </w:pPr>
            <w:hyperlink r:id="rId221" w:tooltip="This is a pdf file." w:history="1">
              <w:r w:rsidR="00225952" w:rsidRPr="00482F7F">
                <w:rPr>
                  <w:rStyle w:val="Hyperlink"/>
                  <w:szCs w:val="23"/>
                </w:rPr>
                <w:t>DCA - Transportation Concurrency Best Practices Guide</w:t>
              </w:r>
            </w:hyperlink>
            <w:r w:rsidR="00225952" w:rsidRPr="00482F7F">
              <w:rPr>
                <w:szCs w:val="23"/>
              </w:rPr>
              <w:t xml:space="preserve"> – Appendix A</w:t>
            </w:r>
          </w:p>
          <w:p w:rsidR="00225952" w:rsidRPr="00482F7F" w:rsidRDefault="00745389" w:rsidP="00482F7F">
            <w:pPr>
              <w:spacing w:after="120"/>
              <w:jc w:val="left"/>
              <w:rPr>
                <w:szCs w:val="23"/>
              </w:rPr>
            </w:pPr>
            <w:hyperlink r:id="rId222" w:tooltip="This is a pdf file." w:history="1">
              <w:r w:rsidR="00225952" w:rsidRPr="00482F7F">
                <w:rPr>
                  <w:rStyle w:val="Hyperlink"/>
                  <w:szCs w:val="23"/>
                </w:rPr>
                <w:t>DCA - Guide to the Annual Update of the Capital Improvements Element</w:t>
              </w:r>
            </w:hyperlink>
          </w:p>
          <w:p w:rsidR="00225952" w:rsidRPr="00482F7F" w:rsidRDefault="00745389" w:rsidP="00482F7F">
            <w:pPr>
              <w:spacing w:after="120"/>
              <w:jc w:val="left"/>
              <w:rPr>
                <w:szCs w:val="23"/>
              </w:rPr>
            </w:pPr>
            <w:hyperlink r:id="rId223" w:history="1">
              <w:r w:rsidR="00225952" w:rsidRPr="00482F7F">
                <w:rPr>
                  <w:rStyle w:val="Hyperlink"/>
                  <w:szCs w:val="23"/>
                </w:rPr>
                <w:t>DCA - Growth Management and Comprehensive Planning Webpage</w:t>
              </w:r>
            </w:hyperlink>
          </w:p>
          <w:p w:rsidR="00225952" w:rsidRPr="00482F7F" w:rsidRDefault="00745389" w:rsidP="00482F7F">
            <w:pPr>
              <w:spacing w:after="120"/>
              <w:jc w:val="left"/>
              <w:rPr>
                <w:szCs w:val="23"/>
                <w:lang w:val="es-MX"/>
              </w:rPr>
            </w:pPr>
            <w:hyperlink r:id="rId224" w:history="1">
              <w:r w:rsidR="00225952" w:rsidRPr="00482F7F">
                <w:rPr>
                  <w:rStyle w:val="Hyperlink"/>
                  <w:szCs w:val="23"/>
                  <w:lang w:val="es-MX"/>
                </w:rPr>
                <w:t>http://www.dot.state.fl.us/planning/systems/sm/los/default.shtm</w:t>
              </w:r>
            </w:hyperlink>
            <w:r w:rsidR="00225952" w:rsidRPr="00482F7F">
              <w:rPr>
                <w:szCs w:val="23"/>
                <w:lang w:val="es-MX"/>
              </w:rPr>
              <w:t xml:space="preserve"> 2009 Q/LOS handbook</w:t>
            </w:r>
          </w:p>
          <w:p w:rsidR="00225952" w:rsidRPr="00482F7F" w:rsidRDefault="00745389" w:rsidP="00482F7F">
            <w:pPr>
              <w:spacing w:after="120"/>
              <w:jc w:val="left"/>
              <w:rPr>
                <w:szCs w:val="23"/>
              </w:rPr>
            </w:pPr>
            <w:hyperlink r:id="rId225" w:history="1">
              <w:r w:rsidR="00225952" w:rsidRPr="00482F7F">
                <w:rPr>
                  <w:rStyle w:val="Hyperlink"/>
                  <w:szCs w:val="23"/>
                </w:rPr>
                <w:t>http://www.dot.state.fl.us/planning/systems/sm/siteimp/</w:t>
              </w:r>
            </w:hyperlink>
            <w:r w:rsidR="00225952" w:rsidRPr="00482F7F">
              <w:rPr>
                <w:szCs w:val="23"/>
              </w:rPr>
              <w:t xml:space="preserve"> FDOT TIPS (Trip Generation, Internal Capture, and Pass-By) Software</w:t>
            </w:r>
          </w:p>
          <w:p w:rsidR="00225952" w:rsidRPr="00482F7F" w:rsidRDefault="00745389" w:rsidP="00482F7F">
            <w:pPr>
              <w:spacing w:after="120"/>
              <w:jc w:val="left"/>
              <w:rPr>
                <w:szCs w:val="23"/>
              </w:rPr>
            </w:pPr>
            <w:hyperlink r:id="rId226" w:history="1">
              <w:r w:rsidR="00225952" w:rsidRPr="00482F7F">
                <w:rPr>
                  <w:rStyle w:val="Hyperlink"/>
                  <w:szCs w:val="23"/>
                </w:rPr>
                <w:t>http://www.ite.org</w:t>
              </w:r>
            </w:hyperlink>
            <w:r w:rsidR="00225952" w:rsidRPr="00482F7F">
              <w:rPr>
                <w:szCs w:val="23"/>
              </w:rPr>
              <w:t xml:space="preserve"> Institute of Transportation Engineers (ITE) Trip Generation documents</w:t>
            </w:r>
          </w:p>
          <w:p w:rsidR="00225952" w:rsidRPr="00482F7F" w:rsidRDefault="00745389" w:rsidP="00482F7F">
            <w:pPr>
              <w:spacing w:after="120"/>
              <w:jc w:val="left"/>
              <w:rPr>
                <w:szCs w:val="23"/>
              </w:rPr>
            </w:pPr>
            <w:hyperlink r:id="rId227" w:history="1">
              <w:r w:rsidR="00225952" w:rsidRPr="00482F7F">
                <w:rPr>
                  <w:rStyle w:val="Hyperlink"/>
                  <w:szCs w:val="23"/>
                </w:rPr>
                <w:t>http://www.dot.state.fl.us/planning/systems/mspi/</w:t>
              </w:r>
            </w:hyperlink>
            <w:r w:rsidR="00225952" w:rsidRPr="00482F7F">
              <w:rPr>
                <w:szCs w:val="23"/>
              </w:rPr>
              <w:t xml:space="preserve"> (FIHS), (SIS), Emerging SIS, and Transportation Regional Incentive Program (TRIP)-funded facilities</w:t>
            </w:r>
          </w:p>
          <w:p w:rsidR="00225952" w:rsidRPr="008C6101" w:rsidRDefault="00745389" w:rsidP="00482F7F">
            <w:pPr>
              <w:spacing w:after="120"/>
              <w:jc w:val="left"/>
              <w:rPr>
                <w:lang w:eastAsia="ko-KR"/>
              </w:rPr>
            </w:pPr>
            <w:hyperlink r:id="rId228" w:history="1">
              <w:r w:rsidR="00225952" w:rsidRPr="00482F7F">
                <w:rPr>
                  <w:rStyle w:val="Hyperlink"/>
                  <w:szCs w:val="23"/>
                </w:rPr>
                <w:t>DCA - Capital Improvement Element - Division of Community Planning Webpage</w:t>
              </w:r>
            </w:hyperlink>
          </w:p>
        </w:tc>
      </w:tr>
    </w:tbl>
    <w:p w:rsidR="00225952" w:rsidRDefault="00225952" w:rsidP="00225952">
      <w:pPr>
        <w:sectPr w:rsidR="00225952" w:rsidSect="00832911">
          <w:headerReference w:type="default" r:id="rId229"/>
          <w:type w:val="continuous"/>
          <w:pgSz w:w="12240" w:h="15840"/>
          <w:pgMar w:top="1440" w:right="720" w:bottom="1440" w:left="1152" w:header="720" w:footer="720" w:gutter="0"/>
          <w:cols w:space="720"/>
          <w:docGrid w:linePitch="360"/>
        </w:sectPr>
      </w:pPr>
    </w:p>
    <w:tbl>
      <w:tblPr>
        <w:tblW w:w="9899" w:type="dxa"/>
        <w:tblInd w:w="112" w:type="dxa"/>
        <w:tblLayout w:type="fixed"/>
        <w:tblCellMar>
          <w:left w:w="115" w:type="dxa"/>
          <w:right w:w="115" w:type="dxa"/>
        </w:tblCellMar>
        <w:tblLook w:val="0000"/>
      </w:tblPr>
      <w:tblGrid>
        <w:gridCol w:w="9899"/>
      </w:tblGrid>
      <w:tr w:rsidR="00225952" w:rsidRPr="007C475C" w:rsidTr="00225952">
        <w:tc>
          <w:tcPr>
            <w:tcW w:w="9899" w:type="dxa"/>
          </w:tcPr>
          <w:p w:rsidR="00225952" w:rsidRPr="00E420C9" w:rsidRDefault="00225952" w:rsidP="009A5DBF">
            <w:pPr>
              <w:pStyle w:val="Resource"/>
              <w:outlineLvl w:val="1"/>
              <w:rPr>
                <w:sz w:val="28"/>
              </w:rPr>
            </w:pPr>
            <w:bookmarkStart w:id="209" w:name="R3"/>
            <w:bookmarkStart w:id="210" w:name="_Toc263447894"/>
            <w:bookmarkStart w:id="211" w:name="_Toc264274139"/>
            <w:bookmarkEnd w:id="209"/>
            <w:r>
              <w:rPr>
                <w:color w:val="1D1B11"/>
                <w:sz w:val="28"/>
              </w:rPr>
              <w:lastRenderedPageBreak/>
              <w:t>Resource Guide</w:t>
            </w:r>
            <w:r w:rsidRPr="00E420C9">
              <w:rPr>
                <w:color w:val="1D1B11"/>
                <w:sz w:val="28"/>
              </w:rPr>
              <w:t xml:space="preserve"> 3</w:t>
            </w:r>
            <w:r>
              <w:rPr>
                <w:color w:val="1D1B11"/>
                <w:sz w:val="28"/>
              </w:rPr>
              <w:t xml:space="preserve">. </w:t>
            </w:r>
            <w:r w:rsidRPr="00E420C9">
              <w:rPr>
                <w:sz w:val="28"/>
              </w:rPr>
              <w:t xml:space="preserve"> Evaluation and Appraisal Reports (EARs)</w:t>
            </w:r>
            <w:bookmarkEnd w:id="210"/>
            <w:bookmarkEnd w:id="211"/>
          </w:p>
        </w:tc>
      </w:tr>
      <w:tr w:rsidR="00225952" w:rsidRPr="007C475C" w:rsidTr="00225952">
        <w:tc>
          <w:tcPr>
            <w:tcW w:w="9899" w:type="dxa"/>
          </w:tcPr>
          <w:p w:rsidR="00225952" w:rsidRPr="005324D7" w:rsidRDefault="00745389" w:rsidP="00225952">
            <w:pPr>
              <w:autoSpaceDE w:val="0"/>
              <w:autoSpaceDN w:val="0"/>
              <w:adjustRightInd w:val="0"/>
              <w:ind w:firstLine="698"/>
              <w:rPr>
                <w:sz w:val="28"/>
                <w:szCs w:val="24"/>
              </w:rPr>
            </w:pPr>
            <w:hyperlink r:id="rId230" w:history="1">
              <w:r w:rsidR="00225952" w:rsidRPr="005324D7">
                <w:rPr>
                  <w:rStyle w:val="Hyperlink"/>
                  <w:sz w:val="24"/>
                  <w:szCs w:val="24"/>
                </w:rPr>
                <w:t>Evaluation and Appraisal Reports - Division of Community Planning</w:t>
              </w:r>
            </w:hyperlink>
          </w:p>
          <w:p w:rsidR="00225952" w:rsidRPr="005324D7" w:rsidRDefault="00745389" w:rsidP="00225952">
            <w:pPr>
              <w:autoSpaceDE w:val="0"/>
              <w:autoSpaceDN w:val="0"/>
              <w:adjustRightInd w:val="0"/>
              <w:ind w:firstLine="698"/>
              <w:rPr>
                <w:sz w:val="28"/>
                <w:szCs w:val="24"/>
              </w:rPr>
            </w:pPr>
            <w:hyperlink r:id="rId231" w:history="1">
              <w:r w:rsidR="00225952" w:rsidRPr="005324D7">
                <w:rPr>
                  <w:rStyle w:val="Hyperlink"/>
                  <w:rFonts w:eastAsia="Batang" w:cs="Slimbach-Book"/>
                  <w:sz w:val="24"/>
                  <w:szCs w:val="24"/>
                  <w:lang w:eastAsia="ko-KR"/>
                </w:rPr>
                <w:t>Chapter 163.319  Evaluation and appraisal of comprehensive plan</w:t>
              </w:r>
            </w:hyperlink>
          </w:p>
          <w:p w:rsidR="00225952" w:rsidRPr="005324D7" w:rsidRDefault="00745389" w:rsidP="00225952">
            <w:pPr>
              <w:autoSpaceDE w:val="0"/>
              <w:autoSpaceDN w:val="0"/>
              <w:adjustRightInd w:val="0"/>
              <w:ind w:firstLine="698"/>
              <w:rPr>
                <w:sz w:val="24"/>
              </w:rPr>
            </w:pPr>
            <w:hyperlink r:id="rId232" w:history="1">
              <w:r w:rsidR="00225952" w:rsidRPr="005324D7">
                <w:rPr>
                  <w:rStyle w:val="Hyperlink"/>
                  <w:sz w:val="24"/>
                  <w:szCs w:val="24"/>
                </w:rPr>
                <w:t>FDOT Draft Guidance for Producing a Transit Development Plan</w:t>
              </w:r>
            </w:hyperlink>
          </w:p>
          <w:p w:rsidR="00225952" w:rsidRDefault="00225952" w:rsidP="00225952">
            <w:pPr>
              <w:autoSpaceDE w:val="0"/>
              <w:autoSpaceDN w:val="0"/>
              <w:adjustRightInd w:val="0"/>
              <w:ind w:firstLine="698"/>
              <w:rPr>
                <w:sz w:val="24"/>
                <w:szCs w:val="24"/>
              </w:rPr>
            </w:pPr>
          </w:p>
          <w:p w:rsidR="00225952" w:rsidRDefault="00225952" w:rsidP="00225952">
            <w:pPr>
              <w:autoSpaceDE w:val="0"/>
              <w:autoSpaceDN w:val="0"/>
              <w:adjustRightInd w:val="0"/>
              <w:ind w:firstLine="698"/>
              <w:rPr>
                <w:sz w:val="24"/>
                <w:szCs w:val="24"/>
              </w:rPr>
            </w:pPr>
          </w:p>
          <w:p w:rsidR="00225952" w:rsidRDefault="00225952" w:rsidP="00225952">
            <w:pPr>
              <w:autoSpaceDE w:val="0"/>
              <w:autoSpaceDN w:val="0"/>
              <w:adjustRightInd w:val="0"/>
              <w:ind w:firstLine="698"/>
              <w:rPr>
                <w:sz w:val="24"/>
                <w:szCs w:val="24"/>
              </w:rPr>
            </w:pPr>
          </w:p>
          <w:p w:rsidR="00225952" w:rsidRDefault="00225952" w:rsidP="00225952">
            <w:pPr>
              <w:autoSpaceDE w:val="0"/>
              <w:autoSpaceDN w:val="0"/>
              <w:adjustRightInd w:val="0"/>
              <w:ind w:firstLine="698"/>
              <w:rPr>
                <w:sz w:val="24"/>
                <w:szCs w:val="24"/>
              </w:rPr>
            </w:pPr>
          </w:p>
          <w:p w:rsidR="00225952" w:rsidRPr="00E420C9" w:rsidRDefault="00225952" w:rsidP="00225952">
            <w:pPr>
              <w:autoSpaceDE w:val="0"/>
              <w:autoSpaceDN w:val="0"/>
              <w:adjustRightInd w:val="0"/>
              <w:ind w:firstLine="698"/>
              <w:rPr>
                <w:sz w:val="24"/>
                <w:szCs w:val="24"/>
              </w:rPr>
            </w:pPr>
          </w:p>
        </w:tc>
      </w:tr>
      <w:tr w:rsidR="00225952" w:rsidRPr="007C475C" w:rsidTr="00225952">
        <w:tc>
          <w:tcPr>
            <w:tcW w:w="9899" w:type="dxa"/>
          </w:tcPr>
          <w:p w:rsidR="00225952" w:rsidRDefault="00225952" w:rsidP="009A5DBF">
            <w:pPr>
              <w:pStyle w:val="Resource"/>
              <w:outlineLvl w:val="1"/>
            </w:pPr>
            <w:bookmarkStart w:id="212" w:name="R4"/>
            <w:bookmarkStart w:id="213" w:name="_Toc263447895"/>
            <w:bookmarkStart w:id="214" w:name="_Toc264274140"/>
            <w:bookmarkEnd w:id="212"/>
            <w:r>
              <w:rPr>
                <w:color w:val="1D1B11"/>
                <w:sz w:val="28"/>
              </w:rPr>
              <w:t>Resource Guide</w:t>
            </w:r>
            <w:r w:rsidRPr="00E420C9">
              <w:rPr>
                <w:color w:val="1D1B11"/>
                <w:sz w:val="28"/>
              </w:rPr>
              <w:t xml:space="preserve"> 4</w:t>
            </w:r>
            <w:r>
              <w:rPr>
                <w:color w:val="1D1B11"/>
                <w:sz w:val="28"/>
              </w:rPr>
              <w:t xml:space="preserve">. </w:t>
            </w:r>
            <w:r w:rsidRPr="00E420C9">
              <w:rPr>
                <w:sz w:val="28"/>
              </w:rPr>
              <w:t xml:space="preserve"> Concurrency Alternatives</w:t>
            </w:r>
            <w:bookmarkEnd w:id="213"/>
            <w:bookmarkEnd w:id="214"/>
          </w:p>
        </w:tc>
      </w:tr>
      <w:tr w:rsidR="00225952" w:rsidRPr="007C475C" w:rsidTr="00225952">
        <w:tc>
          <w:tcPr>
            <w:tcW w:w="9899" w:type="dxa"/>
          </w:tcPr>
          <w:p w:rsidR="00225952" w:rsidRPr="005324D7" w:rsidRDefault="00745389" w:rsidP="00225952">
            <w:pPr>
              <w:autoSpaceDE w:val="0"/>
              <w:autoSpaceDN w:val="0"/>
              <w:adjustRightInd w:val="0"/>
              <w:ind w:firstLine="698"/>
              <w:rPr>
                <w:sz w:val="28"/>
                <w:szCs w:val="24"/>
              </w:rPr>
            </w:pPr>
            <w:hyperlink r:id="rId233" w:tooltip="This is a pdf file." w:history="1">
              <w:r w:rsidR="00225952" w:rsidRPr="005324D7">
                <w:rPr>
                  <w:rStyle w:val="Hyperlink"/>
                  <w:sz w:val="24"/>
                  <w:szCs w:val="24"/>
                </w:rPr>
                <w:t>Transportation Concurrency Best Practices Guide</w:t>
              </w:r>
            </w:hyperlink>
          </w:p>
          <w:p w:rsidR="00225952" w:rsidRPr="005324D7" w:rsidRDefault="00745389" w:rsidP="00225952">
            <w:pPr>
              <w:autoSpaceDE w:val="0"/>
              <w:autoSpaceDN w:val="0"/>
              <w:adjustRightInd w:val="0"/>
              <w:ind w:firstLine="698"/>
              <w:rPr>
                <w:sz w:val="28"/>
                <w:szCs w:val="24"/>
              </w:rPr>
            </w:pPr>
            <w:hyperlink r:id="rId234" w:tooltip="This is a pdf file." w:history="1">
              <w:r w:rsidR="00225952" w:rsidRPr="005324D7">
                <w:rPr>
                  <w:rStyle w:val="Hyperlink"/>
                  <w:sz w:val="24"/>
                  <w:szCs w:val="24"/>
                </w:rPr>
                <w:t>Guide for the Creation and Evaluation of Transportation Concurrency Exception Areas</w:t>
              </w:r>
            </w:hyperlink>
          </w:p>
          <w:p w:rsidR="00225952" w:rsidRPr="005324D7" w:rsidRDefault="00745389" w:rsidP="00225952">
            <w:pPr>
              <w:autoSpaceDE w:val="0"/>
              <w:autoSpaceDN w:val="0"/>
              <w:adjustRightInd w:val="0"/>
              <w:ind w:firstLine="698"/>
              <w:rPr>
                <w:sz w:val="28"/>
                <w:szCs w:val="24"/>
              </w:rPr>
            </w:pPr>
            <w:hyperlink r:id="rId235" w:tgtFrame="_blank" w:tooltip="This is a pdf file on an external site that will open in a new browser window." w:history="1">
              <w:r w:rsidR="00225952" w:rsidRPr="005324D7">
                <w:rPr>
                  <w:rStyle w:val="Hyperlink"/>
                  <w:sz w:val="24"/>
                  <w:szCs w:val="24"/>
                </w:rPr>
                <w:t>Working with Transportation Concurrency Exception Areas</w:t>
              </w:r>
            </w:hyperlink>
          </w:p>
          <w:p w:rsidR="00225952" w:rsidRPr="005324D7" w:rsidRDefault="00745389" w:rsidP="00225952">
            <w:pPr>
              <w:autoSpaceDE w:val="0"/>
              <w:autoSpaceDN w:val="0"/>
              <w:adjustRightInd w:val="0"/>
              <w:ind w:firstLine="698"/>
              <w:rPr>
                <w:sz w:val="28"/>
                <w:szCs w:val="24"/>
              </w:rPr>
            </w:pPr>
            <w:hyperlink r:id="rId236" w:history="1">
              <w:r w:rsidR="00225952" w:rsidRPr="005324D7">
                <w:rPr>
                  <w:rStyle w:val="Hyperlink"/>
                  <w:sz w:val="24"/>
                  <w:szCs w:val="24"/>
                </w:rPr>
                <w:t>Transportation Planning - Division of Community Planning</w:t>
              </w:r>
            </w:hyperlink>
          </w:p>
          <w:p w:rsidR="00225952" w:rsidRDefault="00225952" w:rsidP="00225952">
            <w:pPr>
              <w:autoSpaceDE w:val="0"/>
              <w:autoSpaceDN w:val="0"/>
              <w:adjustRightInd w:val="0"/>
            </w:pPr>
          </w:p>
          <w:p w:rsidR="00225952" w:rsidRDefault="00225952" w:rsidP="00225952">
            <w:pPr>
              <w:autoSpaceDE w:val="0"/>
              <w:autoSpaceDN w:val="0"/>
              <w:adjustRightInd w:val="0"/>
            </w:pPr>
          </w:p>
          <w:p w:rsidR="00225952" w:rsidRDefault="00225952" w:rsidP="00225952">
            <w:pPr>
              <w:autoSpaceDE w:val="0"/>
              <w:autoSpaceDN w:val="0"/>
              <w:adjustRightInd w:val="0"/>
            </w:pPr>
          </w:p>
          <w:p w:rsidR="00225952" w:rsidRDefault="00225952" w:rsidP="00225952">
            <w:pPr>
              <w:autoSpaceDE w:val="0"/>
              <w:autoSpaceDN w:val="0"/>
              <w:adjustRightInd w:val="0"/>
            </w:pPr>
          </w:p>
        </w:tc>
      </w:tr>
      <w:tr w:rsidR="00225952" w:rsidRPr="007C475C" w:rsidTr="00225952">
        <w:tc>
          <w:tcPr>
            <w:tcW w:w="9899" w:type="dxa"/>
          </w:tcPr>
          <w:p w:rsidR="00225952" w:rsidRDefault="00225952" w:rsidP="009A5DBF">
            <w:pPr>
              <w:pStyle w:val="Resource"/>
              <w:outlineLvl w:val="1"/>
            </w:pPr>
            <w:bookmarkStart w:id="215" w:name="R5"/>
            <w:bookmarkStart w:id="216" w:name="_Toc263447896"/>
            <w:bookmarkStart w:id="217" w:name="_Toc264274141"/>
            <w:bookmarkEnd w:id="215"/>
            <w:r>
              <w:rPr>
                <w:color w:val="1D1B11"/>
                <w:sz w:val="28"/>
              </w:rPr>
              <w:t>Resource Guide</w:t>
            </w:r>
            <w:r w:rsidRPr="00E420C9">
              <w:rPr>
                <w:color w:val="1D1B11"/>
                <w:sz w:val="28"/>
              </w:rPr>
              <w:t xml:space="preserve"> 5</w:t>
            </w:r>
            <w:r>
              <w:rPr>
                <w:color w:val="1D1B11"/>
                <w:sz w:val="28"/>
              </w:rPr>
              <w:t xml:space="preserve">. </w:t>
            </w:r>
            <w:r w:rsidRPr="00E420C9">
              <w:rPr>
                <w:sz w:val="28"/>
              </w:rPr>
              <w:t xml:space="preserve">  Multimodal Transportation Districts</w:t>
            </w:r>
            <w:bookmarkEnd w:id="216"/>
            <w:bookmarkEnd w:id="217"/>
          </w:p>
        </w:tc>
      </w:tr>
      <w:tr w:rsidR="00225952" w:rsidRPr="007C475C" w:rsidTr="00225952">
        <w:tc>
          <w:tcPr>
            <w:tcW w:w="9899" w:type="dxa"/>
          </w:tcPr>
          <w:p w:rsidR="00225952" w:rsidRPr="005324D7" w:rsidRDefault="00745389" w:rsidP="00225952">
            <w:pPr>
              <w:autoSpaceDE w:val="0"/>
              <w:autoSpaceDN w:val="0"/>
              <w:adjustRightInd w:val="0"/>
              <w:ind w:firstLine="698"/>
              <w:rPr>
                <w:sz w:val="28"/>
                <w:szCs w:val="24"/>
              </w:rPr>
            </w:pPr>
            <w:hyperlink r:id="rId237" w:tooltip="This is a pdf file." w:history="1">
              <w:r w:rsidR="00225952" w:rsidRPr="005324D7">
                <w:rPr>
                  <w:rStyle w:val="Hyperlink"/>
                  <w:sz w:val="24"/>
                  <w:szCs w:val="24"/>
                </w:rPr>
                <w:t>Transportation Concurrency Best Practices Guide</w:t>
              </w:r>
            </w:hyperlink>
          </w:p>
          <w:p w:rsidR="00225952" w:rsidRPr="005324D7" w:rsidRDefault="00745389" w:rsidP="00225952">
            <w:pPr>
              <w:autoSpaceDE w:val="0"/>
              <w:autoSpaceDN w:val="0"/>
              <w:adjustRightInd w:val="0"/>
              <w:ind w:firstLine="698"/>
              <w:rPr>
                <w:sz w:val="24"/>
              </w:rPr>
            </w:pPr>
            <w:hyperlink r:id="rId238" w:history="1">
              <w:r w:rsidR="00225952" w:rsidRPr="005324D7">
                <w:rPr>
                  <w:rStyle w:val="Hyperlink"/>
                  <w:sz w:val="24"/>
                  <w:szCs w:val="24"/>
                </w:rPr>
                <w:t>Multimodal Transportation Districts and Areawide Quality of Service Handbook</w:t>
              </w:r>
            </w:hyperlink>
          </w:p>
          <w:p w:rsidR="00225952" w:rsidRPr="005324D7" w:rsidRDefault="00745389" w:rsidP="00225952">
            <w:pPr>
              <w:autoSpaceDE w:val="0"/>
              <w:autoSpaceDN w:val="0"/>
              <w:adjustRightInd w:val="0"/>
              <w:ind w:firstLine="698"/>
              <w:rPr>
                <w:sz w:val="24"/>
              </w:rPr>
            </w:pPr>
            <w:hyperlink r:id="rId239" w:tgtFrame="_blank" w:tooltip="This is a pdf file on an external site that will open in a new browser window." w:history="1">
              <w:r w:rsidR="00225952" w:rsidRPr="005324D7">
                <w:rPr>
                  <w:rStyle w:val="Hyperlink"/>
                  <w:sz w:val="24"/>
                  <w:szCs w:val="24"/>
                </w:rPr>
                <w:t>Model Regulations and Plan Amendments for Multimodal Transportation Districts Report</w:t>
              </w:r>
            </w:hyperlink>
          </w:p>
          <w:p w:rsidR="00225952" w:rsidRDefault="00225952" w:rsidP="00225952">
            <w:pPr>
              <w:autoSpaceDE w:val="0"/>
              <w:autoSpaceDN w:val="0"/>
              <w:adjustRightInd w:val="0"/>
              <w:ind w:firstLine="698"/>
            </w:pPr>
          </w:p>
        </w:tc>
      </w:tr>
    </w:tbl>
    <w:p w:rsidR="00225952" w:rsidRDefault="00225952">
      <w:bookmarkStart w:id="218" w:name="R6"/>
      <w:bookmarkEnd w:id="218"/>
      <w:r>
        <w:rPr>
          <w:b/>
        </w:rPr>
        <w:br w:type="page"/>
      </w:r>
    </w:p>
    <w:p w:rsidR="00992EDA" w:rsidRDefault="00992EDA" w:rsidP="00C92364">
      <w:pPr>
        <w:pStyle w:val="Resource"/>
        <w:jc w:val="left"/>
        <w:rPr>
          <w:color w:val="1D1B11"/>
          <w:sz w:val="28"/>
        </w:rPr>
        <w:sectPr w:rsidR="00992EDA" w:rsidSect="00832911">
          <w:headerReference w:type="default" r:id="rId240"/>
          <w:pgSz w:w="12240" w:h="15840"/>
          <w:pgMar w:top="1440" w:right="720" w:bottom="1440" w:left="1152" w:header="720" w:footer="720" w:gutter="0"/>
          <w:cols w:space="720"/>
          <w:docGrid w:linePitch="360"/>
        </w:sectPr>
      </w:pPr>
      <w:bookmarkStart w:id="219" w:name="_Toc263447897"/>
    </w:p>
    <w:tbl>
      <w:tblPr>
        <w:tblW w:w="9899" w:type="dxa"/>
        <w:tblInd w:w="112" w:type="dxa"/>
        <w:tblLayout w:type="fixed"/>
        <w:tblCellMar>
          <w:left w:w="115" w:type="dxa"/>
          <w:right w:w="115" w:type="dxa"/>
        </w:tblCellMar>
        <w:tblLook w:val="0000"/>
      </w:tblPr>
      <w:tblGrid>
        <w:gridCol w:w="9899"/>
      </w:tblGrid>
      <w:tr w:rsidR="00225952" w:rsidRPr="007C475C" w:rsidTr="00225952">
        <w:tc>
          <w:tcPr>
            <w:tcW w:w="9899" w:type="dxa"/>
          </w:tcPr>
          <w:p w:rsidR="00225952" w:rsidRDefault="00225952" w:rsidP="009A5DBF">
            <w:pPr>
              <w:pStyle w:val="Resource"/>
              <w:jc w:val="left"/>
              <w:outlineLvl w:val="1"/>
            </w:pPr>
            <w:bookmarkStart w:id="220" w:name="_Toc264274142"/>
            <w:r w:rsidRPr="006D46C0">
              <w:rPr>
                <w:color w:val="1D1B11"/>
                <w:sz w:val="28"/>
              </w:rPr>
              <w:lastRenderedPageBreak/>
              <w:t xml:space="preserve">Resource Guide 6. </w:t>
            </w:r>
            <w:r w:rsidRPr="006D46C0">
              <w:rPr>
                <w:sz w:val="28"/>
              </w:rPr>
              <w:t xml:space="preserve">  </w:t>
            </w:r>
            <w:r w:rsidR="00C92364">
              <w:rPr>
                <w:sz w:val="28"/>
              </w:rPr>
              <w:br/>
            </w:r>
            <w:r w:rsidRPr="006D46C0">
              <w:rPr>
                <w:sz w:val="28"/>
                <w:szCs w:val="26"/>
              </w:rPr>
              <w:t>Transportation and Land Use Strategies that Support Mobility</w:t>
            </w:r>
            <w:bookmarkEnd w:id="219"/>
            <w:bookmarkEnd w:id="220"/>
          </w:p>
        </w:tc>
      </w:tr>
      <w:tr w:rsidR="00225952" w:rsidRPr="007C475C" w:rsidTr="00225952">
        <w:tc>
          <w:tcPr>
            <w:tcW w:w="9899" w:type="dxa"/>
          </w:tcPr>
          <w:p w:rsidR="00225952" w:rsidRPr="005324D7" w:rsidRDefault="00745389" w:rsidP="00225952">
            <w:pPr>
              <w:autoSpaceDE w:val="0"/>
              <w:autoSpaceDN w:val="0"/>
              <w:adjustRightInd w:val="0"/>
              <w:ind w:firstLine="698"/>
              <w:rPr>
                <w:sz w:val="28"/>
                <w:szCs w:val="24"/>
              </w:rPr>
            </w:pPr>
            <w:hyperlink r:id="rId241" w:history="1">
              <w:r w:rsidR="00225952" w:rsidRPr="005324D7">
                <w:rPr>
                  <w:rStyle w:val="Hyperlink"/>
                  <w:sz w:val="24"/>
                  <w:szCs w:val="24"/>
                </w:rPr>
                <w:t>http://www.epa.gov/smartgrowth/2009-0616-epahuddot.htm</w:t>
              </w:r>
            </w:hyperlink>
          </w:p>
          <w:p w:rsidR="00225952" w:rsidRPr="005324D7" w:rsidRDefault="00745389" w:rsidP="00225952">
            <w:pPr>
              <w:autoSpaceDE w:val="0"/>
              <w:autoSpaceDN w:val="0"/>
              <w:adjustRightInd w:val="0"/>
              <w:ind w:firstLine="698"/>
              <w:rPr>
                <w:sz w:val="28"/>
                <w:szCs w:val="24"/>
              </w:rPr>
            </w:pPr>
            <w:hyperlink r:id="rId242" w:history="1">
              <w:r w:rsidR="00225952" w:rsidRPr="005324D7">
                <w:rPr>
                  <w:rStyle w:val="Hyperlink"/>
                  <w:sz w:val="24"/>
                  <w:szCs w:val="24"/>
                </w:rPr>
                <w:t>http://www.lincolninst.edu/pubs/smart-growth-policies.aspx</w:t>
              </w:r>
            </w:hyperlink>
          </w:p>
          <w:p w:rsidR="00225952" w:rsidRPr="005324D7" w:rsidRDefault="00745389" w:rsidP="00225952">
            <w:pPr>
              <w:autoSpaceDE w:val="0"/>
              <w:autoSpaceDN w:val="0"/>
              <w:adjustRightInd w:val="0"/>
              <w:ind w:firstLine="698"/>
              <w:rPr>
                <w:sz w:val="28"/>
                <w:szCs w:val="24"/>
              </w:rPr>
            </w:pPr>
            <w:hyperlink r:id="rId243" w:history="1">
              <w:r w:rsidR="00225952" w:rsidRPr="005324D7">
                <w:rPr>
                  <w:rStyle w:val="Hyperlink"/>
                  <w:sz w:val="24"/>
                  <w:szCs w:val="24"/>
                </w:rPr>
                <w:t>http://www.cnu.org/</w:t>
              </w:r>
            </w:hyperlink>
          </w:p>
          <w:p w:rsidR="00225952" w:rsidRPr="005324D7" w:rsidRDefault="00745389" w:rsidP="00225952">
            <w:pPr>
              <w:autoSpaceDE w:val="0"/>
              <w:autoSpaceDN w:val="0"/>
              <w:adjustRightInd w:val="0"/>
              <w:ind w:firstLine="698"/>
              <w:rPr>
                <w:sz w:val="28"/>
                <w:szCs w:val="24"/>
              </w:rPr>
            </w:pPr>
            <w:hyperlink r:id="rId244" w:history="1">
              <w:r w:rsidR="00225952" w:rsidRPr="005324D7">
                <w:rPr>
                  <w:rStyle w:val="Hyperlink"/>
                  <w:sz w:val="24"/>
                  <w:szCs w:val="24"/>
                </w:rPr>
                <w:t>http://www.smartgrowthplanning.org/index.html</w:t>
              </w:r>
            </w:hyperlink>
          </w:p>
          <w:p w:rsidR="00225952" w:rsidRPr="005324D7" w:rsidRDefault="00745389" w:rsidP="00225952">
            <w:pPr>
              <w:autoSpaceDE w:val="0"/>
              <w:autoSpaceDN w:val="0"/>
              <w:adjustRightInd w:val="0"/>
              <w:ind w:firstLine="698"/>
              <w:rPr>
                <w:sz w:val="28"/>
                <w:szCs w:val="24"/>
              </w:rPr>
            </w:pPr>
            <w:hyperlink r:id="rId245" w:history="1">
              <w:r w:rsidR="00225952" w:rsidRPr="005324D7">
                <w:rPr>
                  <w:rStyle w:val="Hyperlink"/>
                  <w:sz w:val="24"/>
                  <w:szCs w:val="24"/>
                </w:rPr>
                <w:t>http://www.livableplaces.org/policy/todincentives.html</w:t>
              </w:r>
            </w:hyperlink>
          </w:p>
          <w:p w:rsidR="00225952" w:rsidRPr="005324D7" w:rsidRDefault="00745389" w:rsidP="00225952">
            <w:pPr>
              <w:autoSpaceDE w:val="0"/>
              <w:autoSpaceDN w:val="0"/>
              <w:adjustRightInd w:val="0"/>
              <w:ind w:firstLine="698"/>
              <w:rPr>
                <w:sz w:val="28"/>
                <w:szCs w:val="24"/>
              </w:rPr>
            </w:pPr>
            <w:hyperlink r:id="rId246" w:history="1">
              <w:r w:rsidR="00225952" w:rsidRPr="005324D7">
                <w:rPr>
                  <w:rStyle w:val="Hyperlink"/>
                  <w:sz w:val="24"/>
                  <w:szCs w:val="24"/>
                </w:rPr>
                <w:t>http://www.fhwa.dot.gov/hep/climate/index.htm</w:t>
              </w:r>
            </w:hyperlink>
          </w:p>
          <w:p w:rsidR="00225952" w:rsidRPr="005324D7" w:rsidRDefault="00745389" w:rsidP="00225952">
            <w:pPr>
              <w:autoSpaceDE w:val="0"/>
              <w:autoSpaceDN w:val="0"/>
              <w:adjustRightInd w:val="0"/>
              <w:ind w:firstLine="698"/>
              <w:rPr>
                <w:sz w:val="28"/>
                <w:szCs w:val="24"/>
              </w:rPr>
            </w:pPr>
            <w:hyperlink r:id="rId247" w:history="1">
              <w:r w:rsidR="00225952" w:rsidRPr="005324D7">
                <w:rPr>
                  <w:rStyle w:val="Hyperlink"/>
                  <w:sz w:val="24"/>
                  <w:szCs w:val="24"/>
                </w:rPr>
                <w:t>http://www.pps.org/</w:t>
              </w:r>
            </w:hyperlink>
          </w:p>
          <w:p w:rsidR="00225952" w:rsidRPr="005324D7" w:rsidRDefault="00745389" w:rsidP="00225952">
            <w:pPr>
              <w:autoSpaceDE w:val="0"/>
              <w:autoSpaceDN w:val="0"/>
              <w:adjustRightInd w:val="0"/>
              <w:ind w:firstLine="698"/>
              <w:rPr>
                <w:sz w:val="28"/>
                <w:szCs w:val="24"/>
              </w:rPr>
            </w:pPr>
            <w:hyperlink r:id="rId248" w:history="1">
              <w:r w:rsidR="00225952" w:rsidRPr="005324D7">
                <w:rPr>
                  <w:rStyle w:val="Hyperlink"/>
                  <w:sz w:val="24"/>
                  <w:szCs w:val="24"/>
                </w:rPr>
                <w:t>http://www.vtpi.org</w:t>
              </w:r>
            </w:hyperlink>
          </w:p>
          <w:p w:rsidR="00225952" w:rsidRPr="005324D7" w:rsidRDefault="00745389" w:rsidP="00225952">
            <w:pPr>
              <w:autoSpaceDE w:val="0"/>
              <w:autoSpaceDN w:val="0"/>
              <w:adjustRightInd w:val="0"/>
              <w:ind w:firstLine="698"/>
              <w:rPr>
                <w:sz w:val="28"/>
                <w:szCs w:val="24"/>
              </w:rPr>
            </w:pPr>
            <w:hyperlink r:id="rId249" w:history="1">
              <w:r w:rsidR="00225952" w:rsidRPr="005324D7">
                <w:rPr>
                  <w:rStyle w:val="Hyperlink"/>
                  <w:sz w:val="24"/>
                  <w:szCs w:val="24"/>
                </w:rPr>
                <w:t>http://www.walkable.org</w:t>
              </w:r>
            </w:hyperlink>
          </w:p>
          <w:p w:rsidR="00225952" w:rsidRPr="005324D7" w:rsidRDefault="00745389" w:rsidP="00225952">
            <w:pPr>
              <w:ind w:firstLine="698"/>
              <w:rPr>
                <w:sz w:val="24"/>
              </w:rPr>
            </w:pPr>
            <w:hyperlink r:id="rId250" w:history="1">
              <w:r w:rsidR="00225952" w:rsidRPr="005324D7">
                <w:rPr>
                  <w:rStyle w:val="Hyperlink"/>
                  <w:sz w:val="24"/>
                  <w:szCs w:val="24"/>
                </w:rPr>
                <w:t>http://www.arb.ca.gov</w:t>
              </w:r>
            </w:hyperlink>
          </w:p>
          <w:p w:rsidR="00225952" w:rsidRPr="005324D7" w:rsidRDefault="00745389" w:rsidP="00225952">
            <w:pPr>
              <w:ind w:firstLine="698"/>
              <w:rPr>
                <w:sz w:val="28"/>
                <w:szCs w:val="24"/>
              </w:rPr>
            </w:pPr>
            <w:hyperlink r:id="rId251" w:history="1">
              <w:r w:rsidR="00225952" w:rsidRPr="005324D7">
                <w:rPr>
                  <w:rStyle w:val="Hyperlink"/>
                  <w:sz w:val="24"/>
                  <w:szCs w:val="24"/>
                </w:rPr>
                <w:t>http://www.sandiego.gov/planning/programs/transportation/mobility/index.shtml</w:t>
              </w:r>
            </w:hyperlink>
          </w:p>
          <w:p w:rsidR="00225952" w:rsidRPr="00E420C9" w:rsidRDefault="00745389" w:rsidP="00225952">
            <w:pPr>
              <w:ind w:firstLine="698"/>
              <w:rPr>
                <w:sz w:val="24"/>
                <w:szCs w:val="24"/>
              </w:rPr>
            </w:pPr>
            <w:hyperlink r:id="rId252" w:history="1">
              <w:r w:rsidR="00225952" w:rsidRPr="005324D7">
                <w:rPr>
                  <w:rStyle w:val="Hyperlink"/>
                  <w:sz w:val="24"/>
                  <w:szCs w:val="24"/>
                </w:rPr>
                <w:t>http://www.cityofventura.net/mobility</w:t>
              </w:r>
            </w:hyperlink>
          </w:p>
        </w:tc>
      </w:tr>
    </w:tbl>
    <w:p w:rsidR="00225952" w:rsidRDefault="00225952" w:rsidP="00225952">
      <w:pPr>
        <w:pStyle w:val="Resource"/>
        <w:rPr>
          <w:color w:val="1D1B11"/>
          <w:sz w:val="28"/>
        </w:rPr>
        <w:sectPr w:rsidR="00225952" w:rsidSect="00992EDA">
          <w:headerReference w:type="default" r:id="rId253"/>
          <w:type w:val="continuous"/>
          <w:pgSz w:w="12240" w:h="15840"/>
          <w:pgMar w:top="1440" w:right="720" w:bottom="1440" w:left="1152" w:header="720" w:footer="720" w:gutter="0"/>
          <w:cols w:space="720"/>
          <w:docGrid w:linePitch="360"/>
        </w:sectPr>
      </w:pPr>
    </w:p>
    <w:p w:rsidR="00225952" w:rsidRDefault="00225952" w:rsidP="00225952"/>
    <w:p w:rsidR="00225952" w:rsidRDefault="00225952" w:rsidP="00225952"/>
    <w:p w:rsidR="00225952" w:rsidRDefault="00225952" w:rsidP="00225952">
      <w:pPr>
        <w:sectPr w:rsidR="00225952" w:rsidSect="00832911">
          <w:type w:val="continuous"/>
          <w:pgSz w:w="12240" w:h="15840"/>
          <w:pgMar w:top="1440" w:right="720" w:bottom="1440" w:left="1152" w:header="720" w:footer="720" w:gutter="0"/>
          <w:cols w:space="720"/>
          <w:docGrid w:linePitch="360"/>
        </w:sectPr>
      </w:pPr>
    </w:p>
    <w:tbl>
      <w:tblPr>
        <w:tblW w:w="9899" w:type="dxa"/>
        <w:tblInd w:w="112" w:type="dxa"/>
        <w:tblLayout w:type="fixed"/>
        <w:tblCellMar>
          <w:left w:w="115" w:type="dxa"/>
          <w:right w:w="115" w:type="dxa"/>
        </w:tblCellMar>
        <w:tblLook w:val="0000"/>
      </w:tblPr>
      <w:tblGrid>
        <w:gridCol w:w="2215"/>
        <w:gridCol w:w="7684"/>
      </w:tblGrid>
      <w:tr w:rsidR="00225952" w:rsidRPr="007C475C" w:rsidTr="00225952">
        <w:tc>
          <w:tcPr>
            <w:tcW w:w="9899" w:type="dxa"/>
            <w:gridSpan w:val="2"/>
          </w:tcPr>
          <w:p w:rsidR="00225952" w:rsidRDefault="00225952" w:rsidP="00225952">
            <w:pPr>
              <w:pStyle w:val="Resource"/>
            </w:pPr>
            <w:bookmarkStart w:id="221" w:name="R7"/>
            <w:bookmarkStart w:id="222" w:name="_Toc263447898"/>
            <w:bookmarkEnd w:id="221"/>
            <w:r>
              <w:rPr>
                <w:color w:val="1D1B11"/>
                <w:sz w:val="28"/>
              </w:rPr>
              <w:lastRenderedPageBreak/>
              <w:t>Resource Guide</w:t>
            </w:r>
            <w:r w:rsidRPr="00E420C9">
              <w:rPr>
                <w:color w:val="1D1B11"/>
                <w:sz w:val="28"/>
              </w:rPr>
              <w:t xml:space="preserve"> 7</w:t>
            </w:r>
            <w:r>
              <w:rPr>
                <w:color w:val="1D1B11"/>
                <w:sz w:val="28"/>
              </w:rPr>
              <w:t>.</w:t>
            </w:r>
            <w:r w:rsidRPr="00E420C9">
              <w:rPr>
                <w:sz w:val="28"/>
              </w:rPr>
              <w:t xml:space="preserve">  Reviews of Other Plan Elements</w:t>
            </w:r>
            <w:bookmarkEnd w:id="222"/>
          </w:p>
        </w:tc>
      </w:tr>
      <w:tr w:rsidR="005324D7" w:rsidRPr="007C475C" w:rsidTr="005600AB">
        <w:tc>
          <w:tcPr>
            <w:tcW w:w="9899" w:type="dxa"/>
            <w:gridSpan w:val="2"/>
          </w:tcPr>
          <w:p w:rsidR="005324D7" w:rsidRPr="005324D7" w:rsidRDefault="005324D7" w:rsidP="005324D7">
            <w:pPr>
              <w:spacing w:before="120"/>
              <w:ind w:left="698"/>
              <w:rPr>
                <w:sz w:val="24"/>
              </w:rPr>
            </w:pPr>
            <w:r w:rsidRPr="005324D7">
              <w:rPr>
                <w:bCs/>
                <w:sz w:val="24"/>
              </w:rPr>
              <w:t xml:space="preserve">For further guidelines regarding review criteria and required LOS standards, refer to </w:t>
            </w:r>
            <w:r w:rsidRPr="005324D7">
              <w:rPr>
                <w:sz w:val="24"/>
              </w:rPr>
              <w:t>Section 9 of the FDOT District Five</w:t>
            </w:r>
            <w:hyperlink r:id="rId254" w:history="1">
              <w:r w:rsidRPr="005324D7">
                <w:rPr>
                  <w:rStyle w:val="Hyperlink"/>
                  <w:rFonts w:cstheme="minorBidi"/>
                  <w:sz w:val="24"/>
                </w:rPr>
                <w:t xml:space="preserve">, </w:t>
              </w:r>
              <w:r w:rsidRPr="005324D7">
                <w:rPr>
                  <w:rStyle w:val="Hyperlink"/>
                  <w:rFonts w:cstheme="minorBidi"/>
                  <w:i/>
                  <w:sz w:val="24"/>
                </w:rPr>
                <w:t>Local Government Comprehensive Planning Review Guidelines</w:t>
              </w:r>
            </w:hyperlink>
            <w:r w:rsidRPr="005324D7">
              <w:rPr>
                <w:sz w:val="24"/>
              </w:rPr>
              <w:t xml:space="preserve">, 2007, and </w:t>
            </w:r>
            <w:r w:rsidRPr="005324D7">
              <w:rPr>
                <w:i/>
                <w:sz w:val="24"/>
              </w:rPr>
              <w:t xml:space="preserve">Applicability of Standards </w:t>
            </w:r>
            <w:r w:rsidRPr="005324D7">
              <w:rPr>
                <w:sz w:val="24"/>
              </w:rPr>
              <w:t xml:space="preserve">For Roadway LOS Analysis, (CH 8.1 of </w:t>
            </w:r>
            <w:hyperlink r:id="rId255" w:history="1">
              <w:r w:rsidRPr="005324D7">
                <w:rPr>
                  <w:rStyle w:val="Hyperlink"/>
                  <w:rFonts w:cstheme="minorBidi"/>
                  <w:sz w:val="24"/>
                </w:rPr>
                <w:t>Quality/Level of Service Handbook</w:t>
              </w:r>
            </w:hyperlink>
            <w:r w:rsidRPr="005324D7">
              <w:rPr>
                <w:sz w:val="24"/>
              </w:rPr>
              <w:t xml:space="preserve">) respectively. </w:t>
            </w:r>
          </w:p>
          <w:p w:rsidR="005324D7" w:rsidRPr="005324D7" w:rsidRDefault="005324D7" w:rsidP="005324D7">
            <w:pPr>
              <w:autoSpaceDE w:val="0"/>
              <w:autoSpaceDN w:val="0"/>
              <w:adjustRightInd w:val="0"/>
              <w:ind w:left="698"/>
              <w:rPr>
                <w:sz w:val="28"/>
                <w:szCs w:val="24"/>
              </w:rPr>
            </w:pPr>
            <w:r w:rsidRPr="005324D7">
              <w:rPr>
                <w:i/>
                <w:sz w:val="24"/>
                <w:szCs w:val="24"/>
              </w:rPr>
              <w:t>Note</w:t>
            </w:r>
            <w:r w:rsidRPr="005324D7">
              <w:rPr>
                <w:sz w:val="24"/>
                <w:szCs w:val="24"/>
              </w:rPr>
              <w:t>: FDOT has not officially adopted the District 5 document.</w:t>
            </w:r>
          </w:p>
          <w:p w:rsidR="005324D7" w:rsidRDefault="005324D7" w:rsidP="00225952">
            <w:pPr>
              <w:autoSpaceDE w:val="0"/>
              <w:autoSpaceDN w:val="0"/>
              <w:adjustRightInd w:val="0"/>
            </w:pPr>
          </w:p>
        </w:tc>
      </w:tr>
      <w:tr w:rsidR="00225952" w:rsidRPr="007C475C" w:rsidTr="00225952">
        <w:tc>
          <w:tcPr>
            <w:tcW w:w="2215" w:type="dxa"/>
          </w:tcPr>
          <w:p w:rsidR="00225952" w:rsidRPr="008956F2" w:rsidRDefault="00225952" w:rsidP="00225952">
            <w:pPr>
              <w:pStyle w:val="HeadSideMain"/>
            </w:pPr>
          </w:p>
        </w:tc>
        <w:tc>
          <w:tcPr>
            <w:tcW w:w="7684" w:type="dxa"/>
          </w:tcPr>
          <w:p w:rsidR="00225952" w:rsidRPr="008B3FF5" w:rsidRDefault="00225952" w:rsidP="00225952">
            <w:pPr>
              <w:autoSpaceDE w:val="0"/>
              <w:autoSpaceDN w:val="0"/>
              <w:adjustRightInd w:val="0"/>
              <w:rPr>
                <w:bCs/>
                <w:sz w:val="24"/>
                <w:szCs w:val="24"/>
              </w:rPr>
            </w:pPr>
          </w:p>
        </w:tc>
      </w:tr>
    </w:tbl>
    <w:p w:rsidR="00225952" w:rsidRDefault="00225952" w:rsidP="00225952">
      <w:pPr>
        <w:sectPr w:rsidR="00225952" w:rsidSect="00832911">
          <w:type w:val="continuous"/>
          <w:pgSz w:w="12240" w:h="15840"/>
          <w:pgMar w:top="1440" w:right="720" w:bottom="1440" w:left="1152" w:header="720" w:footer="720" w:gutter="0"/>
          <w:cols w:space="720"/>
          <w:docGrid w:linePitch="360"/>
        </w:sect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790"/>
        <w:gridCol w:w="3415"/>
        <w:gridCol w:w="2818"/>
        <w:gridCol w:w="1165"/>
      </w:tblGrid>
      <w:tr w:rsidR="00225952" w:rsidRPr="009C28E0" w:rsidTr="00225952">
        <w:tc>
          <w:tcPr>
            <w:tcW w:w="10188" w:type="dxa"/>
            <w:gridSpan w:val="4"/>
            <w:tcBorders>
              <w:top w:val="nil"/>
              <w:left w:val="nil"/>
              <w:right w:val="nil"/>
            </w:tcBorders>
          </w:tcPr>
          <w:p w:rsidR="00225952" w:rsidRPr="009C28E0" w:rsidRDefault="00225952" w:rsidP="009A5DBF">
            <w:pPr>
              <w:pStyle w:val="Resource"/>
              <w:outlineLvl w:val="1"/>
              <w:rPr>
                <w:sz w:val="20"/>
              </w:rPr>
            </w:pPr>
            <w:bookmarkStart w:id="223" w:name="R8"/>
            <w:bookmarkStart w:id="224" w:name="_Toc263447899"/>
            <w:bookmarkStart w:id="225" w:name="_Toc264274143"/>
            <w:bookmarkEnd w:id="223"/>
            <w:r>
              <w:rPr>
                <w:color w:val="1D1B11"/>
                <w:sz w:val="28"/>
              </w:rPr>
              <w:lastRenderedPageBreak/>
              <w:t>Resource Guide</w:t>
            </w:r>
            <w:r w:rsidRPr="00E420C9">
              <w:rPr>
                <w:color w:val="1D1B11"/>
                <w:sz w:val="28"/>
              </w:rPr>
              <w:t xml:space="preserve"> 8</w:t>
            </w:r>
            <w:r>
              <w:rPr>
                <w:color w:val="1D1B11"/>
                <w:sz w:val="28"/>
              </w:rPr>
              <w:t xml:space="preserve">. </w:t>
            </w:r>
            <w:r w:rsidRPr="00E420C9">
              <w:rPr>
                <w:sz w:val="28"/>
              </w:rPr>
              <w:t xml:space="preserve"> LGCP Amendment Review Checklist</w:t>
            </w:r>
            <w:bookmarkEnd w:id="224"/>
            <w:bookmarkEnd w:id="225"/>
          </w:p>
        </w:tc>
      </w:tr>
      <w:tr w:rsidR="00225952" w:rsidRPr="009C28E0" w:rsidTr="00225952">
        <w:tc>
          <w:tcPr>
            <w:tcW w:w="2790" w:type="dxa"/>
            <w:tcBorders>
              <w:bottom w:val="single" w:sz="12" w:space="0" w:color="000000"/>
            </w:tcBorders>
          </w:tcPr>
          <w:p w:rsidR="00225952" w:rsidRPr="009C28E0" w:rsidRDefault="00225952" w:rsidP="00225952">
            <w:pPr>
              <w:spacing w:after="0"/>
              <w:rPr>
                <w:i/>
                <w:sz w:val="18"/>
              </w:rPr>
            </w:pPr>
            <w:r w:rsidRPr="009C28E0">
              <w:rPr>
                <w:i/>
                <w:sz w:val="18"/>
              </w:rPr>
              <w:t>Project</w:t>
            </w:r>
          </w:p>
        </w:tc>
        <w:tc>
          <w:tcPr>
            <w:tcW w:w="3415" w:type="dxa"/>
            <w:tcBorders>
              <w:bottom w:val="single" w:sz="12" w:space="0" w:color="000000"/>
            </w:tcBorders>
          </w:tcPr>
          <w:p w:rsidR="00225952" w:rsidRPr="009C28E0" w:rsidRDefault="00225952" w:rsidP="00225952">
            <w:pPr>
              <w:spacing w:after="0"/>
              <w:rPr>
                <w:i/>
                <w:sz w:val="18"/>
              </w:rPr>
            </w:pPr>
            <w:r w:rsidRPr="009C28E0">
              <w:rPr>
                <w:i/>
                <w:sz w:val="18"/>
              </w:rPr>
              <w:t>Reviewer</w:t>
            </w:r>
          </w:p>
        </w:tc>
        <w:tc>
          <w:tcPr>
            <w:tcW w:w="3983" w:type="dxa"/>
            <w:gridSpan w:val="2"/>
            <w:tcBorders>
              <w:bottom w:val="single" w:sz="12" w:space="0" w:color="000000"/>
            </w:tcBorders>
          </w:tcPr>
          <w:p w:rsidR="00225952" w:rsidRPr="009C28E0" w:rsidRDefault="00225952" w:rsidP="00225952">
            <w:pPr>
              <w:spacing w:after="0"/>
              <w:rPr>
                <w:i/>
                <w:sz w:val="18"/>
              </w:rPr>
            </w:pPr>
            <w:r w:rsidRPr="009C28E0">
              <w:rPr>
                <w:i/>
                <w:sz w:val="18"/>
              </w:rPr>
              <w:t>Date of Review:</w:t>
            </w:r>
          </w:p>
          <w:p w:rsidR="00225952" w:rsidRPr="009C28E0" w:rsidRDefault="00225952" w:rsidP="00225952">
            <w:pPr>
              <w:spacing w:after="0"/>
              <w:rPr>
                <w:i/>
                <w:sz w:val="18"/>
              </w:rPr>
            </w:pPr>
            <w:r w:rsidRPr="009C28E0">
              <w:rPr>
                <w:i/>
                <w:sz w:val="18"/>
              </w:rPr>
              <w:t>Comments Due:</w:t>
            </w:r>
          </w:p>
        </w:tc>
      </w:tr>
      <w:tr w:rsidR="00225952" w:rsidRPr="009C28E0" w:rsidTr="00225952">
        <w:tc>
          <w:tcPr>
            <w:tcW w:w="9023" w:type="dxa"/>
            <w:gridSpan w:val="3"/>
            <w:tcBorders>
              <w:top w:val="single" w:sz="12" w:space="0" w:color="000000"/>
              <w:right w:val="nil"/>
            </w:tcBorders>
            <w:shd w:val="clear" w:color="auto" w:fill="DBE5F1"/>
          </w:tcPr>
          <w:p w:rsidR="00225952" w:rsidRPr="009C28E0" w:rsidRDefault="00225952" w:rsidP="00225952">
            <w:pPr>
              <w:spacing w:after="0"/>
              <w:ind w:left="252" w:hanging="252"/>
              <w:rPr>
                <w:sz w:val="20"/>
              </w:rPr>
            </w:pPr>
            <w:r w:rsidRPr="00A85FF1">
              <w:rPr>
                <w:b/>
              </w:rPr>
              <w:t xml:space="preserve">LGCP Amendment Review Checklist            </w:t>
            </w:r>
          </w:p>
        </w:tc>
        <w:tc>
          <w:tcPr>
            <w:tcW w:w="1165" w:type="dxa"/>
            <w:tcBorders>
              <w:top w:val="single" w:sz="12" w:space="0" w:color="000000"/>
              <w:left w:val="nil"/>
            </w:tcBorders>
            <w:vAlign w:val="center"/>
          </w:tcPr>
          <w:p w:rsidR="00225952" w:rsidRPr="009C28E0" w:rsidRDefault="00225952" w:rsidP="00225952">
            <w:pPr>
              <w:spacing w:after="0"/>
              <w:jc w:val="center"/>
              <w:rPr>
                <w:noProof/>
                <w:sz w:val="18"/>
              </w:rPr>
            </w:pPr>
            <w:r w:rsidRPr="009C28E0">
              <w:rPr>
                <w:noProof/>
                <w:color w:val="4F6228"/>
                <w:sz w:val="18"/>
              </w:rPr>
              <w:t xml:space="preserve">Y  </w:t>
            </w:r>
            <w:r w:rsidRPr="009C28E0">
              <w:rPr>
                <w:noProof/>
                <w:sz w:val="18"/>
              </w:rPr>
              <w:t xml:space="preserve"> </w:t>
            </w:r>
            <w:r w:rsidRPr="009C28E0">
              <w:rPr>
                <w:noProof/>
                <w:color w:val="C00000"/>
                <w:sz w:val="18"/>
              </w:rPr>
              <w:t>N</w:t>
            </w:r>
            <w:r w:rsidRPr="009C28E0">
              <w:rPr>
                <w:noProof/>
                <w:sz w:val="18"/>
              </w:rPr>
              <w:t xml:space="preserve">  </w:t>
            </w:r>
            <w:r w:rsidRPr="009C28E0">
              <w:rPr>
                <w:noProof/>
                <w:color w:val="7F7F7F"/>
                <w:sz w:val="18"/>
              </w:rPr>
              <w:t>N/A</w:t>
            </w:r>
          </w:p>
        </w:tc>
      </w:tr>
      <w:tr w:rsidR="00225952" w:rsidTr="00225952">
        <w:tc>
          <w:tcPr>
            <w:tcW w:w="2790" w:type="dxa"/>
            <w:vMerge w:val="restart"/>
            <w:tcBorders>
              <w:right w:val="nil"/>
            </w:tcBorders>
          </w:tcPr>
          <w:p w:rsidR="00225952" w:rsidRPr="00A674A5" w:rsidRDefault="00225952" w:rsidP="00482F7F">
            <w:pPr>
              <w:pStyle w:val="CheckA"/>
              <w:jc w:val="left"/>
            </w:pPr>
            <w:r w:rsidRPr="00A674A5">
              <w:t>A.</w:t>
            </w:r>
            <w:r w:rsidRPr="00A674A5">
              <w:tab/>
              <w:t>Study area boundaries established</w:t>
            </w:r>
          </w:p>
        </w:tc>
        <w:tc>
          <w:tcPr>
            <w:tcW w:w="6233" w:type="dxa"/>
            <w:gridSpan w:val="2"/>
            <w:tcBorders>
              <w:left w:val="nil"/>
              <w:right w:val="nil"/>
            </w:tcBorders>
            <w:vAlign w:val="center"/>
          </w:tcPr>
          <w:p w:rsidR="00225952" w:rsidRPr="00A674A5" w:rsidRDefault="00225952" w:rsidP="00225952">
            <w:pPr>
              <w:spacing w:after="0"/>
              <w:ind w:left="252" w:hanging="252"/>
              <w:rPr>
                <w:sz w:val="19"/>
                <w:szCs w:val="19"/>
              </w:rPr>
            </w:pPr>
            <w:r w:rsidRPr="00A674A5">
              <w:rPr>
                <w:sz w:val="19"/>
                <w:szCs w:val="19"/>
              </w:rPr>
              <w:t xml:space="preserve"> 1.  Include all significantly impacted SHS segments under proposed FLUM amendment land use scenario, including those located outside the jurisdiction of entity pursuing amendments?</w:t>
            </w:r>
          </w:p>
        </w:tc>
        <w:tc>
          <w:tcPr>
            <w:tcW w:w="1165" w:type="dxa"/>
            <w:tcBorders>
              <w:left w:val="nil"/>
            </w:tcBorders>
            <w:vAlign w:val="center"/>
          </w:tcPr>
          <w:p w:rsidR="00225952" w:rsidRDefault="00225952" w:rsidP="00225952">
            <w:pPr>
              <w:spacing w:after="0"/>
              <w:jc w:val="center"/>
            </w:pPr>
            <w:r w:rsidRPr="003F0D4C">
              <w:rPr>
                <w:noProof/>
              </w:rPr>
              <w:drawing>
                <wp:inline distT="0" distB="0" distL="0" distR="0">
                  <wp:extent cx="466344" cy="149396"/>
                  <wp:effectExtent l="19050" t="0" r="0" b="0"/>
                  <wp:docPr id="23" name="Picture 26" descr="radiobuttons.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iobuttons.emf"/>
                          <pic:cNvPicPr/>
                        </pic:nvPicPr>
                        <pic:blipFill>
                          <a:blip r:embed="rId256" cstate="print"/>
                          <a:stretch>
                            <a:fillRect/>
                          </a:stretch>
                        </pic:blipFill>
                        <pic:spPr>
                          <a:xfrm>
                            <a:off x="0" y="0"/>
                            <a:ext cx="466344" cy="149396"/>
                          </a:xfrm>
                          <a:prstGeom prst="rect">
                            <a:avLst/>
                          </a:prstGeom>
                        </pic:spPr>
                      </pic:pic>
                    </a:graphicData>
                  </a:graphic>
                </wp:inline>
              </w:drawing>
            </w:r>
          </w:p>
        </w:tc>
      </w:tr>
      <w:tr w:rsidR="00225952" w:rsidTr="00225952">
        <w:tc>
          <w:tcPr>
            <w:tcW w:w="2790" w:type="dxa"/>
            <w:vMerge/>
            <w:tcBorders>
              <w:right w:val="nil"/>
            </w:tcBorders>
          </w:tcPr>
          <w:p w:rsidR="00225952" w:rsidRPr="00A674A5" w:rsidRDefault="00225952" w:rsidP="00225952">
            <w:pPr>
              <w:spacing w:after="0" w:line="240" w:lineRule="auto"/>
              <w:ind w:left="360" w:hanging="270"/>
              <w:rPr>
                <w:sz w:val="20"/>
              </w:rPr>
            </w:pPr>
          </w:p>
        </w:tc>
        <w:tc>
          <w:tcPr>
            <w:tcW w:w="6233" w:type="dxa"/>
            <w:gridSpan w:val="2"/>
            <w:tcBorders>
              <w:left w:val="nil"/>
              <w:bottom w:val="single" w:sz="4" w:space="0" w:color="000000"/>
              <w:right w:val="nil"/>
            </w:tcBorders>
            <w:vAlign w:val="center"/>
          </w:tcPr>
          <w:p w:rsidR="00225952" w:rsidRPr="00A674A5" w:rsidRDefault="00225952" w:rsidP="00225952">
            <w:pPr>
              <w:spacing w:after="60"/>
              <w:ind w:left="252" w:hanging="252"/>
              <w:rPr>
                <w:sz w:val="19"/>
                <w:szCs w:val="19"/>
              </w:rPr>
            </w:pPr>
            <w:r w:rsidRPr="00A674A5">
              <w:rPr>
                <w:sz w:val="19"/>
                <w:szCs w:val="19"/>
              </w:rPr>
              <w:t>2.</w:t>
            </w:r>
            <w:r w:rsidRPr="00A674A5">
              <w:rPr>
                <w:sz w:val="19"/>
                <w:szCs w:val="19"/>
              </w:rPr>
              <w:tab/>
              <w:t>All SIS segments identified?</w:t>
            </w:r>
          </w:p>
        </w:tc>
        <w:tc>
          <w:tcPr>
            <w:tcW w:w="1165" w:type="dxa"/>
            <w:tcBorders>
              <w:left w:val="nil"/>
            </w:tcBorders>
            <w:vAlign w:val="center"/>
          </w:tcPr>
          <w:p w:rsidR="00225952" w:rsidRDefault="00225952" w:rsidP="00225952">
            <w:pPr>
              <w:spacing w:after="0"/>
              <w:jc w:val="center"/>
            </w:pPr>
            <w:r w:rsidRPr="003F0D4C">
              <w:rPr>
                <w:noProof/>
              </w:rPr>
              <w:drawing>
                <wp:inline distT="0" distB="0" distL="0" distR="0">
                  <wp:extent cx="466344" cy="149396"/>
                  <wp:effectExtent l="19050" t="0" r="0" b="0"/>
                  <wp:docPr id="26" name="Picture 26" descr="radiobuttons.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iobuttons.emf"/>
                          <pic:cNvPicPr/>
                        </pic:nvPicPr>
                        <pic:blipFill>
                          <a:blip r:embed="rId256" cstate="print"/>
                          <a:stretch>
                            <a:fillRect/>
                          </a:stretch>
                        </pic:blipFill>
                        <pic:spPr>
                          <a:xfrm>
                            <a:off x="0" y="0"/>
                            <a:ext cx="466344" cy="149396"/>
                          </a:xfrm>
                          <a:prstGeom prst="rect">
                            <a:avLst/>
                          </a:prstGeom>
                        </pic:spPr>
                      </pic:pic>
                    </a:graphicData>
                  </a:graphic>
                </wp:inline>
              </w:drawing>
            </w:r>
          </w:p>
        </w:tc>
      </w:tr>
      <w:tr w:rsidR="00225952" w:rsidTr="00225952">
        <w:trPr>
          <w:trHeight w:val="416"/>
        </w:trPr>
        <w:tc>
          <w:tcPr>
            <w:tcW w:w="2790" w:type="dxa"/>
            <w:vMerge w:val="restart"/>
            <w:tcBorders>
              <w:left w:val="single" w:sz="4" w:space="0" w:color="auto"/>
              <w:bottom w:val="single" w:sz="4" w:space="0" w:color="000000"/>
              <w:right w:val="nil"/>
            </w:tcBorders>
          </w:tcPr>
          <w:p w:rsidR="00225952" w:rsidRPr="00A674A5" w:rsidRDefault="00225952" w:rsidP="00482F7F">
            <w:pPr>
              <w:pStyle w:val="CheckA"/>
              <w:jc w:val="left"/>
            </w:pPr>
            <w:r w:rsidRPr="00A674A5">
              <w:t>B.</w:t>
            </w:r>
            <w:r w:rsidRPr="00A674A5">
              <w:tab/>
              <w:t>Transportation impacts for existing FLUM adequately defined for comparison use in review?</w:t>
            </w:r>
          </w:p>
        </w:tc>
        <w:tc>
          <w:tcPr>
            <w:tcW w:w="6233" w:type="dxa"/>
            <w:gridSpan w:val="2"/>
            <w:tcBorders>
              <w:left w:val="nil"/>
              <w:bottom w:val="single" w:sz="4" w:space="0" w:color="auto"/>
              <w:right w:val="nil"/>
            </w:tcBorders>
            <w:vAlign w:val="center"/>
          </w:tcPr>
          <w:p w:rsidR="00225952" w:rsidRPr="00A674A5" w:rsidRDefault="00225952" w:rsidP="00225952">
            <w:pPr>
              <w:spacing w:after="0"/>
              <w:ind w:left="252" w:hanging="252"/>
              <w:rPr>
                <w:sz w:val="19"/>
                <w:szCs w:val="19"/>
              </w:rPr>
            </w:pPr>
            <w:r w:rsidRPr="00A674A5">
              <w:rPr>
                <w:sz w:val="19"/>
                <w:szCs w:val="19"/>
              </w:rPr>
              <w:t>1.  Land use scenario defined for existing FLUM category which has mix, densities and intensities of primary and secondary permitted land uses representing a worst-case scenario?</w:t>
            </w:r>
          </w:p>
        </w:tc>
        <w:tc>
          <w:tcPr>
            <w:tcW w:w="1165" w:type="dxa"/>
            <w:tcBorders>
              <w:left w:val="nil"/>
              <w:right w:val="single" w:sz="4" w:space="0" w:color="auto"/>
            </w:tcBorders>
          </w:tcPr>
          <w:p w:rsidR="00225952" w:rsidRDefault="00225952" w:rsidP="00225952">
            <w:pPr>
              <w:spacing w:after="0"/>
              <w:jc w:val="center"/>
            </w:pPr>
            <w:r w:rsidRPr="003F0D4C">
              <w:rPr>
                <w:noProof/>
              </w:rPr>
              <w:drawing>
                <wp:inline distT="0" distB="0" distL="0" distR="0">
                  <wp:extent cx="466344" cy="149396"/>
                  <wp:effectExtent l="19050" t="0" r="0" b="0"/>
                  <wp:docPr id="27" name="Picture 26" descr="radiobuttons.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iobuttons.emf"/>
                          <pic:cNvPicPr/>
                        </pic:nvPicPr>
                        <pic:blipFill>
                          <a:blip r:embed="rId256" cstate="print"/>
                          <a:stretch>
                            <a:fillRect/>
                          </a:stretch>
                        </pic:blipFill>
                        <pic:spPr>
                          <a:xfrm>
                            <a:off x="0" y="0"/>
                            <a:ext cx="466344" cy="149396"/>
                          </a:xfrm>
                          <a:prstGeom prst="rect">
                            <a:avLst/>
                          </a:prstGeom>
                        </pic:spPr>
                      </pic:pic>
                    </a:graphicData>
                  </a:graphic>
                </wp:inline>
              </w:drawing>
            </w:r>
          </w:p>
        </w:tc>
      </w:tr>
      <w:tr w:rsidR="00225952" w:rsidTr="00225952">
        <w:trPr>
          <w:trHeight w:val="287"/>
        </w:trPr>
        <w:tc>
          <w:tcPr>
            <w:tcW w:w="2790" w:type="dxa"/>
            <w:vMerge/>
            <w:tcBorders>
              <w:left w:val="single" w:sz="4" w:space="0" w:color="auto"/>
              <w:bottom w:val="single" w:sz="4" w:space="0" w:color="000000"/>
              <w:right w:val="nil"/>
            </w:tcBorders>
          </w:tcPr>
          <w:p w:rsidR="00225952" w:rsidRPr="00A674A5" w:rsidRDefault="00225952" w:rsidP="00225952">
            <w:pPr>
              <w:pStyle w:val="CheckA"/>
            </w:pPr>
          </w:p>
        </w:tc>
        <w:tc>
          <w:tcPr>
            <w:tcW w:w="6233" w:type="dxa"/>
            <w:gridSpan w:val="2"/>
            <w:tcBorders>
              <w:left w:val="nil"/>
              <w:bottom w:val="single" w:sz="4" w:space="0" w:color="auto"/>
              <w:right w:val="nil"/>
            </w:tcBorders>
            <w:vAlign w:val="center"/>
          </w:tcPr>
          <w:p w:rsidR="00225952" w:rsidRPr="00A674A5" w:rsidRDefault="005A4DAF" w:rsidP="00225952">
            <w:pPr>
              <w:spacing w:after="0"/>
              <w:ind w:left="252" w:hanging="252"/>
              <w:rPr>
                <w:sz w:val="19"/>
                <w:szCs w:val="19"/>
              </w:rPr>
            </w:pPr>
            <w:r>
              <w:rPr>
                <w:sz w:val="19"/>
                <w:szCs w:val="19"/>
              </w:rPr>
              <w:tab/>
              <w:t xml:space="preserve">a.   </w:t>
            </w:r>
            <w:r w:rsidR="00225952" w:rsidRPr="00A674A5">
              <w:rPr>
                <w:sz w:val="19"/>
                <w:szCs w:val="19"/>
              </w:rPr>
              <w:t>Assumptions fully documented?</w:t>
            </w:r>
          </w:p>
        </w:tc>
        <w:tc>
          <w:tcPr>
            <w:tcW w:w="1165" w:type="dxa"/>
            <w:tcBorders>
              <w:left w:val="nil"/>
              <w:right w:val="single" w:sz="4" w:space="0" w:color="auto"/>
            </w:tcBorders>
          </w:tcPr>
          <w:p w:rsidR="00225952" w:rsidRDefault="00225952" w:rsidP="00225952">
            <w:pPr>
              <w:spacing w:after="0"/>
              <w:jc w:val="center"/>
              <w:rPr>
                <w:noProof/>
              </w:rPr>
            </w:pPr>
            <w:r>
              <w:rPr>
                <w:noProof/>
              </w:rPr>
              <w:drawing>
                <wp:inline distT="0" distB="0" distL="0" distR="0">
                  <wp:extent cx="466344" cy="149396"/>
                  <wp:effectExtent l="19050" t="0" r="0" b="0"/>
                  <wp:docPr id="28" name="Picture 26" descr="radiobuttons.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iobuttons.emf"/>
                          <pic:cNvPicPr/>
                        </pic:nvPicPr>
                        <pic:blipFill>
                          <a:blip r:embed="rId256" cstate="print"/>
                          <a:stretch>
                            <a:fillRect/>
                          </a:stretch>
                        </pic:blipFill>
                        <pic:spPr>
                          <a:xfrm>
                            <a:off x="0" y="0"/>
                            <a:ext cx="466344" cy="149396"/>
                          </a:xfrm>
                          <a:prstGeom prst="rect">
                            <a:avLst/>
                          </a:prstGeom>
                        </pic:spPr>
                      </pic:pic>
                    </a:graphicData>
                  </a:graphic>
                </wp:inline>
              </w:drawing>
            </w:r>
          </w:p>
        </w:tc>
      </w:tr>
      <w:tr w:rsidR="00225952" w:rsidTr="00225952">
        <w:trPr>
          <w:trHeight w:val="416"/>
        </w:trPr>
        <w:tc>
          <w:tcPr>
            <w:tcW w:w="2790" w:type="dxa"/>
            <w:vMerge/>
            <w:tcBorders>
              <w:left w:val="single" w:sz="4" w:space="0" w:color="auto"/>
              <w:bottom w:val="single" w:sz="4" w:space="0" w:color="000000"/>
              <w:right w:val="nil"/>
            </w:tcBorders>
          </w:tcPr>
          <w:p w:rsidR="00225952" w:rsidRPr="00A674A5" w:rsidRDefault="00225952" w:rsidP="00225952">
            <w:pPr>
              <w:pStyle w:val="CheckA"/>
            </w:pPr>
          </w:p>
        </w:tc>
        <w:tc>
          <w:tcPr>
            <w:tcW w:w="6233" w:type="dxa"/>
            <w:gridSpan w:val="2"/>
            <w:tcBorders>
              <w:left w:val="nil"/>
              <w:bottom w:val="single" w:sz="4" w:space="0" w:color="auto"/>
              <w:right w:val="nil"/>
            </w:tcBorders>
            <w:vAlign w:val="center"/>
          </w:tcPr>
          <w:p w:rsidR="00225952" w:rsidRPr="00A674A5" w:rsidRDefault="005A4DAF" w:rsidP="00225952">
            <w:pPr>
              <w:spacing w:after="0"/>
              <w:ind w:left="252" w:hanging="252"/>
              <w:rPr>
                <w:sz w:val="19"/>
                <w:szCs w:val="19"/>
              </w:rPr>
            </w:pPr>
            <w:r>
              <w:rPr>
                <w:sz w:val="19"/>
                <w:szCs w:val="19"/>
              </w:rPr>
              <w:tab/>
              <w:t xml:space="preserve">b.  </w:t>
            </w:r>
            <w:r w:rsidR="00225952" w:rsidRPr="00A674A5">
              <w:rPr>
                <w:sz w:val="19"/>
                <w:szCs w:val="19"/>
              </w:rPr>
              <w:t>Trip-generating characte</w:t>
            </w:r>
            <w:r>
              <w:rPr>
                <w:sz w:val="19"/>
                <w:szCs w:val="19"/>
              </w:rPr>
              <w:t xml:space="preserve">ristics of the existing FLUM </w:t>
            </w:r>
            <w:r>
              <w:rPr>
                <w:sz w:val="19"/>
                <w:szCs w:val="19"/>
              </w:rPr>
              <w:br/>
              <w:t xml:space="preserve">      </w:t>
            </w:r>
            <w:r w:rsidR="00225952" w:rsidRPr="00A674A5">
              <w:rPr>
                <w:sz w:val="19"/>
                <w:szCs w:val="19"/>
              </w:rPr>
              <w:t>Land Use Scenario shown?</w:t>
            </w:r>
          </w:p>
        </w:tc>
        <w:tc>
          <w:tcPr>
            <w:tcW w:w="1165" w:type="dxa"/>
            <w:tcBorders>
              <w:left w:val="nil"/>
              <w:right w:val="single" w:sz="4" w:space="0" w:color="auto"/>
            </w:tcBorders>
          </w:tcPr>
          <w:p w:rsidR="00225952" w:rsidRDefault="00225952" w:rsidP="00225952">
            <w:pPr>
              <w:spacing w:after="0"/>
              <w:jc w:val="center"/>
              <w:rPr>
                <w:noProof/>
              </w:rPr>
            </w:pPr>
            <w:r w:rsidRPr="003F0D4C">
              <w:rPr>
                <w:noProof/>
              </w:rPr>
              <w:drawing>
                <wp:inline distT="0" distB="0" distL="0" distR="0">
                  <wp:extent cx="466344" cy="149396"/>
                  <wp:effectExtent l="19050" t="0" r="0" b="0"/>
                  <wp:docPr id="29" name="Picture 26" descr="radiobuttons.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iobuttons.emf"/>
                          <pic:cNvPicPr/>
                        </pic:nvPicPr>
                        <pic:blipFill>
                          <a:blip r:embed="rId256" cstate="print"/>
                          <a:stretch>
                            <a:fillRect/>
                          </a:stretch>
                        </pic:blipFill>
                        <pic:spPr>
                          <a:xfrm>
                            <a:off x="0" y="0"/>
                            <a:ext cx="466344" cy="149396"/>
                          </a:xfrm>
                          <a:prstGeom prst="rect">
                            <a:avLst/>
                          </a:prstGeom>
                        </pic:spPr>
                      </pic:pic>
                    </a:graphicData>
                  </a:graphic>
                </wp:inline>
              </w:drawing>
            </w:r>
          </w:p>
        </w:tc>
      </w:tr>
      <w:tr w:rsidR="00225952" w:rsidTr="00225952">
        <w:trPr>
          <w:trHeight w:val="416"/>
        </w:trPr>
        <w:tc>
          <w:tcPr>
            <w:tcW w:w="2790" w:type="dxa"/>
            <w:vMerge/>
            <w:tcBorders>
              <w:left w:val="single" w:sz="4" w:space="0" w:color="auto"/>
              <w:bottom w:val="single" w:sz="4" w:space="0" w:color="000000"/>
              <w:right w:val="nil"/>
            </w:tcBorders>
          </w:tcPr>
          <w:p w:rsidR="00225952" w:rsidRPr="00A674A5" w:rsidRDefault="00225952" w:rsidP="00225952">
            <w:pPr>
              <w:pStyle w:val="CheckA"/>
            </w:pPr>
          </w:p>
        </w:tc>
        <w:tc>
          <w:tcPr>
            <w:tcW w:w="6233" w:type="dxa"/>
            <w:gridSpan w:val="2"/>
            <w:tcBorders>
              <w:left w:val="nil"/>
              <w:bottom w:val="single" w:sz="4" w:space="0" w:color="auto"/>
              <w:right w:val="nil"/>
            </w:tcBorders>
            <w:vAlign w:val="center"/>
          </w:tcPr>
          <w:p w:rsidR="00225952" w:rsidRPr="00A674A5" w:rsidRDefault="00225952" w:rsidP="00225952">
            <w:pPr>
              <w:spacing w:after="0"/>
              <w:ind w:left="252" w:hanging="252"/>
              <w:rPr>
                <w:sz w:val="19"/>
                <w:szCs w:val="19"/>
              </w:rPr>
            </w:pPr>
            <w:r w:rsidRPr="00A674A5">
              <w:rPr>
                <w:sz w:val="19"/>
                <w:szCs w:val="19"/>
              </w:rPr>
              <w:t>2.</w:t>
            </w:r>
            <w:r w:rsidRPr="00A674A5">
              <w:rPr>
                <w:sz w:val="19"/>
                <w:szCs w:val="19"/>
              </w:rPr>
              <w:tab/>
              <w:t>Acceptable method employed to determine distribution of trips for existing FLUM Land Use Scenarios?</w:t>
            </w:r>
          </w:p>
        </w:tc>
        <w:tc>
          <w:tcPr>
            <w:tcW w:w="1165" w:type="dxa"/>
            <w:tcBorders>
              <w:left w:val="nil"/>
              <w:right w:val="single" w:sz="4" w:space="0" w:color="auto"/>
            </w:tcBorders>
          </w:tcPr>
          <w:p w:rsidR="00225952" w:rsidRDefault="00225952" w:rsidP="00225952">
            <w:pPr>
              <w:spacing w:after="0"/>
              <w:jc w:val="center"/>
              <w:rPr>
                <w:noProof/>
              </w:rPr>
            </w:pPr>
            <w:r w:rsidRPr="003F0D4C">
              <w:rPr>
                <w:noProof/>
              </w:rPr>
              <w:drawing>
                <wp:inline distT="0" distB="0" distL="0" distR="0">
                  <wp:extent cx="466344" cy="149396"/>
                  <wp:effectExtent l="19050" t="0" r="0" b="0"/>
                  <wp:docPr id="30" name="Picture 26" descr="radiobuttons.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iobuttons.emf"/>
                          <pic:cNvPicPr/>
                        </pic:nvPicPr>
                        <pic:blipFill>
                          <a:blip r:embed="rId256" cstate="print"/>
                          <a:stretch>
                            <a:fillRect/>
                          </a:stretch>
                        </pic:blipFill>
                        <pic:spPr>
                          <a:xfrm>
                            <a:off x="0" y="0"/>
                            <a:ext cx="466344" cy="149396"/>
                          </a:xfrm>
                          <a:prstGeom prst="rect">
                            <a:avLst/>
                          </a:prstGeom>
                        </pic:spPr>
                      </pic:pic>
                    </a:graphicData>
                  </a:graphic>
                </wp:inline>
              </w:drawing>
            </w:r>
          </w:p>
        </w:tc>
      </w:tr>
      <w:tr w:rsidR="00225952" w:rsidTr="00225952">
        <w:trPr>
          <w:trHeight w:val="416"/>
        </w:trPr>
        <w:tc>
          <w:tcPr>
            <w:tcW w:w="2790" w:type="dxa"/>
            <w:vMerge/>
            <w:tcBorders>
              <w:left w:val="single" w:sz="4" w:space="0" w:color="auto"/>
              <w:bottom w:val="single" w:sz="4" w:space="0" w:color="000000"/>
              <w:right w:val="nil"/>
            </w:tcBorders>
          </w:tcPr>
          <w:p w:rsidR="00225952" w:rsidRPr="00A674A5" w:rsidRDefault="00225952" w:rsidP="00225952">
            <w:pPr>
              <w:pStyle w:val="CheckA"/>
            </w:pPr>
          </w:p>
        </w:tc>
        <w:tc>
          <w:tcPr>
            <w:tcW w:w="6233" w:type="dxa"/>
            <w:gridSpan w:val="2"/>
            <w:tcBorders>
              <w:left w:val="nil"/>
              <w:bottom w:val="single" w:sz="4" w:space="0" w:color="auto"/>
              <w:right w:val="nil"/>
            </w:tcBorders>
            <w:vAlign w:val="center"/>
          </w:tcPr>
          <w:p w:rsidR="00225952" w:rsidRPr="00A674A5" w:rsidRDefault="00225952" w:rsidP="00225952">
            <w:pPr>
              <w:spacing w:after="0"/>
              <w:ind w:left="252" w:hanging="252"/>
              <w:rPr>
                <w:sz w:val="19"/>
                <w:szCs w:val="19"/>
              </w:rPr>
            </w:pPr>
            <w:r w:rsidRPr="00A674A5">
              <w:rPr>
                <w:sz w:val="19"/>
                <w:szCs w:val="19"/>
              </w:rPr>
              <w:tab/>
              <w:t xml:space="preserve">a.  All internal capture and internal/external split assumptions </w:t>
            </w:r>
            <w:r w:rsidR="005A4DAF">
              <w:rPr>
                <w:sz w:val="19"/>
                <w:szCs w:val="19"/>
              </w:rPr>
              <w:br/>
              <w:t xml:space="preserve">     </w:t>
            </w:r>
            <w:r w:rsidRPr="00A674A5">
              <w:rPr>
                <w:sz w:val="19"/>
                <w:szCs w:val="19"/>
              </w:rPr>
              <w:t>properly documented?</w:t>
            </w:r>
          </w:p>
        </w:tc>
        <w:tc>
          <w:tcPr>
            <w:tcW w:w="1165" w:type="dxa"/>
            <w:tcBorders>
              <w:left w:val="nil"/>
              <w:right w:val="single" w:sz="4" w:space="0" w:color="auto"/>
            </w:tcBorders>
          </w:tcPr>
          <w:p w:rsidR="00225952" w:rsidRDefault="00225952" w:rsidP="00225952">
            <w:pPr>
              <w:spacing w:after="0"/>
              <w:jc w:val="center"/>
              <w:rPr>
                <w:noProof/>
              </w:rPr>
            </w:pPr>
            <w:r w:rsidRPr="003F0D4C">
              <w:rPr>
                <w:noProof/>
              </w:rPr>
              <w:drawing>
                <wp:inline distT="0" distB="0" distL="0" distR="0">
                  <wp:extent cx="466344" cy="149396"/>
                  <wp:effectExtent l="19050" t="0" r="0" b="0"/>
                  <wp:docPr id="31" name="Picture 26" descr="radiobuttons.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iobuttons.emf"/>
                          <pic:cNvPicPr/>
                        </pic:nvPicPr>
                        <pic:blipFill>
                          <a:blip r:embed="rId256" cstate="print"/>
                          <a:stretch>
                            <a:fillRect/>
                          </a:stretch>
                        </pic:blipFill>
                        <pic:spPr>
                          <a:xfrm>
                            <a:off x="0" y="0"/>
                            <a:ext cx="466344" cy="149396"/>
                          </a:xfrm>
                          <a:prstGeom prst="rect">
                            <a:avLst/>
                          </a:prstGeom>
                        </pic:spPr>
                      </pic:pic>
                    </a:graphicData>
                  </a:graphic>
                </wp:inline>
              </w:drawing>
            </w:r>
          </w:p>
        </w:tc>
      </w:tr>
      <w:tr w:rsidR="00225952" w:rsidTr="00225952">
        <w:trPr>
          <w:trHeight w:val="287"/>
        </w:trPr>
        <w:tc>
          <w:tcPr>
            <w:tcW w:w="2790" w:type="dxa"/>
            <w:vMerge/>
            <w:tcBorders>
              <w:left w:val="single" w:sz="4" w:space="0" w:color="auto"/>
              <w:bottom w:val="single" w:sz="4" w:space="0" w:color="000000"/>
              <w:right w:val="nil"/>
            </w:tcBorders>
          </w:tcPr>
          <w:p w:rsidR="00225952" w:rsidRPr="00A674A5" w:rsidRDefault="00225952" w:rsidP="00225952">
            <w:pPr>
              <w:pStyle w:val="CheckA"/>
            </w:pPr>
          </w:p>
        </w:tc>
        <w:tc>
          <w:tcPr>
            <w:tcW w:w="6233" w:type="dxa"/>
            <w:gridSpan w:val="2"/>
            <w:tcBorders>
              <w:left w:val="nil"/>
              <w:bottom w:val="single" w:sz="4" w:space="0" w:color="auto"/>
              <w:right w:val="nil"/>
            </w:tcBorders>
            <w:vAlign w:val="center"/>
          </w:tcPr>
          <w:p w:rsidR="00225952" w:rsidRPr="00A674A5" w:rsidRDefault="00225952" w:rsidP="00225952">
            <w:pPr>
              <w:spacing w:after="0"/>
              <w:ind w:left="252" w:hanging="252"/>
              <w:rPr>
                <w:sz w:val="19"/>
                <w:szCs w:val="19"/>
              </w:rPr>
            </w:pPr>
            <w:r w:rsidRPr="00A674A5">
              <w:rPr>
                <w:sz w:val="19"/>
                <w:szCs w:val="19"/>
              </w:rPr>
              <w:t>3.</w:t>
            </w:r>
            <w:r w:rsidRPr="00A674A5">
              <w:rPr>
                <w:sz w:val="19"/>
                <w:szCs w:val="19"/>
              </w:rPr>
              <w:tab/>
              <w:t>Existing SHS segments’ LOS shown?</w:t>
            </w:r>
          </w:p>
        </w:tc>
        <w:tc>
          <w:tcPr>
            <w:tcW w:w="1165" w:type="dxa"/>
            <w:tcBorders>
              <w:left w:val="nil"/>
              <w:right w:val="single" w:sz="4" w:space="0" w:color="auto"/>
            </w:tcBorders>
          </w:tcPr>
          <w:p w:rsidR="00225952" w:rsidRDefault="00225952" w:rsidP="00225952">
            <w:pPr>
              <w:spacing w:after="0"/>
              <w:jc w:val="center"/>
              <w:rPr>
                <w:noProof/>
              </w:rPr>
            </w:pPr>
            <w:r w:rsidRPr="003F0D4C">
              <w:rPr>
                <w:noProof/>
              </w:rPr>
              <w:drawing>
                <wp:inline distT="0" distB="0" distL="0" distR="0">
                  <wp:extent cx="466344" cy="149396"/>
                  <wp:effectExtent l="19050" t="0" r="0" b="0"/>
                  <wp:docPr id="33" name="Picture 26" descr="radiobuttons.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iobuttons.emf"/>
                          <pic:cNvPicPr/>
                        </pic:nvPicPr>
                        <pic:blipFill>
                          <a:blip r:embed="rId256" cstate="print"/>
                          <a:stretch>
                            <a:fillRect/>
                          </a:stretch>
                        </pic:blipFill>
                        <pic:spPr>
                          <a:xfrm>
                            <a:off x="0" y="0"/>
                            <a:ext cx="466344" cy="149396"/>
                          </a:xfrm>
                          <a:prstGeom prst="rect">
                            <a:avLst/>
                          </a:prstGeom>
                        </pic:spPr>
                      </pic:pic>
                    </a:graphicData>
                  </a:graphic>
                </wp:inline>
              </w:drawing>
            </w:r>
          </w:p>
        </w:tc>
      </w:tr>
      <w:tr w:rsidR="00225952" w:rsidTr="00225952">
        <w:trPr>
          <w:trHeight w:val="233"/>
        </w:trPr>
        <w:tc>
          <w:tcPr>
            <w:tcW w:w="2790" w:type="dxa"/>
            <w:vMerge/>
            <w:tcBorders>
              <w:left w:val="single" w:sz="4" w:space="0" w:color="auto"/>
              <w:bottom w:val="single" w:sz="4" w:space="0" w:color="000000"/>
              <w:right w:val="nil"/>
            </w:tcBorders>
          </w:tcPr>
          <w:p w:rsidR="00225952" w:rsidRPr="00A674A5" w:rsidRDefault="00225952" w:rsidP="00225952">
            <w:pPr>
              <w:pStyle w:val="CheckA"/>
            </w:pPr>
          </w:p>
        </w:tc>
        <w:tc>
          <w:tcPr>
            <w:tcW w:w="6233" w:type="dxa"/>
            <w:gridSpan w:val="2"/>
            <w:tcBorders>
              <w:left w:val="nil"/>
              <w:bottom w:val="single" w:sz="4" w:space="0" w:color="auto"/>
              <w:right w:val="nil"/>
            </w:tcBorders>
            <w:vAlign w:val="center"/>
          </w:tcPr>
          <w:p w:rsidR="00225952" w:rsidRPr="00A674A5" w:rsidRDefault="00225952" w:rsidP="008D2D1A">
            <w:pPr>
              <w:numPr>
                <w:ilvl w:val="0"/>
                <w:numId w:val="23"/>
              </w:numPr>
              <w:tabs>
                <w:tab w:val="left" w:pos="205"/>
                <w:tab w:val="left" w:pos="385"/>
                <w:tab w:val="left" w:pos="655"/>
                <w:tab w:val="left" w:pos="4500"/>
              </w:tabs>
              <w:autoSpaceDE w:val="0"/>
              <w:autoSpaceDN w:val="0"/>
              <w:adjustRightInd w:val="0"/>
              <w:spacing w:after="0" w:line="240" w:lineRule="auto"/>
              <w:contextualSpacing/>
              <w:rPr>
                <w:sz w:val="19"/>
                <w:szCs w:val="19"/>
              </w:rPr>
            </w:pPr>
            <w:r w:rsidRPr="00A674A5">
              <w:rPr>
                <w:sz w:val="19"/>
                <w:szCs w:val="19"/>
              </w:rPr>
              <w:t>Department-approved methods used to perform the LOS analysis?</w:t>
            </w:r>
          </w:p>
        </w:tc>
        <w:tc>
          <w:tcPr>
            <w:tcW w:w="1165" w:type="dxa"/>
            <w:tcBorders>
              <w:left w:val="nil"/>
              <w:right w:val="single" w:sz="4" w:space="0" w:color="auto"/>
            </w:tcBorders>
          </w:tcPr>
          <w:p w:rsidR="00225952" w:rsidRDefault="00225952" w:rsidP="00225952">
            <w:pPr>
              <w:spacing w:after="0"/>
              <w:jc w:val="center"/>
              <w:rPr>
                <w:noProof/>
              </w:rPr>
            </w:pPr>
            <w:r w:rsidRPr="003F0D4C">
              <w:rPr>
                <w:noProof/>
              </w:rPr>
              <w:drawing>
                <wp:inline distT="0" distB="0" distL="0" distR="0">
                  <wp:extent cx="466344" cy="149396"/>
                  <wp:effectExtent l="19050" t="0" r="0" b="0"/>
                  <wp:docPr id="35" name="Picture 26" descr="radiobuttons.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iobuttons.emf"/>
                          <pic:cNvPicPr/>
                        </pic:nvPicPr>
                        <pic:blipFill>
                          <a:blip r:embed="rId256" cstate="print"/>
                          <a:stretch>
                            <a:fillRect/>
                          </a:stretch>
                        </pic:blipFill>
                        <pic:spPr>
                          <a:xfrm>
                            <a:off x="0" y="0"/>
                            <a:ext cx="466344" cy="149396"/>
                          </a:xfrm>
                          <a:prstGeom prst="rect">
                            <a:avLst/>
                          </a:prstGeom>
                        </pic:spPr>
                      </pic:pic>
                    </a:graphicData>
                  </a:graphic>
                </wp:inline>
              </w:drawing>
            </w:r>
          </w:p>
        </w:tc>
      </w:tr>
      <w:tr w:rsidR="00225952" w:rsidTr="00225952">
        <w:trPr>
          <w:trHeight w:val="260"/>
        </w:trPr>
        <w:tc>
          <w:tcPr>
            <w:tcW w:w="2790" w:type="dxa"/>
            <w:vMerge/>
            <w:tcBorders>
              <w:left w:val="single" w:sz="4" w:space="0" w:color="auto"/>
              <w:bottom w:val="single" w:sz="4" w:space="0" w:color="000000"/>
              <w:right w:val="nil"/>
            </w:tcBorders>
          </w:tcPr>
          <w:p w:rsidR="00225952" w:rsidRPr="00A674A5" w:rsidRDefault="00225952" w:rsidP="00225952">
            <w:pPr>
              <w:pStyle w:val="CheckA"/>
            </w:pPr>
          </w:p>
        </w:tc>
        <w:tc>
          <w:tcPr>
            <w:tcW w:w="6233" w:type="dxa"/>
            <w:gridSpan w:val="2"/>
            <w:tcBorders>
              <w:left w:val="nil"/>
              <w:bottom w:val="single" w:sz="4" w:space="0" w:color="auto"/>
              <w:right w:val="nil"/>
            </w:tcBorders>
            <w:vAlign w:val="center"/>
          </w:tcPr>
          <w:p w:rsidR="00225952" w:rsidRPr="00A674A5" w:rsidRDefault="00225952" w:rsidP="008D2D1A">
            <w:pPr>
              <w:numPr>
                <w:ilvl w:val="0"/>
                <w:numId w:val="23"/>
              </w:numPr>
              <w:tabs>
                <w:tab w:val="left" w:pos="205"/>
                <w:tab w:val="left" w:pos="385"/>
                <w:tab w:val="left" w:pos="655"/>
                <w:tab w:val="left" w:pos="4500"/>
              </w:tabs>
              <w:autoSpaceDE w:val="0"/>
              <w:autoSpaceDN w:val="0"/>
              <w:adjustRightInd w:val="0"/>
              <w:spacing w:after="0" w:line="240" w:lineRule="auto"/>
              <w:contextualSpacing/>
              <w:rPr>
                <w:sz w:val="19"/>
                <w:szCs w:val="19"/>
              </w:rPr>
            </w:pPr>
            <w:r w:rsidRPr="00A674A5">
              <w:rPr>
                <w:sz w:val="19"/>
                <w:szCs w:val="19"/>
              </w:rPr>
              <w:t>Department and LGCP LOS standards used to determine LOS grade?</w:t>
            </w:r>
          </w:p>
        </w:tc>
        <w:tc>
          <w:tcPr>
            <w:tcW w:w="1165" w:type="dxa"/>
            <w:tcBorders>
              <w:left w:val="nil"/>
              <w:right w:val="single" w:sz="4" w:space="0" w:color="auto"/>
            </w:tcBorders>
          </w:tcPr>
          <w:p w:rsidR="00225952" w:rsidRDefault="00225952" w:rsidP="00225952">
            <w:pPr>
              <w:spacing w:after="0"/>
              <w:jc w:val="center"/>
              <w:rPr>
                <w:noProof/>
              </w:rPr>
            </w:pPr>
            <w:r w:rsidRPr="003F0D4C">
              <w:rPr>
                <w:noProof/>
              </w:rPr>
              <w:drawing>
                <wp:inline distT="0" distB="0" distL="0" distR="0">
                  <wp:extent cx="466344" cy="149396"/>
                  <wp:effectExtent l="19050" t="0" r="0" b="0"/>
                  <wp:docPr id="38" name="Picture 26" descr="radiobuttons.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iobuttons.emf"/>
                          <pic:cNvPicPr/>
                        </pic:nvPicPr>
                        <pic:blipFill>
                          <a:blip r:embed="rId256" cstate="print"/>
                          <a:stretch>
                            <a:fillRect/>
                          </a:stretch>
                        </pic:blipFill>
                        <pic:spPr>
                          <a:xfrm>
                            <a:off x="0" y="0"/>
                            <a:ext cx="466344" cy="149396"/>
                          </a:xfrm>
                          <a:prstGeom prst="rect">
                            <a:avLst/>
                          </a:prstGeom>
                        </pic:spPr>
                      </pic:pic>
                    </a:graphicData>
                  </a:graphic>
                </wp:inline>
              </w:drawing>
            </w:r>
          </w:p>
        </w:tc>
      </w:tr>
      <w:tr w:rsidR="00225952" w:rsidTr="00225952">
        <w:trPr>
          <w:trHeight w:val="197"/>
        </w:trPr>
        <w:tc>
          <w:tcPr>
            <w:tcW w:w="2790" w:type="dxa"/>
            <w:vMerge/>
            <w:tcBorders>
              <w:top w:val="single" w:sz="4" w:space="0" w:color="auto"/>
              <w:left w:val="single" w:sz="4" w:space="0" w:color="auto"/>
              <w:bottom w:val="single" w:sz="4" w:space="0" w:color="000000"/>
              <w:right w:val="nil"/>
            </w:tcBorders>
          </w:tcPr>
          <w:p w:rsidR="00225952" w:rsidRPr="00A674A5" w:rsidRDefault="00225952" w:rsidP="00225952">
            <w:pPr>
              <w:spacing w:after="0" w:line="240" w:lineRule="auto"/>
              <w:ind w:left="360" w:hanging="270"/>
              <w:rPr>
                <w:sz w:val="20"/>
              </w:rPr>
            </w:pPr>
          </w:p>
        </w:tc>
        <w:tc>
          <w:tcPr>
            <w:tcW w:w="6233" w:type="dxa"/>
            <w:gridSpan w:val="2"/>
            <w:tcBorders>
              <w:top w:val="single" w:sz="4" w:space="0" w:color="auto"/>
              <w:left w:val="nil"/>
              <w:right w:val="nil"/>
            </w:tcBorders>
            <w:vAlign w:val="center"/>
          </w:tcPr>
          <w:p w:rsidR="00225952" w:rsidRPr="00A674A5" w:rsidRDefault="00225952" w:rsidP="00225952">
            <w:pPr>
              <w:tabs>
                <w:tab w:val="left" w:pos="337"/>
                <w:tab w:val="left" w:pos="720"/>
                <w:tab w:val="left" w:pos="4500"/>
              </w:tabs>
              <w:autoSpaceDE w:val="0"/>
              <w:autoSpaceDN w:val="0"/>
              <w:adjustRightInd w:val="0"/>
              <w:spacing w:after="60" w:line="240" w:lineRule="auto"/>
              <w:contextualSpacing/>
              <w:rPr>
                <w:sz w:val="19"/>
                <w:szCs w:val="19"/>
              </w:rPr>
            </w:pPr>
            <w:r w:rsidRPr="00A674A5">
              <w:rPr>
                <w:sz w:val="19"/>
                <w:szCs w:val="19"/>
              </w:rPr>
              <w:t>4.</w:t>
            </w:r>
            <w:r w:rsidRPr="00A674A5">
              <w:rPr>
                <w:sz w:val="19"/>
                <w:szCs w:val="19"/>
              </w:rPr>
              <w:tab/>
              <w:t>LOS determined for SHS Segments for existing FLUMs Land Use Scenario?</w:t>
            </w:r>
          </w:p>
        </w:tc>
        <w:tc>
          <w:tcPr>
            <w:tcW w:w="1165" w:type="dxa"/>
            <w:tcBorders>
              <w:left w:val="nil"/>
              <w:bottom w:val="single" w:sz="4" w:space="0" w:color="000000"/>
              <w:right w:val="single" w:sz="4" w:space="0" w:color="auto"/>
            </w:tcBorders>
          </w:tcPr>
          <w:p w:rsidR="00225952" w:rsidRDefault="00225952" w:rsidP="00225952">
            <w:pPr>
              <w:spacing w:after="0"/>
              <w:jc w:val="center"/>
            </w:pPr>
            <w:r>
              <w:rPr>
                <w:noProof/>
              </w:rPr>
              <w:drawing>
                <wp:inline distT="0" distB="0" distL="0" distR="0">
                  <wp:extent cx="462915" cy="154305"/>
                  <wp:effectExtent l="0" t="0" r="0" b="0"/>
                  <wp:docPr id="47" name="Picture 6"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rPr>
          <w:trHeight w:val="143"/>
        </w:trPr>
        <w:tc>
          <w:tcPr>
            <w:tcW w:w="9023" w:type="dxa"/>
            <w:gridSpan w:val="3"/>
            <w:tcBorders>
              <w:top w:val="single" w:sz="4" w:space="0" w:color="auto"/>
              <w:left w:val="single" w:sz="4" w:space="0" w:color="auto"/>
              <w:bottom w:val="single" w:sz="4" w:space="0" w:color="000000"/>
              <w:right w:val="nil"/>
            </w:tcBorders>
          </w:tcPr>
          <w:p w:rsidR="00225952" w:rsidRPr="00A674A5" w:rsidRDefault="00225952" w:rsidP="00225952">
            <w:pPr>
              <w:spacing w:before="60" w:after="0"/>
              <w:ind w:left="252" w:hanging="252"/>
              <w:rPr>
                <w:sz w:val="20"/>
              </w:rPr>
            </w:pPr>
            <w:r w:rsidRPr="00A674A5">
              <w:rPr>
                <w:sz w:val="20"/>
              </w:rPr>
              <w:t>C.</w:t>
            </w:r>
            <w:r w:rsidRPr="00A674A5">
              <w:rPr>
                <w:sz w:val="20"/>
              </w:rPr>
              <w:tab/>
              <w:t>Maximum potential land uses permitted under the proposed FLUM Amendment identified?</w:t>
            </w:r>
          </w:p>
        </w:tc>
        <w:tc>
          <w:tcPr>
            <w:tcW w:w="1165" w:type="dxa"/>
            <w:tcBorders>
              <w:left w:val="nil"/>
              <w:bottom w:val="single" w:sz="4" w:space="0" w:color="000000"/>
              <w:right w:val="single" w:sz="4" w:space="0" w:color="auto"/>
            </w:tcBorders>
          </w:tcPr>
          <w:p w:rsidR="00225952" w:rsidRDefault="00225952" w:rsidP="00225952">
            <w:pPr>
              <w:spacing w:after="0"/>
              <w:jc w:val="center"/>
              <w:rPr>
                <w:noProof/>
              </w:rPr>
            </w:pPr>
            <w:r w:rsidRPr="003F0D4C">
              <w:rPr>
                <w:noProof/>
              </w:rPr>
              <w:drawing>
                <wp:inline distT="0" distB="0" distL="0" distR="0">
                  <wp:extent cx="466344" cy="149396"/>
                  <wp:effectExtent l="19050" t="0" r="0" b="0"/>
                  <wp:docPr id="49" name="Picture 26" descr="radiobuttons.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iobuttons.emf"/>
                          <pic:cNvPicPr/>
                        </pic:nvPicPr>
                        <pic:blipFill>
                          <a:blip r:embed="rId256" cstate="print"/>
                          <a:stretch>
                            <a:fillRect/>
                          </a:stretch>
                        </pic:blipFill>
                        <pic:spPr>
                          <a:xfrm>
                            <a:off x="0" y="0"/>
                            <a:ext cx="466344" cy="149396"/>
                          </a:xfrm>
                          <a:prstGeom prst="rect">
                            <a:avLst/>
                          </a:prstGeom>
                        </pic:spPr>
                      </pic:pic>
                    </a:graphicData>
                  </a:graphic>
                </wp:inline>
              </w:drawing>
            </w:r>
          </w:p>
        </w:tc>
      </w:tr>
      <w:tr w:rsidR="00225952" w:rsidTr="00225952">
        <w:trPr>
          <w:trHeight w:val="416"/>
        </w:trPr>
        <w:tc>
          <w:tcPr>
            <w:tcW w:w="2790" w:type="dxa"/>
            <w:vMerge w:val="restart"/>
            <w:tcBorders>
              <w:top w:val="single" w:sz="4" w:space="0" w:color="auto"/>
              <w:left w:val="single" w:sz="4" w:space="0" w:color="auto"/>
              <w:right w:val="nil"/>
            </w:tcBorders>
          </w:tcPr>
          <w:p w:rsidR="00225952" w:rsidRPr="00A674A5" w:rsidRDefault="00225952" w:rsidP="00225952">
            <w:pPr>
              <w:spacing w:after="0"/>
              <w:ind w:left="252" w:hanging="252"/>
              <w:rPr>
                <w:sz w:val="20"/>
              </w:rPr>
            </w:pPr>
            <w:r w:rsidRPr="00A674A5">
              <w:rPr>
                <w:sz w:val="20"/>
              </w:rPr>
              <w:t>D.</w:t>
            </w:r>
            <w:r w:rsidRPr="00A674A5">
              <w:rPr>
                <w:sz w:val="20"/>
              </w:rPr>
              <w:tab/>
              <w:t>Future land use scenario defined</w:t>
            </w:r>
          </w:p>
        </w:tc>
        <w:tc>
          <w:tcPr>
            <w:tcW w:w="6233" w:type="dxa"/>
            <w:gridSpan w:val="2"/>
            <w:tcBorders>
              <w:top w:val="single" w:sz="4" w:space="0" w:color="auto"/>
              <w:left w:val="nil"/>
              <w:right w:val="nil"/>
            </w:tcBorders>
            <w:vAlign w:val="center"/>
          </w:tcPr>
          <w:p w:rsidR="00225952" w:rsidRPr="00A674A5" w:rsidRDefault="00225952" w:rsidP="00225952">
            <w:pPr>
              <w:spacing w:after="0"/>
              <w:ind w:left="252" w:hanging="252"/>
              <w:rPr>
                <w:sz w:val="19"/>
                <w:szCs w:val="19"/>
              </w:rPr>
            </w:pPr>
            <w:r w:rsidRPr="00A674A5">
              <w:rPr>
                <w:sz w:val="19"/>
                <w:szCs w:val="19"/>
              </w:rPr>
              <w:t>1.  Reasonable mix, densities and intensities of permitted land uses representing a worst-case scenario?</w:t>
            </w:r>
          </w:p>
        </w:tc>
        <w:tc>
          <w:tcPr>
            <w:tcW w:w="1165" w:type="dxa"/>
            <w:tcBorders>
              <w:left w:val="nil"/>
              <w:bottom w:val="single" w:sz="4" w:space="0" w:color="000000"/>
              <w:right w:val="single" w:sz="4" w:space="0" w:color="auto"/>
            </w:tcBorders>
          </w:tcPr>
          <w:p w:rsidR="00225952" w:rsidRDefault="00225952" w:rsidP="00225952">
            <w:pPr>
              <w:spacing w:after="0"/>
              <w:jc w:val="center"/>
              <w:rPr>
                <w:noProof/>
              </w:rPr>
            </w:pPr>
            <w:r w:rsidRPr="003F0D4C">
              <w:rPr>
                <w:noProof/>
              </w:rPr>
              <w:drawing>
                <wp:inline distT="0" distB="0" distL="0" distR="0">
                  <wp:extent cx="466344" cy="149396"/>
                  <wp:effectExtent l="19050" t="0" r="0" b="0"/>
                  <wp:docPr id="51" name="Picture 26" descr="radiobuttons.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iobuttons.emf"/>
                          <pic:cNvPicPr/>
                        </pic:nvPicPr>
                        <pic:blipFill>
                          <a:blip r:embed="rId256" cstate="print"/>
                          <a:stretch>
                            <a:fillRect/>
                          </a:stretch>
                        </pic:blipFill>
                        <pic:spPr>
                          <a:xfrm>
                            <a:off x="0" y="0"/>
                            <a:ext cx="466344" cy="149396"/>
                          </a:xfrm>
                          <a:prstGeom prst="rect">
                            <a:avLst/>
                          </a:prstGeom>
                        </pic:spPr>
                      </pic:pic>
                    </a:graphicData>
                  </a:graphic>
                </wp:inline>
              </w:drawing>
            </w:r>
          </w:p>
        </w:tc>
      </w:tr>
      <w:tr w:rsidR="00225952" w:rsidTr="00225952">
        <w:trPr>
          <w:trHeight w:val="416"/>
        </w:trPr>
        <w:tc>
          <w:tcPr>
            <w:tcW w:w="2790" w:type="dxa"/>
            <w:vMerge/>
            <w:tcBorders>
              <w:left w:val="single" w:sz="4" w:space="0" w:color="auto"/>
              <w:bottom w:val="single" w:sz="4" w:space="0" w:color="000000"/>
              <w:right w:val="nil"/>
            </w:tcBorders>
          </w:tcPr>
          <w:p w:rsidR="00225952" w:rsidRPr="00A674A5" w:rsidRDefault="00225952" w:rsidP="00225952">
            <w:pPr>
              <w:spacing w:after="0" w:line="240" w:lineRule="auto"/>
              <w:ind w:left="360" w:hanging="270"/>
              <w:rPr>
                <w:sz w:val="20"/>
              </w:rPr>
            </w:pPr>
          </w:p>
        </w:tc>
        <w:tc>
          <w:tcPr>
            <w:tcW w:w="6233" w:type="dxa"/>
            <w:gridSpan w:val="2"/>
            <w:tcBorders>
              <w:top w:val="single" w:sz="4" w:space="0" w:color="auto"/>
              <w:left w:val="nil"/>
              <w:right w:val="nil"/>
            </w:tcBorders>
            <w:vAlign w:val="center"/>
          </w:tcPr>
          <w:p w:rsidR="00225952" w:rsidRPr="00A674A5" w:rsidRDefault="00225952" w:rsidP="00225952">
            <w:pPr>
              <w:spacing w:after="60"/>
              <w:ind w:left="252" w:hanging="252"/>
              <w:rPr>
                <w:sz w:val="19"/>
                <w:szCs w:val="19"/>
              </w:rPr>
            </w:pPr>
            <w:r w:rsidRPr="00A674A5">
              <w:rPr>
                <w:sz w:val="19"/>
                <w:szCs w:val="19"/>
              </w:rPr>
              <w:t>2.  Assumptions used in defining FLUM Amendment Land Use Scenario fully documented?</w:t>
            </w:r>
          </w:p>
        </w:tc>
        <w:tc>
          <w:tcPr>
            <w:tcW w:w="1165" w:type="dxa"/>
            <w:tcBorders>
              <w:left w:val="nil"/>
              <w:bottom w:val="single" w:sz="4" w:space="0" w:color="000000"/>
              <w:right w:val="single" w:sz="4" w:space="0" w:color="auto"/>
            </w:tcBorders>
          </w:tcPr>
          <w:p w:rsidR="00225952" w:rsidRDefault="00225952" w:rsidP="00225952">
            <w:pPr>
              <w:spacing w:after="0"/>
              <w:jc w:val="center"/>
              <w:rPr>
                <w:noProof/>
              </w:rPr>
            </w:pPr>
            <w:r w:rsidRPr="003F0D4C">
              <w:rPr>
                <w:noProof/>
              </w:rPr>
              <w:drawing>
                <wp:inline distT="0" distB="0" distL="0" distR="0">
                  <wp:extent cx="466344" cy="149396"/>
                  <wp:effectExtent l="19050" t="0" r="0" b="0"/>
                  <wp:docPr id="52" name="Picture 26" descr="radiobuttons.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iobuttons.emf"/>
                          <pic:cNvPicPr/>
                        </pic:nvPicPr>
                        <pic:blipFill>
                          <a:blip r:embed="rId256" cstate="print"/>
                          <a:stretch>
                            <a:fillRect/>
                          </a:stretch>
                        </pic:blipFill>
                        <pic:spPr>
                          <a:xfrm>
                            <a:off x="0" y="0"/>
                            <a:ext cx="466344" cy="149396"/>
                          </a:xfrm>
                          <a:prstGeom prst="rect">
                            <a:avLst/>
                          </a:prstGeom>
                        </pic:spPr>
                      </pic:pic>
                    </a:graphicData>
                  </a:graphic>
                </wp:inline>
              </w:drawing>
            </w:r>
          </w:p>
        </w:tc>
      </w:tr>
      <w:tr w:rsidR="00225952" w:rsidTr="00225952">
        <w:tc>
          <w:tcPr>
            <w:tcW w:w="2790" w:type="dxa"/>
            <w:vMerge w:val="restart"/>
            <w:tcBorders>
              <w:top w:val="single" w:sz="4" w:space="0" w:color="000000"/>
              <w:right w:val="nil"/>
            </w:tcBorders>
          </w:tcPr>
          <w:p w:rsidR="00225952" w:rsidRPr="00A674A5" w:rsidRDefault="00225952" w:rsidP="00225952">
            <w:pPr>
              <w:pStyle w:val="CheckA"/>
            </w:pPr>
            <w:r w:rsidRPr="00A674A5">
              <w:t>E.  Department–approved methods</w:t>
            </w:r>
          </w:p>
        </w:tc>
        <w:tc>
          <w:tcPr>
            <w:tcW w:w="6233" w:type="dxa"/>
            <w:gridSpan w:val="2"/>
            <w:tcBorders>
              <w:left w:val="nil"/>
              <w:right w:val="nil"/>
            </w:tcBorders>
            <w:vAlign w:val="center"/>
          </w:tcPr>
          <w:p w:rsidR="00225952" w:rsidRPr="00A674A5" w:rsidRDefault="00225952" w:rsidP="00225952">
            <w:pPr>
              <w:spacing w:after="0"/>
              <w:ind w:left="252" w:hanging="252"/>
              <w:rPr>
                <w:sz w:val="19"/>
                <w:szCs w:val="19"/>
              </w:rPr>
            </w:pPr>
            <w:r w:rsidRPr="00A674A5">
              <w:rPr>
                <w:sz w:val="19"/>
                <w:szCs w:val="19"/>
              </w:rPr>
              <w:t>1.  Trip generation, distribution and assignment based on FLUM amendment Land Use Scenario?</w:t>
            </w:r>
          </w:p>
        </w:tc>
        <w:tc>
          <w:tcPr>
            <w:tcW w:w="1165" w:type="dxa"/>
            <w:tcBorders>
              <w:top w:val="single" w:sz="4" w:space="0" w:color="000000"/>
              <w:left w:val="nil"/>
            </w:tcBorders>
            <w:vAlign w:val="center"/>
          </w:tcPr>
          <w:p w:rsidR="00225952" w:rsidRDefault="00225952" w:rsidP="00225952">
            <w:pPr>
              <w:spacing w:after="0"/>
              <w:jc w:val="center"/>
            </w:pPr>
            <w:r w:rsidRPr="00A674A5">
              <w:rPr>
                <w:noProof/>
              </w:rPr>
              <w:drawing>
                <wp:inline distT="0" distB="0" distL="0" distR="0">
                  <wp:extent cx="466344" cy="149396"/>
                  <wp:effectExtent l="19050" t="0" r="0" b="0"/>
                  <wp:docPr id="53" name="Picture 26" descr="radiobuttons.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iobuttons.emf"/>
                          <pic:cNvPicPr/>
                        </pic:nvPicPr>
                        <pic:blipFill>
                          <a:blip r:embed="rId256" cstate="print"/>
                          <a:stretch>
                            <a:fillRect/>
                          </a:stretch>
                        </pic:blipFill>
                        <pic:spPr>
                          <a:xfrm>
                            <a:off x="0" y="0"/>
                            <a:ext cx="466344" cy="149396"/>
                          </a:xfrm>
                          <a:prstGeom prst="rect">
                            <a:avLst/>
                          </a:prstGeom>
                        </pic:spPr>
                      </pic:pic>
                    </a:graphicData>
                  </a:graphic>
                </wp:inline>
              </w:drawing>
            </w:r>
          </w:p>
        </w:tc>
      </w:tr>
      <w:tr w:rsidR="00225952" w:rsidTr="00225952">
        <w:tc>
          <w:tcPr>
            <w:tcW w:w="2790" w:type="dxa"/>
            <w:vMerge/>
            <w:tcBorders>
              <w:right w:val="nil"/>
            </w:tcBorders>
          </w:tcPr>
          <w:p w:rsidR="00225952" w:rsidRPr="00A674A5" w:rsidRDefault="00225952" w:rsidP="00225952">
            <w:pPr>
              <w:spacing w:after="0"/>
              <w:ind w:left="360" w:hanging="288"/>
              <w:rPr>
                <w:sz w:val="20"/>
              </w:rPr>
            </w:pPr>
          </w:p>
        </w:tc>
        <w:tc>
          <w:tcPr>
            <w:tcW w:w="6233" w:type="dxa"/>
            <w:gridSpan w:val="2"/>
            <w:tcBorders>
              <w:left w:val="nil"/>
              <w:right w:val="nil"/>
            </w:tcBorders>
            <w:vAlign w:val="center"/>
          </w:tcPr>
          <w:p w:rsidR="00225952" w:rsidRPr="00A674A5" w:rsidRDefault="00225952" w:rsidP="00225952">
            <w:pPr>
              <w:spacing w:after="60"/>
              <w:ind w:left="252" w:hanging="252"/>
              <w:rPr>
                <w:sz w:val="19"/>
                <w:szCs w:val="19"/>
              </w:rPr>
            </w:pPr>
            <w:r w:rsidRPr="00A674A5">
              <w:rPr>
                <w:sz w:val="19"/>
                <w:szCs w:val="19"/>
              </w:rPr>
              <w:t>2.  Adequate documentation provided to permit review of the analyses?</w:t>
            </w:r>
          </w:p>
        </w:tc>
        <w:tc>
          <w:tcPr>
            <w:tcW w:w="1165" w:type="dxa"/>
            <w:tcBorders>
              <w:left w:val="nil"/>
            </w:tcBorders>
            <w:vAlign w:val="center"/>
          </w:tcPr>
          <w:p w:rsidR="00225952" w:rsidRDefault="00225952" w:rsidP="00225952">
            <w:pPr>
              <w:spacing w:after="0"/>
              <w:jc w:val="center"/>
            </w:pPr>
            <w:r w:rsidRPr="00A674A5">
              <w:rPr>
                <w:noProof/>
              </w:rPr>
              <w:drawing>
                <wp:inline distT="0" distB="0" distL="0" distR="0">
                  <wp:extent cx="466344" cy="149396"/>
                  <wp:effectExtent l="19050" t="0" r="0" b="0"/>
                  <wp:docPr id="55" name="Picture 26" descr="radiobuttons.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iobuttons.emf"/>
                          <pic:cNvPicPr/>
                        </pic:nvPicPr>
                        <pic:blipFill>
                          <a:blip r:embed="rId256" cstate="print"/>
                          <a:stretch>
                            <a:fillRect/>
                          </a:stretch>
                        </pic:blipFill>
                        <pic:spPr>
                          <a:xfrm>
                            <a:off x="0" y="0"/>
                            <a:ext cx="466344" cy="149396"/>
                          </a:xfrm>
                          <a:prstGeom prst="rect">
                            <a:avLst/>
                          </a:prstGeom>
                        </pic:spPr>
                      </pic:pic>
                    </a:graphicData>
                  </a:graphic>
                </wp:inline>
              </w:drawing>
            </w:r>
          </w:p>
        </w:tc>
      </w:tr>
      <w:tr w:rsidR="00225952" w:rsidRPr="002635FD" w:rsidTr="00225952">
        <w:tc>
          <w:tcPr>
            <w:tcW w:w="2790" w:type="dxa"/>
            <w:vMerge w:val="restart"/>
            <w:tcBorders>
              <w:right w:val="nil"/>
            </w:tcBorders>
          </w:tcPr>
          <w:p w:rsidR="00225952" w:rsidRPr="00A674A5" w:rsidRDefault="00225952" w:rsidP="00225952">
            <w:pPr>
              <w:pStyle w:val="CheckA"/>
            </w:pPr>
            <w:r w:rsidRPr="00A674A5">
              <w:t>F.  Level of Service</w:t>
            </w:r>
          </w:p>
        </w:tc>
        <w:tc>
          <w:tcPr>
            <w:tcW w:w="6233" w:type="dxa"/>
            <w:gridSpan w:val="2"/>
            <w:tcBorders>
              <w:left w:val="nil"/>
              <w:right w:val="nil"/>
            </w:tcBorders>
            <w:vAlign w:val="center"/>
          </w:tcPr>
          <w:p w:rsidR="00225952" w:rsidRPr="00A674A5" w:rsidRDefault="00225952" w:rsidP="00225952">
            <w:pPr>
              <w:spacing w:after="0"/>
              <w:ind w:left="252" w:hanging="252"/>
              <w:rPr>
                <w:sz w:val="19"/>
                <w:szCs w:val="19"/>
              </w:rPr>
            </w:pPr>
            <w:r w:rsidRPr="00A674A5">
              <w:rPr>
                <w:sz w:val="19"/>
                <w:szCs w:val="19"/>
              </w:rPr>
              <w:t>1.  LOS been determined for SHS segments under FLUM Amendment Land Use Scenario?</w:t>
            </w:r>
          </w:p>
        </w:tc>
        <w:tc>
          <w:tcPr>
            <w:tcW w:w="1165" w:type="dxa"/>
            <w:tcBorders>
              <w:left w:val="nil"/>
            </w:tcBorders>
            <w:vAlign w:val="center"/>
          </w:tcPr>
          <w:p w:rsidR="00225952" w:rsidRPr="002635FD" w:rsidRDefault="00225952" w:rsidP="00225952">
            <w:pPr>
              <w:spacing w:after="0"/>
              <w:jc w:val="center"/>
            </w:pPr>
            <w:r w:rsidRPr="00A674A5">
              <w:rPr>
                <w:noProof/>
              </w:rPr>
              <w:drawing>
                <wp:inline distT="0" distB="0" distL="0" distR="0">
                  <wp:extent cx="466344" cy="149396"/>
                  <wp:effectExtent l="19050" t="0" r="0" b="0"/>
                  <wp:docPr id="56" name="Picture 26" descr="radiobuttons.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iobuttons.emf"/>
                          <pic:cNvPicPr/>
                        </pic:nvPicPr>
                        <pic:blipFill>
                          <a:blip r:embed="rId256" cstate="print"/>
                          <a:stretch>
                            <a:fillRect/>
                          </a:stretch>
                        </pic:blipFill>
                        <pic:spPr>
                          <a:xfrm>
                            <a:off x="0" y="0"/>
                            <a:ext cx="466344" cy="149396"/>
                          </a:xfrm>
                          <a:prstGeom prst="rect">
                            <a:avLst/>
                          </a:prstGeom>
                        </pic:spPr>
                      </pic:pic>
                    </a:graphicData>
                  </a:graphic>
                </wp:inline>
              </w:drawing>
            </w:r>
          </w:p>
        </w:tc>
      </w:tr>
      <w:tr w:rsidR="00225952" w:rsidRPr="002635FD" w:rsidTr="00225952">
        <w:tc>
          <w:tcPr>
            <w:tcW w:w="2790" w:type="dxa"/>
            <w:vMerge/>
            <w:tcBorders>
              <w:right w:val="nil"/>
            </w:tcBorders>
          </w:tcPr>
          <w:p w:rsidR="00225952" w:rsidRDefault="00225952" w:rsidP="00225952">
            <w:pPr>
              <w:spacing w:after="0"/>
              <w:ind w:left="360" w:hanging="288"/>
            </w:pPr>
          </w:p>
        </w:tc>
        <w:tc>
          <w:tcPr>
            <w:tcW w:w="6233" w:type="dxa"/>
            <w:gridSpan w:val="2"/>
            <w:tcBorders>
              <w:left w:val="nil"/>
              <w:right w:val="nil"/>
            </w:tcBorders>
            <w:vAlign w:val="center"/>
          </w:tcPr>
          <w:p w:rsidR="00225952" w:rsidRPr="00A674A5" w:rsidRDefault="00225952" w:rsidP="00225952">
            <w:pPr>
              <w:spacing w:after="0"/>
              <w:ind w:left="252" w:hanging="252"/>
              <w:rPr>
                <w:sz w:val="19"/>
                <w:szCs w:val="19"/>
              </w:rPr>
            </w:pPr>
            <w:r>
              <w:rPr>
                <w:sz w:val="19"/>
                <w:szCs w:val="19"/>
              </w:rPr>
              <w:t xml:space="preserve">2.  </w:t>
            </w:r>
            <w:r w:rsidRPr="00A674A5">
              <w:rPr>
                <w:sz w:val="19"/>
                <w:szCs w:val="19"/>
              </w:rPr>
              <w:t>Additional improvements to SHS segments required, beyond those identified in adopted long-range plans?</w:t>
            </w:r>
          </w:p>
        </w:tc>
        <w:tc>
          <w:tcPr>
            <w:tcW w:w="1165" w:type="dxa"/>
            <w:tcBorders>
              <w:left w:val="nil"/>
            </w:tcBorders>
            <w:vAlign w:val="center"/>
          </w:tcPr>
          <w:p w:rsidR="00225952" w:rsidRPr="002635FD" w:rsidRDefault="00225952" w:rsidP="00225952">
            <w:pPr>
              <w:spacing w:after="0"/>
              <w:jc w:val="center"/>
            </w:pPr>
            <w:r w:rsidRPr="00A674A5">
              <w:rPr>
                <w:noProof/>
              </w:rPr>
              <w:drawing>
                <wp:inline distT="0" distB="0" distL="0" distR="0">
                  <wp:extent cx="466344" cy="149396"/>
                  <wp:effectExtent l="19050" t="0" r="0" b="0"/>
                  <wp:docPr id="57" name="Picture 26" descr="radiobuttons.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iobuttons.emf"/>
                          <pic:cNvPicPr/>
                        </pic:nvPicPr>
                        <pic:blipFill>
                          <a:blip r:embed="rId256" cstate="print"/>
                          <a:stretch>
                            <a:fillRect/>
                          </a:stretch>
                        </pic:blipFill>
                        <pic:spPr>
                          <a:xfrm>
                            <a:off x="0" y="0"/>
                            <a:ext cx="466344" cy="149396"/>
                          </a:xfrm>
                          <a:prstGeom prst="rect">
                            <a:avLst/>
                          </a:prstGeom>
                        </pic:spPr>
                      </pic:pic>
                    </a:graphicData>
                  </a:graphic>
                </wp:inline>
              </w:drawing>
            </w:r>
          </w:p>
        </w:tc>
      </w:tr>
      <w:tr w:rsidR="00225952" w:rsidRPr="002635FD" w:rsidTr="00225952">
        <w:tc>
          <w:tcPr>
            <w:tcW w:w="2790" w:type="dxa"/>
            <w:vMerge/>
            <w:tcBorders>
              <w:right w:val="nil"/>
            </w:tcBorders>
          </w:tcPr>
          <w:p w:rsidR="00225952" w:rsidRDefault="00225952" w:rsidP="00225952">
            <w:pPr>
              <w:spacing w:after="0"/>
              <w:ind w:left="360" w:hanging="288"/>
            </w:pPr>
          </w:p>
        </w:tc>
        <w:tc>
          <w:tcPr>
            <w:tcW w:w="6233" w:type="dxa"/>
            <w:gridSpan w:val="2"/>
            <w:tcBorders>
              <w:left w:val="nil"/>
              <w:right w:val="nil"/>
            </w:tcBorders>
            <w:vAlign w:val="center"/>
          </w:tcPr>
          <w:p w:rsidR="00225952" w:rsidRPr="00A674A5" w:rsidRDefault="00225952" w:rsidP="00225952">
            <w:pPr>
              <w:spacing w:after="60"/>
              <w:ind w:left="252" w:hanging="252"/>
              <w:rPr>
                <w:sz w:val="19"/>
                <w:szCs w:val="19"/>
              </w:rPr>
            </w:pPr>
            <w:r>
              <w:rPr>
                <w:sz w:val="19"/>
                <w:szCs w:val="19"/>
              </w:rPr>
              <w:t xml:space="preserve">3.  </w:t>
            </w:r>
            <w:r w:rsidRPr="00A674A5">
              <w:rPr>
                <w:sz w:val="19"/>
                <w:szCs w:val="19"/>
              </w:rPr>
              <w:t>Commitments to providing additional improvements made as a condition of  FLUM Amendment approval?</w:t>
            </w:r>
          </w:p>
        </w:tc>
        <w:tc>
          <w:tcPr>
            <w:tcW w:w="1165" w:type="dxa"/>
            <w:tcBorders>
              <w:left w:val="nil"/>
            </w:tcBorders>
            <w:vAlign w:val="center"/>
          </w:tcPr>
          <w:p w:rsidR="00225952" w:rsidRPr="002635FD" w:rsidRDefault="00225952" w:rsidP="00225952">
            <w:pPr>
              <w:spacing w:after="0"/>
              <w:jc w:val="center"/>
            </w:pPr>
            <w:r w:rsidRPr="00A674A5">
              <w:rPr>
                <w:noProof/>
              </w:rPr>
              <w:drawing>
                <wp:inline distT="0" distB="0" distL="0" distR="0">
                  <wp:extent cx="466344" cy="149396"/>
                  <wp:effectExtent l="19050" t="0" r="0" b="0"/>
                  <wp:docPr id="58" name="Picture 26" descr="radiobuttons.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iobuttons.emf"/>
                          <pic:cNvPicPr/>
                        </pic:nvPicPr>
                        <pic:blipFill>
                          <a:blip r:embed="rId256" cstate="print"/>
                          <a:stretch>
                            <a:fillRect/>
                          </a:stretch>
                        </pic:blipFill>
                        <pic:spPr>
                          <a:xfrm>
                            <a:off x="0" y="0"/>
                            <a:ext cx="466344" cy="149396"/>
                          </a:xfrm>
                          <a:prstGeom prst="rect">
                            <a:avLst/>
                          </a:prstGeom>
                        </pic:spPr>
                      </pic:pic>
                    </a:graphicData>
                  </a:graphic>
                </wp:inline>
              </w:drawing>
            </w:r>
          </w:p>
        </w:tc>
      </w:tr>
      <w:tr w:rsidR="00225952" w:rsidRPr="002635FD" w:rsidTr="00225952">
        <w:tc>
          <w:tcPr>
            <w:tcW w:w="9023" w:type="dxa"/>
            <w:gridSpan w:val="3"/>
            <w:tcBorders>
              <w:right w:val="nil"/>
            </w:tcBorders>
          </w:tcPr>
          <w:p w:rsidR="00225952" w:rsidRDefault="00225952" w:rsidP="00225952">
            <w:pPr>
              <w:pStyle w:val="CheckA"/>
              <w:spacing w:after="60"/>
            </w:pPr>
            <w:r w:rsidRPr="00A910CE">
              <w:rPr>
                <w:sz w:val="19"/>
                <w:szCs w:val="19"/>
              </w:rPr>
              <w:t>G.</w:t>
            </w:r>
            <w:r w:rsidRPr="00B433E3">
              <w:rPr>
                <w:sz w:val="19"/>
                <w:szCs w:val="19"/>
              </w:rPr>
              <w:tab/>
            </w:r>
            <w:r w:rsidRPr="00A910CE">
              <w:rPr>
                <w:sz w:val="19"/>
                <w:szCs w:val="19"/>
              </w:rPr>
              <w:t>FLUM Amendment and transportation impacts consistent with the Florida transportation Plan and other Department-adopted approval plans, policies, standards and guidelines, rules and procedures?</w:t>
            </w:r>
          </w:p>
        </w:tc>
        <w:tc>
          <w:tcPr>
            <w:tcW w:w="1165" w:type="dxa"/>
            <w:tcBorders>
              <w:left w:val="nil"/>
            </w:tcBorders>
            <w:vAlign w:val="center"/>
          </w:tcPr>
          <w:p w:rsidR="00225952" w:rsidRPr="002635FD" w:rsidRDefault="00225952" w:rsidP="00225952">
            <w:pPr>
              <w:spacing w:after="0"/>
              <w:jc w:val="center"/>
            </w:pPr>
            <w:r w:rsidRPr="00A674A5">
              <w:rPr>
                <w:noProof/>
              </w:rPr>
              <w:drawing>
                <wp:inline distT="0" distB="0" distL="0" distR="0">
                  <wp:extent cx="466344" cy="149396"/>
                  <wp:effectExtent l="19050" t="0" r="0" b="0"/>
                  <wp:docPr id="59" name="Picture 26" descr="radiobuttons.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iobuttons.emf"/>
                          <pic:cNvPicPr/>
                        </pic:nvPicPr>
                        <pic:blipFill>
                          <a:blip r:embed="rId256" cstate="print"/>
                          <a:stretch>
                            <a:fillRect/>
                          </a:stretch>
                        </pic:blipFill>
                        <pic:spPr>
                          <a:xfrm>
                            <a:off x="0" y="0"/>
                            <a:ext cx="466344" cy="149396"/>
                          </a:xfrm>
                          <a:prstGeom prst="rect">
                            <a:avLst/>
                          </a:prstGeom>
                        </pic:spPr>
                      </pic:pic>
                    </a:graphicData>
                  </a:graphic>
                </wp:inline>
              </w:drawing>
            </w:r>
          </w:p>
        </w:tc>
      </w:tr>
      <w:tr w:rsidR="00225952" w:rsidRPr="002635FD" w:rsidTr="00225952">
        <w:tc>
          <w:tcPr>
            <w:tcW w:w="9023" w:type="dxa"/>
            <w:gridSpan w:val="3"/>
            <w:tcBorders>
              <w:right w:val="nil"/>
            </w:tcBorders>
          </w:tcPr>
          <w:p w:rsidR="00225952" w:rsidRPr="00A910CE" w:rsidRDefault="00225952" w:rsidP="00225952">
            <w:pPr>
              <w:pStyle w:val="CheckA"/>
              <w:spacing w:after="60"/>
              <w:rPr>
                <w:sz w:val="19"/>
                <w:szCs w:val="19"/>
              </w:rPr>
            </w:pPr>
            <w:r w:rsidRPr="00A910CE">
              <w:rPr>
                <w:sz w:val="19"/>
                <w:szCs w:val="19"/>
              </w:rPr>
              <w:t>H.</w:t>
            </w:r>
            <w:r w:rsidRPr="00B433E3">
              <w:rPr>
                <w:sz w:val="19"/>
                <w:szCs w:val="19"/>
              </w:rPr>
              <w:tab/>
            </w:r>
            <w:r w:rsidRPr="00A910CE">
              <w:rPr>
                <w:sz w:val="19"/>
                <w:szCs w:val="19"/>
              </w:rPr>
              <w:t>FLUM Amendment provides for sufficient additional local transportation infrastructure to preserve functional integrity of impacted SHS segments, preventing a shift to their serving local trip needs?</w:t>
            </w:r>
          </w:p>
        </w:tc>
        <w:tc>
          <w:tcPr>
            <w:tcW w:w="1165" w:type="dxa"/>
            <w:tcBorders>
              <w:left w:val="nil"/>
            </w:tcBorders>
            <w:vAlign w:val="center"/>
          </w:tcPr>
          <w:p w:rsidR="00225952" w:rsidRDefault="00225952" w:rsidP="00225952">
            <w:pPr>
              <w:spacing w:after="0"/>
              <w:jc w:val="center"/>
              <w:rPr>
                <w:noProof/>
              </w:rPr>
            </w:pPr>
            <w:r w:rsidRPr="00A674A5">
              <w:rPr>
                <w:noProof/>
              </w:rPr>
              <w:drawing>
                <wp:inline distT="0" distB="0" distL="0" distR="0">
                  <wp:extent cx="466344" cy="149396"/>
                  <wp:effectExtent l="19050" t="0" r="0" b="0"/>
                  <wp:docPr id="60" name="Picture 26" descr="radiobuttons.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iobuttons.emf"/>
                          <pic:cNvPicPr/>
                        </pic:nvPicPr>
                        <pic:blipFill>
                          <a:blip r:embed="rId256" cstate="print"/>
                          <a:stretch>
                            <a:fillRect/>
                          </a:stretch>
                        </pic:blipFill>
                        <pic:spPr>
                          <a:xfrm>
                            <a:off x="0" y="0"/>
                            <a:ext cx="466344" cy="149396"/>
                          </a:xfrm>
                          <a:prstGeom prst="rect">
                            <a:avLst/>
                          </a:prstGeom>
                        </pic:spPr>
                      </pic:pic>
                    </a:graphicData>
                  </a:graphic>
                </wp:inline>
              </w:drawing>
            </w:r>
          </w:p>
        </w:tc>
      </w:tr>
      <w:tr w:rsidR="00225952" w:rsidRPr="002635FD" w:rsidTr="00225952">
        <w:tc>
          <w:tcPr>
            <w:tcW w:w="9023" w:type="dxa"/>
            <w:gridSpan w:val="3"/>
            <w:tcBorders>
              <w:right w:val="nil"/>
            </w:tcBorders>
          </w:tcPr>
          <w:p w:rsidR="00225952" w:rsidRPr="00A910CE" w:rsidRDefault="00225952" w:rsidP="00225952">
            <w:pPr>
              <w:pStyle w:val="CheckA"/>
              <w:spacing w:after="60"/>
              <w:rPr>
                <w:sz w:val="19"/>
                <w:szCs w:val="19"/>
              </w:rPr>
            </w:pPr>
            <w:r w:rsidRPr="00A910CE">
              <w:rPr>
                <w:bCs/>
                <w:sz w:val="19"/>
                <w:szCs w:val="19"/>
              </w:rPr>
              <w:t>I.</w:t>
            </w:r>
            <w:r w:rsidRPr="00B433E3">
              <w:rPr>
                <w:bCs/>
                <w:sz w:val="19"/>
                <w:szCs w:val="19"/>
              </w:rPr>
              <w:tab/>
            </w:r>
            <w:r w:rsidRPr="00A910CE">
              <w:rPr>
                <w:bCs/>
                <w:sz w:val="19"/>
                <w:szCs w:val="19"/>
              </w:rPr>
              <w:t>Proposed FLUM Amendment impact existing or proposed public transit service, as set forth in local agency</w:t>
            </w:r>
            <w:r w:rsidRPr="00B433E3">
              <w:rPr>
                <w:bCs/>
                <w:sz w:val="19"/>
                <w:szCs w:val="19"/>
              </w:rPr>
              <w:t>’</w:t>
            </w:r>
            <w:r w:rsidRPr="00A910CE">
              <w:rPr>
                <w:bCs/>
                <w:sz w:val="19"/>
                <w:szCs w:val="19"/>
              </w:rPr>
              <w:t>s Transit Development Plan?</w:t>
            </w:r>
          </w:p>
        </w:tc>
        <w:tc>
          <w:tcPr>
            <w:tcW w:w="1165" w:type="dxa"/>
            <w:tcBorders>
              <w:left w:val="nil"/>
            </w:tcBorders>
            <w:vAlign w:val="center"/>
          </w:tcPr>
          <w:p w:rsidR="00225952" w:rsidRDefault="00225952" w:rsidP="00225952">
            <w:pPr>
              <w:spacing w:after="0"/>
              <w:jc w:val="center"/>
              <w:rPr>
                <w:noProof/>
              </w:rPr>
            </w:pPr>
            <w:r w:rsidRPr="00A674A5">
              <w:rPr>
                <w:noProof/>
              </w:rPr>
              <w:drawing>
                <wp:inline distT="0" distB="0" distL="0" distR="0">
                  <wp:extent cx="466344" cy="149396"/>
                  <wp:effectExtent l="19050" t="0" r="0" b="0"/>
                  <wp:docPr id="61" name="Picture 26" descr="radiobuttons.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iobuttons.emf"/>
                          <pic:cNvPicPr/>
                        </pic:nvPicPr>
                        <pic:blipFill>
                          <a:blip r:embed="rId256" cstate="print"/>
                          <a:stretch>
                            <a:fillRect/>
                          </a:stretch>
                        </pic:blipFill>
                        <pic:spPr>
                          <a:xfrm>
                            <a:off x="0" y="0"/>
                            <a:ext cx="466344" cy="149396"/>
                          </a:xfrm>
                          <a:prstGeom prst="rect">
                            <a:avLst/>
                          </a:prstGeom>
                        </pic:spPr>
                      </pic:pic>
                    </a:graphicData>
                  </a:graphic>
                </wp:inline>
              </w:drawing>
            </w:r>
          </w:p>
        </w:tc>
      </w:tr>
    </w:tbl>
    <w:p w:rsidR="00225952" w:rsidRDefault="00225952"/>
    <w:p w:rsidR="00225952" w:rsidRDefault="00225952" w:rsidP="00225952">
      <w:pPr>
        <w:pStyle w:val="Resource"/>
        <w:rPr>
          <w:color w:val="1D1B11"/>
          <w:sz w:val="28"/>
        </w:rPr>
        <w:sectPr w:rsidR="00225952" w:rsidSect="00832911">
          <w:headerReference w:type="default" r:id="rId258"/>
          <w:pgSz w:w="12240" w:h="15840"/>
          <w:pgMar w:top="1440" w:right="720" w:bottom="1440" w:left="1152" w:header="720" w:footer="720" w:gutter="0"/>
          <w:cols w:space="720"/>
          <w:docGrid w:linePitch="360"/>
        </w:sectPr>
      </w:pPr>
    </w:p>
    <w:tbl>
      <w:tblPr>
        <w:tblW w:w="9899" w:type="dxa"/>
        <w:tblInd w:w="112" w:type="dxa"/>
        <w:tblLayout w:type="fixed"/>
        <w:tblLook w:val="0000"/>
      </w:tblPr>
      <w:tblGrid>
        <w:gridCol w:w="2215"/>
        <w:gridCol w:w="7684"/>
      </w:tblGrid>
      <w:tr w:rsidR="00225952" w:rsidRPr="007C475C" w:rsidTr="00225952">
        <w:tc>
          <w:tcPr>
            <w:tcW w:w="9899" w:type="dxa"/>
            <w:gridSpan w:val="2"/>
          </w:tcPr>
          <w:p w:rsidR="00225952" w:rsidRPr="00126A24" w:rsidRDefault="00225952" w:rsidP="009A5DBF">
            <w:pPr>
              <w:pStyle w:val="Resource"/>
              <w:outlineLvl w:val="1"/>
              <w:rPr>
                <w:sz w:val="28"/>
              </w:rPr>
            </w:pPr>
            <w:bookmarkStart w:id="226" w:name="R9"/>
            <w:bookmarkStart w:id="227" w:name="_Toc263447900"/>
            <w:bookmarkStart w:id="228" w:name="_Toc264274144"/>
            <w:bookmarkEnd w:id="226"/>
            <w:r>
              <w:rPr>
                <w:color w:val="1D1B11"/>
                <w:sz w:val="28"/>
              </w:rPr>
              <w:lastRenderedPageBreak/>
              <w:t>Resource Guide</w:t>
            </w:r>
            <w:r w:rsidRPr="00126A24">
              <w:rPr>
                <w:color w:val="1D1B11"/>
                <w:sz w:val="28"/>
              </w:rPr>
              <w:t xml:space="preserve"> 9</w:t>
            </w:r>
            <w:r>
              <w:rPr>
                <w:color w:val="1D1B11"/>
                <w:sz w:val="28"/>
              </w:rPr>
              <w:t>.</w:t>
            </w:r>
            <w:r w:rsidRPr="00126A24">
              <w:rPr>
                <w:sz w:val="28"/>
              </w:rPr>
              <w:t xml:space="preserve">  Standardized Comprehensive Plan Review Process</w:t>
            </w:r>
            <w:bookmarkEnd w:id="227"/>
            <w:bookmarkEnd w:id="228"/>
          </w:p>
        </w:tc>
      </w:tr>
      <w:tr w:rsidR="00225952" w:rsidRPr="007C475C" w:rsidTr="00225952">
        <w:tc>
          <w:tcPr>
            <w:tcW w:w="2215" w:type="dxa"/>
          </w:tcPr>
          <w:p w:rsidR="00225952" w:rsidRPr="008956F2" w:rsidRDefault="00225952" w:rsidP="00225952">
            <w:pPr>
              <w:pStyle w:val="HeadSideMain"/>
            </w:pPr>
          </w:p>
        </w:tc>
        <w:tc>
          <w:tcPr>
            <w:tcW w:w="7684" w:type="dxa"/>
          </w:tcPr>
          <w:p w:rsidR="00225952" w:rsidRPr="00602308" w:rsidRDefault="00225952" w:rsidP="00C212BC">
            <w:pPr>
              <w:spacing w:after="0"/>
            </w:pPr>
            <w:r w:rsidRPr="001702CF">
              <w:t xml:space="preserve">A standardized comprehensive plan review process and schedule among a local government, FDOT, and DCA may enhance communication and coordination of CPA review as well as mitigation of impacts. An approach to such a review process is outlined </w:t>
            </w:r>
            <w:r>
              <w:t>below</w:t>
            </w:r>
            <w:r w:rsidRPr="001702CF">
              <w:t>. During this process, all parties should ensure that improvements required to accommodate proposed future land use map (FLUM) changes are identified in the local government transportation or traffic circulation element and the capital improvement element. These elements should also accurately reflect any improvements found in the MPOs long range transportation plan (LRTP) transportation improvement program (TIP), and Transit Development Plan (TDP)</w:t>
            </w:r>
          </w:p>
        </w:tc>
      </w:tr>
      <w:tr w:rsidR="00225952" w:rsidRPr="007C475C" w:rsidTr="00225952">
        <w:tc>
          <w:tcPr>
            <w:tcW w:w="9899" w:type="dxa"/>
            <w:gridSpan w:val="2"/>
          </w:tcPr>
          <w:p w:rsidR="00225952" w:rsidRPr="00262EFA" w:rsidRDefault="00225952" w:rsidP="00225952">
            <w:pPr>
              <w:spacing w:before="120" w:after="0"/>
              <w:rPr>
                <w:b/>
                <w:color w:val="008080"/>
                <w:sz w:val="28"/>
                <w:szCs w:val="28"/>
              </w:rPr>
            </w:pPr>
            <w:bookmarkStart w:id="229" w:name="_Toc256487964"/>
            <w:bookmarkStart w:id="230" w:name="_Toc263424762"/>
            <w:bookmarkStart w:id="231" w:name="_Toc263447901"/>
            <w:r w:rsidRPr="00262EFA">
              <w:rPr>
                <w:b/>
                <w:color w:val="008080"/>
                <w:sz w:val="28"/>
                <w:szCs w:val="28"/>
              </w:rPr>
              <w:t>Standardized Comprehensive Plan Review Process and Schedule</w:t>
            </w:r>
            <w:bookmarkEnd w:id="229"/>
            <w:bookmarkEnd w:id="230"/>
            <w:bookmarkEnd w:id="231"/>
          </w:p>
        </w:tc>
      </w:tr>
      <w:tr w:rsidR="00225952" w:rsidRPr="007C475C" w:rsidTr="00225952">
        <w:tc>
          <w:tcPr>
            <w:tcW w:w="2215" w:type="dxa"/>
          </w:tcPr>
          <w:p w:rsidR="00225952" w:rsidRPr="00602308" w:rsidRDefault="00225952" w:rsidP="00482F7F">
            <w:pPr>
              <w:pStyle w:val="HeadSide20"/>
            </w:pPr>
            <w:r w:rsidRPr="00482F7F">
              <w:rPr>
                <w:sz w:val="18"/>
              </w:rPr>
              <w:t>Palm Beach County holds a comprehensive plan pre-application meeting for applicants. Review agencies such as FDOT are invited to attend.</w:t>
            </w:r>
          </w:p>
        </w:tc>
        <w:tc>
          <w:tcPr>
            <w:tcW w:w="7684" w:type="dxa"/>
          </w:tcPr>
          <w:p w:rsidR="00225952" w:rsidRPr="00602308" w:rsidRDefault="00225952" w:rsidP="00C212BC">
            <w:pPr>
              <w:spacing w:after="120"/>
            </w:pPr>
            <w:r w:rsidRPr="001702CF">
              <w:t>Local governments, DCA, and FDOT would benefit from establishing a standard comprehensive plan amendment (CPA) review process and schedule to ensure impacts to SIS, FIHS, and TRIP-funded facilities are adequately addressed through planning efforts. Notably this process encourages involving FDOT at an earlier stage to allow transportation concerns to be addressed prior to CPA transmittal. Below is a step-by-step process to achieve these goals:</w:t>
            </w:r>
          </w:p>
        </w:tc>
      </w:tr>
      <w:tr w:rsidR="00225952" w:rsidRPr="007C475C" w:rsidTr="00C212BC">
        <w:trPr>
          <w:trHeight w:val="531"/>
        </w:trPr>
        <w:tc>
          <w:tcPr>
            <w:tcW w:w="2215" w:type="dxa"/>
          </w:tcPr>
          <w:p w:rsidR="00225952" w:rsidRPr="008956F2" w:rsidRDefault="00225952" w:rsidP="00C212BC">
            <w:pPr>
              <w:pStyle w:val="HeadSide2"/>
            </w:pPr>
            <w:r w:rsidRPr="00BB5D71">
              <w:t>Step 1. Identify CPA cycle dates</w:t>
            </w:r>
          </w:p>
        </w:tc>
        <w:tc>
          <w:tcPr>
            <w:tcW w:w="7684" w:type="dxa"/>
          </w:tcPr>
          <w:p w:rsidR="00225952" w:rsidRPr="00602308" w:rsidRDefault="00225952" w:rsidP="00C212BC">
            <w:pPr>
              <w:spacing w:after="120"/>
            </w:pPr>
            <w:r w:rsidRPr="006F33A2">
              <w:t>Local governments, FDOT, and DCA should mutually obtain and maintain a schedule of key dates for the two annual CPA cycles for each local government.</w:t>
            </w:r>
          </w:p>
        </w:tc>
      </w:tr>
      <w:tr w:rsidR="00225952" w:rsidRPr="007C475C" w:rsidTr="00225952">
        <w:tc>
          <w:tcPr>
            <w:tcW w:w="2215" w:type="dxa"/>
          </w:tcPr>
          <w:p w:rsidR="00225952" w:rsidRPr="00BB5D71" w:rsidRDefault="00225952" w:rsidP="00225952">
            <w:pPr>
              <w:pStyle w:val="HeadSide2"/>
            </w:pPr>
            <w:r w:rsidRPr="00BB5D71">
              <w:t>Step 2. CPA pre-application</w:t>
            </w:r>
          </w:p>
          <w:p w:rsidR="00225952" w:rsidRPr="008956F2" w:rsidRDefault="00225952" w:rsidP="00225952">
            <w:pPr>
              <w:pStyle w:val="HeadSideMain"/>
            </w:pPr>
          </w:p>
        </w:tc>
        <w:tc>
          <w:tcPr>
            <w:tcW w:w="7684" w:type="dxa"/>
          </w:tcPr>
          <w:p w:rsidR="00225952" w:rsidRPr="00602308" w:rsidRDefault="00225952" w:rsidP="00C212BC">
            <w:pPr>
              <w:spacing w:after="120"/>
            </w:pPr>
            <w:r w:rsidRPr="006F33A2">
              <w:t xml:space="preserve">Local governments may consider hosting a pre-application meeting for CPAs that may impact SIS, FIHS, or TRIP-funded facilities. In particular, such meetings will be useful in addressing complex issues regarding large-scale future land use map (FLUM) amendments, transportation concurrency exception areas (TCEAs), transportation concurrency management areas (TCMAs), </w:t>
            </w:r>
            <w:r>
              <w:t xml:space="preserve">and </w:t>
            </w:r>
            <w:r w:rsidRPr="006F33A2">
              <w:t>multimodal transportation districts (MMTDs). Invitees should include representatives from the local government initiating the plan amendment, metropolitan planning organization (MPO), FDOT, and the regional planning council</w:t>
            </w:r>
            <w:r>
              <w:t xml:space="preserve"> (RPC)</w:t>
            </w:r>
            <w:r w:rsidRPr="006F33A2">
              <w:t xml:space="preserve">. </w:t>
            </w:r>
          </w:p>
        </w:tc>
      </w:tr>
      <w:tr w:rsidR="00225952" w:rsidRPr="007C475C" w:rsidTr="00225952">
        <w:tc>
          <w:tcPr>
            <w:tcW w:w="2215" w:type="dxa"/>
          </w:tcPr>
          <w:p w:rsidR="00225952" w:rsidRPr="008956F2" w:rsidRDefault="00225952" w:rsidP="00225952">
            <w:pPr>
              <w:pStyle w:val="HeadSideMain"/>
            </w:pPr>
          </w:p>
        </w:tc>
        <w:tc>
          <w:tcPr>
            <w:tcW w:w="7684" w:type="dxa"/>
          </w:tcPr>
          <w:p w:rsidR="00DB6AE5" w:rsidRPr="00602308" w:rsidRDefault="00225952" w:rsidP="00225952">
            <w:r w:rsidRPr="006F33A2">
              <w:rPr>
                <w:i/>
              </w:rPr>
              <w:t>Transportation Concurrency: Best Practices Guide</w:t>
            </w:r>
            <w:r w:rsidRPr="006F33A2">
              <w:t xml:space="preserve"> (Resource 1), includes a methodology for analyzing the traffic impact of comprehensive plan amendments. A recommended approach for addressing the cumulative impacts of CPAs is </w:t>
            </w:r>
            <w:r>
              <w:t xml:space="preserve">also </w:t>
            </w:r>
            <w:r w:rsidRPr="006F33A2">
              <w:t xml:space="preserve">included. Local governments may </w:t>
            </w:r>
            <w:r>
              <w:t xml:space="preserve">allow </w:t>
            </w:r>
            <w:r w:rsidRPr="006F33A2">
              <w:t>applicant</w:t>
            </w:r>
            <w:r>
              <w:t>s</w:t>
            </w:r>
            <w:r w:rsidRPr="006F33A2">
              <w:t xml:space="preserve"> to conduct a </w:t>
            </w:r>
            <w:r>
              <w:t>transportation</w:t>
            </w:r>
            <w:r w:rsidRPr="006F33A2">
              <w:t xml:space="preserve"> impact analysis by subarea and/or corridor to identify cumulative impacts to SIS, FIHS, and TRIP-funded facilities. A cumulative analysis is best accomplished by aggregating or grouping proposed comprehensive plan amendments into specific geographic areas. These geographic areas may be sub-area, neighborhood, sector, or other planning </w:t>
            </w:r>
            <w:r w:rsidRPr="006F33A2">
              <w:lastRenderedPageBreak/>
              <w:t>areas, impact fee districts, transportation corridors, or specific traffic analysis zones.</w:t>
            </w:r>
          </w:p>
        </w:tc>
      </w:tr>
      <w:tr w:rsidR="00225952" w:rsidRPr="007C475C" w:rsidTr="00225952">
        <w:tc>
          <w:tcPr>
            <w:tcW w:w="2215" w:type="dxa"/>
          </w:tcPr>
          <w:p w:rsidR="00225952" w:rsidRDefault="00225952" w:rsidP="00225952">
            <w:pPr>
              <w:pStyle w:val="HeadSide2"/>
            </w:pPr>
            <w:r w:rsidRPr="00EF52D5">
              <w:lastRenderedPageBreak/>
              <w:t>Step 3. Initial CPA Review (optional)</w:t>
            </w:r>
          </w:p>
          <w:p w:rsidR="00225952" w:rsidRPr="008956F2" w:rsidRDefault="00225952" w:rsidP="00225952">
            <w:pPr>
              <w:pStyle w:val="HeadSideMain"/>
            </w:pPr>
          </w:p>
        </w:tc>
        <w:tc>
          <w:tcPr>
            <w:tcW w:w="7684" w:type="dxa"/>
          </w:tcPr>
          <w:p w:rsidR="00225952" w:rsidRPr="00602308" w:rsidRDefault="00225952" w:rsidP="00225952">
            <w:r w:rsidRPr="006F33A2">
              <w:t xml:space="preserve">Local governments may offer FDOT early review of the plan amendment agenda documentation package prepared by local staff for presentation before the designated local planning agency. This effort affords the local government </w:t>
            </w:r>
            <w:r>
              <w:t xml:space="preserve">an opportunity </w:t>
            </w:r>
            <w:r w:rsidRPr="006F33A2">
              <w:t xml:space="preserve">to address transportation system concerns early in the comprehensive plan amendment process. FDOT District staff will assess proposed CPAs for impacts to SIS, FIHS, and TRIP-funded facilities.  Plan amendments of concern may include those located in close proximity to designated SIS facilities or other strategic transportation corridors and those in areas where transportation infrastructure is operating near or </w:t>
            </w:r>
            <w:r>
              <w:t xml:space="preserve">below </w:t>
            </w:r>
            <w:r w:rsidRPr="006F33A2">
              <w:t>adopted LOS with no supporting transportation facilit</w:t>
            </w:r>
            <w:r>
              <w:t>ies</w:t>
            </w:r>
            <w:r w:rsidRPr="006F33A2">
              <w:t xml:space="preserve"> improvements programmed in the capital improvements element (CIE). FDOT will notify the local government of any concerns prior to the public hearing for transmittal of the plan amendments. </w:t>
            </w:r>
            <w:r>
              <w:t xml:space="preserve">This will give local government staff the opportunity to re-evaluate the transportation impact of proposed CPAs. </w:t>
            </w:r>
            <w:r w:rsidRPr="006F33A2">
              <w:t xml:space="preserve">In addition, District staff may appear at the public hearing (at the District Secretary’s discretion) to place on record concerns the Department may have relating to a pending plan amendment. </w:t>
            </w:r>
          </w:p>
        </w:tc>
      </w:tr>
      <w:tr w:rsidR="00225952" w:rsidRPr="007C475C" w:rsidTr="00225952">
        <w:tc>
          <w:tcPr>
            <w:tcW w:w="2215" w:type="dxa"/>
          </w:tcPr>
          <w:p w:rsidR="00225952" w:rsidRPr="00BB5D71" w:rsidRDefault="00225952" w:rsidP="00225952">
            <w:pPr>
              <w:pStyle w:val="HeadSide2"/>
            </w:pPr>
            <w:r w:rsidRPr="00BB5D71">
              <w:t>Step 4. Final CPA Review</w:t>
            </w:r>
          </w:p>
          <w:p w:rsidR="00225952" w:rsidRPr="008956F2" w:rsidRDefault="00225952" w:rsidP="00225952">
            <w:pPr>
              <w:pStyle w:val="HeadSideMain"/>
            </w:pPr>
          </w:p>
        </w:tc>
        <w:tc>
          <w:tcPr>
            <w:tcW w:w="7684" w:type="dxa"/>
          </w:tcPr>
          <w:p w:rsidR="00225952" w:rsidRPr="006F33A2" w:rsidRDefault="00225952" w:rsidP="00225952">
            <w:r w:rsidRPr="006F33A2">
              <w:t>A copy of CPAs approved by the local government along with supporting documentation transmitted to DCA for review should also be sent directly by the local government to the FDOT District representative responsible for amendment reviews. DCA will determine the completeness of the plan amendment within 5 working days of receipt and notify the District if the package is complete.  It is the responsibility of the local government to certify to DCA that copies of additional submissions have been sent to the FDOT District.</w:t>
            </w:r>
          </w:p>
          <w:p w:rsidR="00225952" w:rsidRPr="006F33A2" w:rsidRDefault="00225952" w:rsidP="00225952">
            <w:r w:rsidRPr="006F33A2">
              <w:t>Within 10 days after receipt of amendment package, District staff will notify DCA which amendments they intend to submit review comments on and a list of preliminary concerns relating to the amendments.  Plan amendments noted in the Initial Review should be included at a minimum unless changes were made to the proposed CPA that eliminate the concern</w:t>
            </w:r>
            <w:r>
              <w:t>s</w:t>
            </w:r>
            <w:r w:rsidRPr="006F33A2">
              <w:t xml:space="preserve">. DCA may request that the District perform a review on any amendment not included on the District’s list. DCA will notify local government of its intention to conduct a review of the amendments listed by the District per §163.3184 (6) (b) F.S. </w:t>
            </w:r>
          </w:p>
          <w:p w:rsidR="00DB6AE5" w:rsidRPr="00602308" w:rsidRDefault="00225952" w:rsidP="00225952">
            <w:r w:rsidRPr="006F33A2">
              <w:t xml:space="preserve">Within 30 days after receipt of an amendment package District staff will forward written comments to DCA regarding the respective plan amendment </w:t>
            </w:r>
            <w:r w:rsidRPr="006F33A2">
              <w:lastRenderedPageBreak/>
              <w:t>for potential inclusion into the subsequent Objections, Recommendations, and Comments ORC Report issued by DCA to the local government. Office of Policy Planning staff within FDOT</w:t>
            </w:r>
            <w:r>
              <w:t xml:space="preserve"> Central Office</w:t>
            </w:r>
            <w:r w:rsidRPr="006F33A2">
              <w:t xml:space="preserve"> as well as the applicable DCA reviewer should be contacted for any review containing a recommendation for “Objection” to facilitate communication and coordination.</w:t>
            </w:r>
          </w:p>
        </w:tc>
      </w:tr>
      <w:tr w:rsidR="00225952" w:rsidRPr="007C475C" w:rsidTr="00225952">
        <w:tc>
          <w:tcPr>
            <w:tcW w:w="2215" w:type="dxa"/>
          </w:tcPr>
          <w:p w:rsidR="00AB3325" w:rsidRDefault="00AB3325" w:rsidP="00225952">
            <w:pPr>
              <w:pStyle w:val="HeadSideMain"/>
            </w:pPr>
          </w:p>
          <w:p w:rsidR="00AB3325" w:rsidRDefault="00AB3325" w:rsidP="00225952">
            <w:pPr>
              <w:pStyle w:val="HeadSideMain"/>
            </w:pPr>
          </w:p>
          <w:p w:rsidR="00AB3325" w:rsidRDefault="00AB3325" w:rsidP="00225952">
            <w:pPr>
              <w:pStyle w:val="HeadSideMain"/>
            </w:pPr>
          </w:p>
          <w:p w:rsidR="00AB3325" w:rsidRDefault="00AB3325" w:rsidP="00225952">
            <w:pPr>
              <w:pStyle w:val="HeadSideMain"/>
            </w:pPr>
          </w:p>
          <w:p w:rsidR="00AB3325" w:rsidRDefault="00AB3325" w:rsidP="00225952">
            <w:pPr>
              <w:pStyle w:val="HeadSideMain"/>
            </w:pPr>
          </w:p>
          <w:p w:rsidR="00AB3325" w:rsidRDefault="00AB3325" w:rsidP="00225952">
            <w:pPr>
              <w:pStyle w:val="HeadSideMain"/>
            </w:pPr>
          </w:p>
          <w:p w:rsidR="00AB3325" w:rsidRDefault="00AB3325" w:rsidP="00225952">
            <w:pPr>
              <w:pStyle w:val="HeadSideMain"/>
            </w:pPr>
          </w:p>
          <w:p w:rsidR="00AB3325" w:rsidRDefault="00AB3325" w:rsidP="00225952">
            <w:pPr>
              <w:pStyle w:val="HeadSideMain"/>
            </w:pPr>
          </w:p>
          <w:p w:rsidR="00AB3325" w:rsidRDefault="00AB3325" w:rsidP="00225952">
            <w:pPr>
              <w:pStyle w:val="HeadSideMain"/>
            </w:pPr>
          </w:p>
          <w:p w:rsidR="00AB3325" w:rsidRDefault="00AB3325" w:rsidP="00225952">
            <w:pPr>
              <w:pStyle w:val="HeadSideMain"/>
            </w:pPr>
          </w:p>
          <w:p w:rsidR="00AB3325" w:rsidRDefault="00AB3325" w:rsidP="00225952">
            <w:pPr>
              <w:pStyle w:val="HeadSideMain"/>
            </w:pPr>
          </w:p>
          <w:p w:rsidR="00AB3325" w:rsidRDefault="00AB3325" w:rsidP="00225952">
            <w:pPr>
              <w:pStyle w:val="HeadSideMain"/>
            </w:pPr>
          </w:p>
          <w:p w:rsidR="00AB3325" w:rsidRDefault="00AB3325" w:rsidP="00225952">
            <w:pPr>
              <w:pStyle w:val="HeadSideMain"/>
            </w:pPr>
          </w:p>
          <w:p w:rsidR="00AB3325" w:rsidRDefault="00AB3325" w:rsidP="00225952">
            <w:pPr>
              <w:pStyle w:val="HeadSideMain"/>
            </w:pPr>
          </w:p>
          <w:p w:rsidR="00AB3325" w:rsidRDefault="00AB3325" w:rsidP="00225952">
            <w:pPr>
              <w:pStyle w:val="HeadSideMain"/>
            </w:pPr>
          </w:p>
          <w:p w:rsidR="00AB3325" w:rsidRDefault="00AB3325" w:rsidP="00225952">
            <w:pPr>
              <w:pStyle w:val="HeadSideMain"/>
            </w:pPr>
          </w:p>
          <w:p w:rsidR="00AB3325" w:rsidRDefault="00AB3325" w:rsidP="00225952">
            <w:pPr>
              <w:pStyle w:val="HeadSideMain"/>
            </w:pPr>
          </w:p>
          <w:p w:rsidR="00AB3325" w:rsidRDefault="00AB3325" w:rsidP="00225952">
            <w:pPr>
              <w:pStyle w:val="HeadSideMain"/>
            </w:pPr>
          </w:p>
          <w:p w:rsidR="00AB3325" w:rsidRDefault="00AB3325" w:rsidP="00225952">
            <w:pPr>
              <w:pStyle w:val="HeadSideMain"/>
            </w:pPr>
          </w:p>
          <w:p w:rsidR="00AB3325" w:rsidRDefault="00AB3325" w:rsidP="00225952">
            <w:pPr>
              <w:pStyle w:val="HeadSideMain"/>
            </w:pPr>
          </w:p>
          <w:p w:rsidR="00AB3325" w:rsidRDefault="00AB3325" w:rsidP="00225952">
            <w:pPr>
              <w:pStyle w:val="HeadSideMain"/>
            </w:pPr>
          </w:p>
          <w:p w:rsidR="00225952" w:rsidRDefault="00AB3325" w:rsidP="00225952">
            <w:pPr>
              <w:pStyle w:val="HeadSideMain"/>
            </w:pPr>
            <w:r w:rsidRPr="00AB3325">
              <w:rPr>
                <w:noProof/>
              </w:rPr>
              <w:drawing>
                <wp:inline distT="0" distB="0" distL="0" distR="0">
                  <wp:extent cx="1280160" cy="494466"/>
                  <wp:effectExtent l="19050" t="0" r="0" b="0"/>
                  <wp:docPr id="556" name="Picture 90" descr="button_PDFlink.png">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button_PDFlink.png"/>
                          <pic:cNvPicPr>
                            <a:picLocks noChangeAspect="1" noChangeArrowheads="1"/>
                          </pic:cNvPicPr>
                        </pic:nvPicPr>
                        <pic:blipFill>
                          <a:blip r:embed="rId15" cstate="print"/>
                          <a:srcRect/>
                          <a:stretch>
                            <a:fillRect/>
                          </a:stretch>
                        </pic:blipFill>
                        <pic:spPr bwMode="auto">
                          <a:xfrm>
                            <a:off x="0" y="0"/>
                            <a:ext cx="1280160" cy="494466"/>
                          </a:xfrm>
                          <a:prstGeom prst="rect">
                            <a:avLst/>
                          </a:prstGeom>
                          <a:noFill/>
                          <a:ln w="9525">
                            <a:noFill/>
                            <a:miter lim="800000"/>
                            <a:headEnd/>
                            <a:tailEnd/>
                          </a:ln>
                        </pic:spPr>
                      </pic:pic>
                    </a:graphicData>
                  </a:graphic>
                </wp:inline>
              </w:drawing>
            </w:r>
          </w:p>
          <w:p w:rsidR="00AB3325" w:rsidRPr="008956F2" w:rsidRDefault="00AB3325" w:rsidP="00AB3325">
            <w:pPr>
              <w:pStyle w:val="HeadSide20"/>
              <w:ind w:right="0"/>
              <w:jc w:val="center"/>
            </w:pPr>
            <w:r>
              <w:t>Mobility Techniques</w:t>
            </w:r>
          </w:p>
        </w:tc>
        <w:tc>
          <w:tcPr>
            <w:tcW w:w="7684" w:type="dxa"/>
          </w:tcPr>
          <w:p w:rsidR="00225952" w:rsidRPr="006F33A2" w:rsidRDefault="00225952" w:rsidP="00225952">
            <w:r w:rsidRPr="006F33A2">
              <w:t>FDOT staff review and comments should address the following:</w:t>
            </w:r>
          </w:p>
          <w:p w:rsidR="00225952" w:rsidRDefault="00225952" w:rsidP="00AD2D7A">
            <w:pPr>
              <w:pStyle w:val="BulletA"/>
              <w:numPr>
                <w:ilvl w:val="0"/>
                <w:numId w:val="144"/>
              </w:numPr>
            </w:pPr>
            <w:r w:rsidRPr="00EF76FE">
              <w:t>Identify whether there is sufficient information to evaluate the impact of the proposed land use change on SIS, FIHS, and TRIP-funded facilities such as a transportation impact analysis. If not, request that an appropriate transportation impact analysis to be submitted for review</w:t>
            </w:r>
          </w:p>
          <w:p w:rsidR="00225952" w:rsidRDefault="00225952" w:rsidP="00AD2D7A">
            <w:pPr>
              <w:pStyle w:val="BulletA"/>
              <w:numPr>
                <w:ilvl w:val="0"/>
                <w:numId w:val="144"/>
              </w:numPr>
            </w:pPr>
            <w:r w:rsidRPr="00EF76FE">
              <w:t>Identify flaws in the transportation impact analysis and recommend corrective action;</w:t>
            </w:r>
          </w:p>
          <w:p w:rsidR="00225952" w:rsidRDefault="00225952" w:rsidP="00AD2D7A">
            <w:pPr>
              <w:pStyle w:val="BulletA"/>
              <w:numPr>
                <w:ilvl w:val="0"/>
                <w:numId w:val="144"/>
              </w:numPr>
            </w:pPr>
            <w:r w:rsidRPr="00EF76FE">
              <w:t xml:space="preserve">Identify the location of the proposed future land use amendment in proximity to the nearest SIS, FIHS, or TRIP-funded facility; </w:t>
            </w:r>
          </w:p>
          <w:p w:rsidR="00225952" w:rsidRDefault="00225952" w:rsidP="00AD2D7A">
            <w:pPr>
              <w:pStyle w:val="BulletA"/>
              <w:numPr>
                <w:ilvl w:val="0"/>
                <w:numId w:val="144"/>
              </w:numPr>
            </w:pPr>
            <w:r w:rsidRPr="00EF76FE">
              <w:t>Verify the trip generation estimate of both the existing and future land use as well as the difference which is used for analysis;</w:t>
            </w:r>
          </w:p>
          <w:p w:rsidR="00225952" w:rsidRDefault="00225952" w:rsidP="00AD2D7A">
            <w:pPr>
              <w:pStyle w:val="BulletA"/>
              <w:numPr>
                <w:ilvl w:val="0"/>
                <w:numId w:val="144"/>
              </w:numPr>
            </w:pPr>
            <w:r w:rsidRPr="00EF76FE">
              <w:t>Verify the adopted LOS standard (per Rule 19-94, F.A.C.) and the current level of service.  Note where local government is using an incorrect LOS standard for SIS, FIHS, and TRIP-funded facilities;</w:t>
            </w:r>
          </w:p>
          <w:p w:rsidR="00225952" w:rsidRDefault="00225952" w:rsidP="00AD2D7A">
            <w:pPr>
              <w:pStyle w:val="BulletA"/>
              <w:numPr>
                <w:ilvl w:val="0"/>
                <w:numId w:val="144"/>
              </w:numPr>
            </w:pPr>
            <w:r w:rsidRPr="00EF76FE">
              <w:t xml:space="preserve">If new trips will impact a deficient or near-capacity facility, ensure corresponding transportation system capacity improvement is in transportation and capital improvement elements (financially feasible); </w:t>
            </w:r>
          </w:p>
          <w:p w:rsidR="00225952" w:rsidRDefault="00225952" w:rsidP="00AD2D7A">
            <w:pPr>
              <w:pStyle w:val="BulletA"/>
              <w:numPr>
                <w:ilvl w:val="0"/>
                <w:numId w:val="144"/>
              </w:numPr>
            </w:pPr>
            <w:r w:rsidRPr="00EF76FE">
              <w:t>If development (such as transit oriented development (TOD) or traditional neighborhood development (TND)) intends to rely on transit or other multimodal strategies, verify that adequate plans and programs are in place to support transit, transportation demand management, etc;</w:t>
            </w:r>
          </w:p>
          <w:p w:rsidR="00225952" w:rsidRDefault="00225952" w:rsidP="00AD2D7A">
            <w:pPr>
              <w:pStyle w:val="BulletA"/>
              <w:numPr>
                <w:ilvl w:val="0"/>
                <w:numId w:val="144"/>
              </w:numPr>
            </w:pPr>
            <w:r w:rsidRPr="00EF76FE">
              <w:t>Include positive comments regarding the use of multimodal strategies, including,</w:t>
            </w:r>
          </w:p>
          <w:p w:rsidR="00225952" w:rsidRDefault="00225952" w:rsidP="00AD2D7A">
            <w:pPr>
              <w:pStyle w:val="BulletA"/>
              <w:numPr>
                <w:ilvl w:val="0"/>
                <w:numId w:val="145"/>
              </w:numPr>
            </w:pPr>
            <w:r w:rsidRPr="00EF76FE">
              <w:t>recognize the transportation system benefits of TOD or TND; or</w:t>
            </w:r>
          </w:p>
          <w:p w:rsidR="00225952" w:rsidRDefault="00225952" w:rsidP="00AD2D7A">
            <w:pPr>
              <w:pStyle w:val="BulletA"/>
              <w:numPr>
                <w:ilvl w:val="0"/>
                <w:numId w:val="145"/>
              </w:numPr>
              <w:spacing w:after="240"/>
            </w:pPr>
            <w:r w:rsidRPr="00EF76FE">
              <w:t>note the importance of access management.</w:t>
            </w:r>
          </w:p>
          <w:p w:rsidR="00225952" w:rsidRPr="00602308" w:rsidRDefault="00225952" w:rsidP="00AB3325">
            <w:r>
              <w:t xml:space="preserve">From:  </w:t>
            </w:r>
            <w:hyperlink r:id="rId259" w:history="1">
              <w:r w:rsidRPr="000E24FC">
                <w:rPr>
                  <w:rStyle w:val="Hyperlink"/>
                  <w:szCs w:val="24"/>
                </w:rPr>
                <w:t>Documenting Improved Mobility Techniques on SIS and TRIP Facilities</w:t>
              </w:r>
            </w:hyperlink>
            <w:r>
              <w:t xml:space="preserve"> </w:t>
            </w:r>
          </w:p>
        </w:tc>
      </w:tr>
      <w:tr w:rsidR="00225952" w:rsidRPr="007C475C" w:rsidTr="00225952">
        <w:tc>
          <w:tcPr>
            <w:tcW w:w="2215" w:type="dxa"/>
          </w:tcPr>
          <w:p w:rsidR="00225952" w:rsidRPr="008956F2" w:rsidRDefault="00225952" w:rsidP="00225952">
            <w:pPr>
              <w:pStyle w:val="HeadSideMain"/>
            </w:pPr>
          </w:p>
        </w:tc>
        <w:tc>
          <w:tcPr>
            <w:tcW w:w="7684" w:type="dxa"/>
          </w:tcPr>
          <w:p w:rsidR="00225952" w:rsidRPr="006F33A2" w:rsidRDefault="00225952" w:rsidP="00225952">
            <w:pPr>
              <w:pStyle w:val="Part2Body"/>
            </w:pPr>
          </w:p>
        </w:tc>
      </w:tr>
    </w:tbl>
    <w:p w:rsidR="00225952" w:rsidRDefault="00225952"/>
    <w:p w:rsidR="00225952" w:rsidRDefault="00225952" w:rsidP="00225952">
      <w:pPr>
        <w:spacing w:after="0"/>
        <w:jc w:val="right"/>
        <w:rPr>
          <w:b/>
          <w:noProof/>
          <w:color w:val="4F6228"/>
          <w:sz w:val="56"/>
          <w:szCs w:val="56"/>
        </w:rPr>
        <w:sectPr w:rsidR="00225952" w:rsidSect="00832911">
          <w:headerReference w:type="even" r:id="rId260"/>
          <w:headerReference w:type="default" r:id="rId261"/>
          <w:footerReference w:type="even" r:id="rId262"/>
          <w:headerReference w:type="first" r:id="rId263"/>
          <w:footerReference w:type="first" r:id="rId264"/>
          <w:pgSz w:w="12240" w:h="15840"/>
          <w:pgMar w:top="1440" w:right="720" w:bottom="1440" w:left="1152" w:header="720" w:footer="720" w:gutter="0"/>
          <w:cols w:space="720"/>
          <w:docGrid w:linePitch="360"/>
        </w:sectPr>
      </w:pPr>
    </w:p>
    <w:tbl>
      <w:tblPr>
        <w:tblW w:w="10465" w:type="dxa"/>
        <w:tblInd w:w="115" w:type="dxa"/>
        <w:tblLayout w:type="fixed"/>
        <w:tblCellMar>
          <w:left w:w="115" w:type="dxa"/>
          <w:right w:w="115" w:type="dxa"/>
        </w:tblCellMar>
        <w:tblLook w:val="0000"/>
      </w:tblPr>
      <w:tblGrid>
        <w:gridCol w:w="2518"/>
        <w:gridCol w:w="7833"/>
        <w:gridCol w:w="114"/>
      </w:tblGrid>
      <w:tr w:rsidR="00C212BC" w:rsidRPr="00E84AE9" w:rsidTr="000569A8">
        <w:tc>
          <w:tcPr>
            <w:tcW w:w="2518" w:type="dxa"/>
            <w:vMerge w:val="restart"/>
            <w:vAlign w:val="bottom"/>
          </w:tcPr>
          <w:p w:rsidR="00C212BC" w:rsidRPr="000569A8" w:rsidRDefault="00C212BC" w:rsidP="000569A8">
            <w:pPr>
              <w:spacing w:after="120"/>
              <w:jc w:val="right"/>
              <w:rPr>
                <w:rFonts w:ascii="Tahoma" w:hAnsi="Tahoma" w:cs="Tahoma"/>
                <w:color w:val="008080"/>
                <w:sz w:val="160"/>
                <w:szCs w:val="160"/>
              </w:rPr>
            </w:pPr>
            <w:r w:rsidRPr="000569A8">
              <w:rPr>
                <w:rFonts w:ascii="Tahoma" w:hAnsi="Tahoma" w:cs="Tahoma"/>
                <w:color w:val="008080"/>
                <w:sz w:val="160"/>
                <w:szCs w:val="160"/>
              </w:rPr>
              <w:lastRenderedPageBreak/>
              <w:t>4</w:t>
            </w:r>
          </w:p>
        </w:tc>
        <w:tc>
          <w:tcPr>
            <w:tcW w:w="7947" w:type="dxa"/>
            <w:gridSpan w:val="2"/>
          </w:tcPr>
          <w:p w:rsidR="00C212BC" w:rsidRDefault="00C212BC" w:rsidP="00C212BC">
            <w:r>
              <w:rPr>
                <w:b/>
                <w:noProof/>
                <w:color w:val="4F6228"/>
                <w:sz w:val="56"/>
                <w:szCs w:val="56"/>
              </w:rPr>
              <w:drawing>
                <wp:inline distT="0" distB="0" distL="0" distR="0">
                  <wp:extent cx="4800600" cy="3131013"/>
                  <wp:effectExtent l="19050" t="0" r="0" b="0"/>
                  <wp:docPr id="235" name="Picture 37" descr="DRIFDOTReviewProcessFig4_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IFDOTReviewProcessFig4_1.emf"/>
                          <pic:cNvPicPr/>
                        </pic:nvPicPr>
                        <pic:blipFill>
                          <a:blip r:embed="rId265" cstate="print"/>
                          <a:srcRect t="8678" b="6132"/>
                          <a:stretch>
                            <a:fillRect/>
                          </a:stretch>
                        </pic:blipFill>
                        <pic:spPr>
                          <a:xfrm>
                            <a:off x="0" y="0"/>
                            <a:ext cx="4800600" cy="3131013"/>
                          </a:xfrm>
                          <a:prstGeom prst="rect">
                            <a:avLst/>
                          </a:prstGeom>
                        </pic:spPr>
                      </pic:pic>
                    </a:graphicData>
                  </a:graphic>
                </wp:inline>
              </w:drawing>
            </w:r>
          </w:p>
        </w:tc>
      </w:tr>
      <w:tr w:rsidR="00C212BC" w:rsidRPr="00E84AE9" w:rsidTr="000569A8">
        <w:tc>
          <w:tcPr>
            <w:tcW w:w="2518" w:type="dxa"/>
            <w:vMerge/>
          </w:tcPr>
          <w:p w:rsidR="00C212BC" w:rsidRPr="00455B70" w:rsidRDefault="00C212BC" w:rsidP="00225952">
            <w:pPr>
              <w:jc w:val="right"/>
              <w:rPr>
                <w:b/>
                <w:color w:val="4F6228"/>
                <w:sz w:val="56"/>
                <w:szCs w:val="56"/>
              </w:rPr>
            </w:pPr>
          </w:p>
        </w:tc>
        <w:tc>
          <w:tcPr>
            <w:tcW w:w="7947" w:type="dxa"/>
            <w:gridSpan w:val="2"/>
          </w:tcPr>
          <w:p w:rsidR="00C212BC" w:rsidRDefault="00C212BC" w:rsidP="00225952">
            <w:pPr>
              <w:pStyle w:val="Heading1"/>
            </w:pPr>
            <w:bookmarkStart w:id="232" w:name="_Developments_of_Regional"/>
            <w:bookmarkStart w:id="233" w:name="_Toc232912617"/>
            <w:bookmarkStart w:id="234" w:name="_Toc260316442"/>
            <w:bookmarkStart w:id="235" w:name="_Toc264274145"/>
            <w:bookmarkEnd w:id="232"/>
            <w:r>
              <w:t>Developments of Regional Impact</w:t>
            </w:r>
            <w:bookmarkEnd w:id="233"/>
            <w:bookmarkEnd w:id="234"/>
            <w:bookmarkEnd w:id="235"/>
            <w:r w:rsidRPr="00803378" w:rsidDel="004E44EC">
              <w:t xml:space="preserve"> </w:t>
            </w:r>
          </w:p>
        </w:tc>
      </w:tr>
      <w:tr w:rsidR="00225952" w:rsidRPr="00E84AE9" w:rsidTr="000569A8">
        <w:trPr>
          <w:gridAfter w:val="1"/>
          <w:wAfter w:w="114" w:type="dxa"/>
        </w:trPr>
        <w:tc>
          <w:tcPr>
            <w:tcW w:w="10351" w:type="dxa"/>
            <w:gridSpan w:val="2"/>
          </w:tcPr>
          <w:p w:rsidR="00225952" w:rsidRPr="00652B45" w:rsidRDefault="00225952" w:rsidP="00225952">
            <w:pPr>
              <w:pStyle w:val="Heading2"/>
            </w:pPr>
            <w:bookmarkStart w:id="236" w:name="_Toc232912618"/>
            <w:bookmarkStart w:id="237" w:name="_Toc260316443"/>
            <w:bookmarkStart w:id="238" w:name="_Toc264274146"/>
            <w:r>
              <w:t>4</w:t>
            </w:r>
            <w:r w:rsidRPr="00652B45">
              <w:t>.1    Introduction to D</w:t>
            </w:r>
            <w:r>
              <w:t xml:space="preserve">evelopment of </w:t>
            </w:r>
            <w:r w:rsidRPr="00652B45">
              <w:t>R</w:t>
            </w:r>
            <w:r>
              <w:t xml:space="preserve">egional </w:t>
            </w:r>
            <w:r w:rsidRPr="00652B45">
              <w:t>I</w:t>
            </w:r>
            <w:r>
              <w:t>mpact</w:t>
            </w:r>
            <w:r w:rsidRPr="00652B45">
              <w:t xml:space="preserve"> Review</w:t>
            </w:r>
            <w:bookmarkEnd w:id="236"/>
            <w:bookmarkEnd w:id="237"/>
            <w:bookmarkEnd w:id="238"/>
          </w:p>
        </w:tc>
      </w:tr>
      <w:tr w:rsidR="00225952" w:rsidRPr="00E84AE9" w:rsidTr="000569A8">
        <w:trPr>
          <w:gridAfter w:val="1"/>
          <w:wAfter w:w="114" w:type="dxa"/>
        </w:trPr>
        <w:tc>
          <w:tcPr>
            <w:tcW w:w="2518" w:type="dxa"/>
          </w:tcPr>
          <w:p w:rsidR="00225952" w:rsidRPr="00E84AE9" w:rsidRDefault="00225952" w:rsidP="00225952">
            <w:pPr>
              <w:pStyle w:val="SidebarSentence"/>
            </w:pPr>
          </w:p>
          <w:p w:rsidR="00225952" w:rsidRPr="00E84AE9" w:rsidRDefault="00225952" w:rsidP="00225952">
            <w:pPr>
              <w:pStyle w:val="SidebarSentence"/>
            </w:pPr>
          </w:p>
        </w:tc>
        <w:tc>
          <w:tcPr>
            <w:tcW w:w="7833" w:type="dxa"/>
          </w:tcPr>
          <w:p w:rsidR="00225952" w:rsidRDefault="00225952" w:rsidP="00482F7F">
            <w:pPr>
              <w:spacing w:after="120"/>
            </w:pPr>
            <w:r w:rsidRPr="00E84AE9">
              <w:t xml:space="preserve">This </w:t>
            </w:r>
            <w:r w:rsidR="002274C7">
              <w:t>section</w:t>
            </w:r>
            <w:r w:rsidRPr="00E84AE9">
              <w:t xml:space="preserve"> will help the </w:t>
            </w:r>
            <w:r>
              <w:t xml:space="preserve">FDOT reviewer </w:t>
            </w:r>
            <w:r w:rsidRPr="00E84AE9">
              <w:t xml:space="preserve">understand the </w:t>
            </w:r>
            <w:r>
              <w:t>Development of Regional Impact (</w:t>
            </w:r>
            <w:r w:rsidRPr="00E84AE9">
              <w:t>DRI</w:t>
            </w:r>
            <w:r>
              <w:t>)</w:t>
            </w:r>
            <w:r w:rsidRPr="00E84AE9">
              <w:t xml:space="preserve"> review process. In addition to providing a general understanding of the process, </w:t>
            </w:r>
            <w:r w:rsidRPr="00482F7F">
              <w:rPr>
                <w:spacing w:val="-2"/>
              </w:rPr>
              <w:t xml:space="preserve">the </w:t>
            </w:r>
            <w:r w:rsidR="002274C7">
              <w:rPr>
                <w:spacing w:val="-2"/>
              </w:rPr>
              <w:t>section</w:t>
            </w:r>
            <w:r w:rsidRPr="00482F7F">
              <w:rPr>
                <w:spacing w:val="-2"/>
              </w:rPr>
              <w:t xml:space="preserve"> will discuss the milestones at which the FDOT reviewer should become involved, when the reviews should be conducted, the timeframe allowed for review and with whom coordination is required.</w:t>
            </w:r>
          </w:p>
        </w:tc>
      </w:tr>
      <w:tr w:rsidR="00225952" w:rsidRPr="00E84AE9" w:rsidTr="000569A8">
        <w:trPr>
          <w:gridAfter w:val="1"/>
          <w:wAfter w:w="114" w:type="dxa"/>
        </w:trPr>
        <w:tc>
          <w:tcPr>
            <w:tcW w:w="2518" w:type="dxa"/>
          </w:tcPr>
          <w:p w:rsidR="00225952" w:rsidRPr="00E84AE9" w:rsidRDefault="00225952" w:rsidP="00225952">
            <w:pPr>
              <w:pStyle w:val="SidebarSentence"/>
            </w:pPr>
            <w:r>
              <w:t>A DRI is . . . any development which would . . . effect citizens in more than one county.</w:t>
            </w:r>
          </w:p>
        </w:tc>
        <w:tc>
          <w:tcPr>
            <w:tcW w:w="7833" w:type="dxa"/>
          </w:tcPr>
          <w:p w:rsidR="00482F7F" w:rsidRDefault="00225952" w:rsidP="00482F7F">
            <w:r w:rsidRPr="00E84AE9">
              <w:t xml:space="preserve">A DRI is defined by </w:t>
            </w:r>
            <w:hyperlink r:id="rId266" w:history="1">
              <w:r w:rsidRPr="006017D3">
                <w:rPr>
                  <w:rStyle w:val="Hyperlink"/>
                </w:rPr>
                <w:t>Section 380.06(1)</w:t>
              </w:r>
            </w:hyperlink>
            <w:r w:rsidRPr="00E84AE9">
              <w:t xml:space="preserve">, FS, as any development which, because of its character, magnitude or location, would have a substantial effect on the health, safety or welfare of citizens in more than one county. The state has established thresholds to determine when a development </w:t>
            </w:r>
            <w:r>
              <w:t>should</w:t>
            </w:r>
            <w:r w:rsidRPr="00E84AE9">
              <w:t xml:space="preserve"> undergo the DRI review process</w:t>
            </w:r>
            <w:r>
              <w:t xml:space="preserve">. </w:t>
            </w:r>
            <w:r w:rsidRPr="00E84AE9">
              <w:t>The D</w:t>
            </w:r>
            <w:r>
              <w:t xml:space="preserve">epartment of </w:t>
            </w:r>
            <w:r w:rsidRPr="00E84AE9">
              <w:t>C</w:t>
            </w:r>
            <w:r>
              <w:t xml:space="preserve">ommunity </w:t>
            </w:r>
            <w:r w:rsidRPr="00E84AE9">
              <w:t>A</w:t>
            </w:r>
            <w:r>
              <w:t xml:space="preserve">ffairs determined the need for review </w:t>
            </w:r>
            <w:r w:rsidRPr="00E84AE9">
              <w:t xml:space="preserve">using </w:t>
            </w:r>
            <w:hyperlink r:id="rId267" w:history="1">
              <w:r w:rsidRPr="006017D3">
                <w:rPr>
                  <w:rStyle w:val="Hyperlink"/>
                </w:rPr>
                <w:t>Chapter 28-24, FAC.</w:t>
              </w:r>
            </w:hyperlink>
            <w:r w:rsidRPr="00E84AE9">
              <w:t xml:space="preserve"> The process used to determine if a project is a DRI is presented in </w:t>
            </w:r>
            <w:r w:rsidR="00C460EE">
              <w:t>CH</w:t>
            </w:r>
            <w:r w:rsidRPr="00E84AE9">
              <w:t xml:space="preserve"> </w:t>
            </w:r>
            <w:r>
              <w:t>4</w:t>
            </w:r>
            <w:r w:rsidRPr="00E84AE9">
              <w:t>.2.1</w:t>
            </w:r>
            <w:r>
              <w:t>.</w:t>
            </w:r>
            <w:r w:rsidR="00482F7F">
              <w:tab/>
            </w:r>
          </w:p>
          <w:p w:rsidR="00225952" w:rsidRPr="00E84AE9" w:rsidRDefault="00225952" w:rsidP="00482F7F">
            <w:r>
              <w:t xml:space="preserve"> </w:t>
            </w:r>
            <w:r w:rsidRPr="00CB3DB2">
              <w:t xml:space="preserve">With the passage of </w:t>
            </w:r>
            <w:hyperlink r:id="rId268" w:history="1">
              <w:r w:rsidRPr="00CB3DB2">
                <w:rPr>
                  <w:rStyle w:val="Hyperlink"/>
                </w:rPr>
                <w:t>SB360 in 2009</w:t>
              </w:r>
            </w:hyperlink>
            <w:r w:rsidRPr="00CB3DB2">
              <w:t xml:space="preserve">, the legislature removed many of the requirements which necessitate DRI reviews in dense urban land areas (DULAs) and other specially designated districts. This law is currently under </w:t>
            </w:r>
            <w:hyperlink r:id="rId269" w:history="1">
              <w:r w:rsidRPr="00CB3DB2">
                <w:rPr>
                  <w:rStyle w:val="Hyperlink"/>
                </w:rPr>
                <w:t>legal challenge</w:t>
              </w:r>
            </w:hyperlink>
            <w:r w:rsidRPr="00CB3DB2">
              <w:t>. Once the outcome of this challenge is determined, an addendum to this chapter will be added</w:t>
            </w:r>
            <w:r>
              <w:t>.</w:t>
            </w:r>
            <w:r w:rsidR="00482F7F">
              <w:tab/>
            </w:r>
            <w:r>
              <w:t xml:space="preserve"> </w:t>
            </w:r>
          </w:p>
        </w:tc>
      </w:tr>
      <w:tr w:rsidR="00225952" w:rsidRPr="00E84AE9" w:rsidTr="000569A8">
        <w:trPr>
          <w:gridAfter w:val="1"/>
          <w:wAfter w:w="114" w:type="dxa"/>
        </w:trPr>
        <w:tc>
          <w:tcPr>
            <w:tcW w:w="2518" w:type="dxa"/>
          </w:tcPr>
          <w:p w:rsidR="00225952" w:rsidRPr="008C6F8F" w:rsidRDefault="00225952" w:rsidP="00225952">
            <w:pPr>
              <w:pStyle w:val="HeadSide"/>
            </w:pPr>
            <w:r w:rsidRPr="008C6F8F">
              <w:lastRenderedPageBreak/>
              <w:t>Resources in this document</w:t>
            </w:r>
          </w:p>
          <w:p w:rsidR="00225952" w:rsidRDefault="00225952" w:rsidP="00255107">
            <w:pPr>
              <w:pStyle w:val="HeadSide20"/>
            </w:pPr>
            <w:r w:rsidRPr="00DF03A3">
              <w:t>FDOT Reviewers should be familiar</w:t>
            </w:r>
            <w:r>
              <w:t xml:space="preserve"> with</w:t>
            </w:r>
            <w:r w:rsidRPr="00DF03A3">
              <w:t xml:space="preserve"> </w:t>
            </w:r>
          </w:p>
          <w:p w:rsidR="00225952" w:rsidRDefault="00225952" w:rsidP="00255107">
            <w:pPr>
              <w:pStyle w:val="HeadSide20"/>
            </w:pPr>
            <w:r w:rsidRPr="008C6F8F">
              <w:rPr>
                <w:b/>
              </w:rPr>
              <w:t>Appendix A</w:t>
            </w:r>
            <w:r>
              <w:br/>
            </w:r>
            <w:hyperlink w:anchor="APXA" w:history="1">
              <w:r w:rsidRPr="00AB3325">
                <w:rPr>
                  <w:rStyle w:val="Hyperlink"/>
                </w:rPr>
                <w:t>DRI-stages</w:t>
              </w:r>
            </w:hyperlink>
          </w:p>
          <w:p w:rsidR="00225952" w:rsidRPr="008C6F8F" w:rsidRDefault="00225952" w:rsidP="00255107">
            <w:pPr>
              <w:pStyle w:val="HeadSide20"/>
            </w:pPr>
            <w:r w:rsidRPr="00A92652">
              <w:rPr>
                <w:b/>
              </w:rPr>
              <w:t xml:space="preserve">Appendix </w:t>
            </w:r>
            <w:r>
              <w:rPr>
                <w:b/>
              </w:rPr>
              <w:t>B</w:t>
            </w:r>
            <w:r>
              <w:br/>
            </w:r>
            <w:r w:rsidRPr="00DF03A3">
              <w:t xml:space="preserve"> </w:t>
            </w:r>
            <w:r>
              <w:t xml:space="preserve">Question </w:t>
            </w:r>
            <w:r w:rsidRPr="00DF03A3">
              <w:t>21</w:t>
            </w:r>
            <w:r>
              <w:t xml:space="preserve"> </w:t>
            </w:r>
            <w:r>
              <w:br/>
              <w:t xml:space="preserve">   </w:t>
            </w:r>
            <w:r w:rsidRPr="008C6F8F">
              <w:rPr>
                <w:color w:val="0070C0"/>
              </w:rPr>
              <w:t xml:space="preserve">– </w:t>
            </w:r>
            <w:hyperlink w:anchor="_Question_21_-" w:history="1">
              <w:r w:rsidRPr="00AB3325">
                <w:rPr>
                  <w:rStyle w:val="Hyperlink"/>
                </w:rPr>
                <w:t>Transportation</w:t>
              </w:r>
            </w:hyperlink>
            <w:r>
              <w:t xml:space="preserve"> </w:t>
            </w:r>
            <w:r>
              <w:br/>
            </w:r>
            <w:r w:rsidRPr="00DF03A3">
              <w:t xml:space="preserve"> </w:t>
            </w:r>
            <w:r>
              <w:t xml:space="preserve">Question </w:t>
            </w:r>
            <w:r w:rsidRPr="00DF03A3">
              <w:t xml:space="preserve">22 </w:t>
            </w:r>
            <w:r>
              <w:br/>
              <w:t xml:space="preserve">   </w:t>
            </w:r>
            <w:r w:rsidRPr="008C6F8F">
              <w:rPr>
                <w:color w:val="0070C0"/>
              </w:rPr>
              <w:t xml:space="preserve">– </w:t>
            </w:r>
            <w:hyperlink w:anchor="_Question_22_-" w:history="1">
              <w:r w:rsidRPr="00AB3325">
                <w:rPr>
                  <w:rStyle w:val="Hyperlink"/>
                </w:rPr>
                <w:t>Air Quality</w:t>
              </w:r>
            </w:hyperlink>
          </w:p>
        </w:tc>
        <w:tc>
          <w:tcPr>
            <w:tcW w:w="7833" w:type="dxa"/>
          </w:tcPr>
          <w:p w:rsidR="00225952" w:rsidRDefault="00225952">
            <w:pPr>
              <w:spacing w:after="120"/>
            </w:pPr>
            <w:r>
              <w:t xml:space="preserve">A summary table is provided in </w:t>
            </w:r>
            <w:hyperlink w:anchor="APXA" w:history="1">
              <w:r w:rsidRPr="00005E8D">
                <w:rPr>
                  <w:rStyle w:val="Hyperlink"/>
                  <w:rFonts w:cstheme="minorBidi"/>
                </w:rPr>
                <w:t>Appendix A</w:t>
              </w:r>
            </w:hyperlink>
            <w:r w:rsidRPr="00005E8D">
              <w:t xml:space="preserve"> which lists the different DRI-stages which the FDOT reviewer has an opportunity to participate in. The requirements listed in Question 21 (Transportation) and Question 22 (Air Quality) for a proposed DRI Application for Development Approval (ADA) are included in </w:t>
            </w:r>
            <w:hyperlink w:anchor="APXB" w:history="1">
              <w:r w:rsidRPr="00005E8D">
                <w:rPr>
                  <w:rStyle w:val="Hyperlink"/>
                  <w:rFonts w:cstheme="minorBidi"/>
                </w:rPr>
                <w:t>Appendix B</w:t>
              </w:r>
            </w:hyperlink>
            <w:r w:rsidRPr="00005E8D">
              <w:t>.</w:t>
            </w:r>
            <w:r w:rsidRPr="00F342D1">
              <w:t xml:space="preserve"> </w:t>
            </w:r>
          </w:p>
          <w:p w:rsidR="00225952" w:rsidRDefault="00225952">
            <w:pPr>
              <w:spacing w:after="120"/>
            </w:pPr>
            <w:r>
              <w:t>FDOT reviews have historically focused on question 21 dealing with the transportation impacts of DRIs.  However the FDOT reviewer will also need to be familiar with question 22 dealing with Air Quality and any related requirements. For Example t</w:t>
            </w:r>
            <w:r w:rsidRPr="006D77DA">
              <w:t>he EPA has proposed to strengthen the National Ambient Air Quality Standards (NAAQS) for ozone. The EPA is scheduled to issue a final ozone standard by August 31, 2010. Whenever EPA updates a NAAQS, it designates areas in which violations of the new or revised NAAQS are occurring as “nonattainment” areas.  EPA’s final determination of which areas are to be designated as nonattainment would occur within one year or by August 31, 2011. It is anticipated that significant areas within Florida will be affected by the designation.</w:t>
            </w:r>
            <w:r w:rsidRPr="003D1115">
              <w:t xml:space="preserve"> </w:t>
            </w:r>
          </w:p>
          <w:p w:rsidR="00225952" w:rsidRDefault="00225952">
            <w:pPr>
              <w:spacing w:after="120"/>
              <w:rPr>
                <w:spacing w:val="-6"/>
              </w:rPr>
            </w:pPr>
            <w:r w:rsidRPr="003D1115">
              <w:t xml:space="preserve">Following the designation of nonattainment areas, Florida must submit its revised State Implementation Plan (SIP) to EPA by December 2013. The SIP revision will address all sources of volatile organic compounds (VOC) and nitrogen oxides (NOx), the precursors to ozone formation. MPO Long Range Transportation Plans (LRTP) developed within nonattainment areas must show conformity to the SIP. This requires transportation plans to meet VOC and NOx emission budgets contained in the SIP. A conformity determination will be required for all transportation plans within nonattainment areas beginning one year after final nonattainment designations are made. Additions, deletions or modifications to regionally significant projects negotiated within the DRI process may trigger a determination of conformity for the applicable MPO LRTP.  Failure to maintain a </w:t>
            </w:r>
            <w:r w:rsidRPr="000B3152">
              <w:rPr>
                <w:spacing w:val="-6"/>
              </w:rPr>
              <w:t>conforming plan may result in the ultimate suspension of Federal transportation funds.</w:t>
            </w:r>
          </w:p>
          <w:p w:rsidR="00225952" w:rsidRDefault="00225952">
            <w:pPr>
              <w:spacing w:after="120"/>
            </w:pPr>
            <w:r w:rsidRPr="006D77DA">
              <w:t xml:space="preserve">New DRIs should immediately determine whether the project falls within a nonattainment area. Projects within a nonattainment area should consult with DEP Division of Air Resource Management and FDOT District officials for initial guidance regarding air quality impacts and requirements.    </w:t>
            </w:r>
          </w:p>
        </w:tc>
      </w:tr>
    </w:tbl>
    <w:p w:rsidR="00482F7F" w:rsidRDefault="00482F7F">
      <w:r>
        <w:rPr>
          <w:bCs/>
          <w:i/>
        </w:rPr>
        <w:br w:type="page"/>
      </w:r>
    </w:p>
    <w:tbl>
      <w:tblPr>
        <w:tblW w:w="10351" w:type="dxa"/>
        <w:tblInd w:w="115" w:type="dxa"/>
        <w:tblLayout w:type="fixed"/>
        <w:tblCellMar>
          <w:left w:w="115" w:type="dxa"/>
          <w:right w:w="115" w:type="dxa"/>
        </w:tblCellMar>
        <w:tblLook w:val="0000"/>
      </w:tblPr>
      <w:tblGrid>
        <w:gridCol w:w="2518"/>
        <w:gridCol w:w="4895"/>
        <w:gridCol w:w="2938"/>
      </w:tblGrid>
      <w:tr w:rsidR="00225952" w:rsidRPr="00E84AE9" w:rsidTr="00482F7F">
        <w:tc>
          <w:tcPr>
            <w:tcW w:w="2518" w:type="dxa"/>
          </w:tcPr>
          <w:p w:rsidR="00225952" w:rsidRDefault="00225952" w:rsidP="00225952">
            <w:pPr>
              <w:pStyle w:val="SidebarSentence"/>
            </w:pPr>
            <w:r>
              <w:lastRenderedPageBreak/>
              <w:t>FDOT Reviewers should be familiar with</w:t>
            </w:r>
          </w:p>
          <w:p w:rsidR="00225952" w:rsidRDefault="00225952" w:rsidP="00225952">
            <w:pPr>
              <w:pStyle w:val="SidebarSentence"/>
            </w:pPr>
            <w:r>
              <w:t xml:space="preserve">Question 9 </w:t>
            </w:r>
            <w:r>
              <w:br/>
              <w:t xml:space="preserve">– General Location Map </w:t>
            </w:r>
          </w:p>
          <w:p w:rsidR="00225952" w:rsidRDefault="00225952">
            <w:pPr>
              <w:pStyle w:val="SidebarSentence"/>
            </w:pPr>
            <w:r>
              <w:t xml:space="preserve">Question 10 </w:t>
            </w:r>
            <w:r>
              <w:br/>
              <w:t>– General Project Description</w:t>
            </w:r>
          </w:p>
        </w:tc>
        <w:tc>
          <w:tcPr>
            <w:tcW w:w="7833" w:type="dxa"/>
            <w:gridSpan w:val="2"/>
          </w:tcPr>
          <w:p w:rsidR="00225952" w:rsidRDefault="00225952">
            <w:pPr>
              <w:rPr>
                <w:rStyle w:val="BoldInitial"/>
                <w:bCs/>
                <w:i/>
                <w:color w:val="404040"/>
              </w:rPr>
            </w:pPr>
            <w:r w:rsidRPr="00F342D1">
              <w:t>It is noted that at a minimum the FDOT reviewer should also be familiar with the following information:</w:t>
            </w:r>
          </w:p>
          <w:p w:rsidR="00225952" w:rsidRDefault="00225952">
            <w:r w:rsidRPr="003A59AA">
              <w:rPr>
                <w:rStyle w:val="BoldInitial"/>
              </w:rPr>
              <w:t>Question 9 Maps:</w:t>
            </w:r>
            <w:r w:rsidRPr="00F342D1">
              <w:t xml:space="preserve"> A General Location Map (Map A), an Aerial Photo of the site (Map B), Existing Land Use and Significant Resources (Map D), and the Master Plan (Map H) all provide valuable visual information that assists in orienting the reviewer with the site.</w:t>
            </w:r>
          </w:p>
          <w:p w:rsidR="00225952" w:rsidRDefault="00225952">
            <w:r w:rsidRPr="003A59AA">
              <w:rPr>
                <w:rStyle w:val="BoldInitial"/>
              </w:rPr>
              <w:t>Question 10 General Project Description:</w:t>
            </w:r>
            <w:r w:rsidRPr="00F342D1">
              <w:t xml:space="preserve"> This section provides a general overview of the site and includes information about the size of the site, the proposed development plan, the general market for the site, consistency with the Comprehensive Plan, and demographic and employment information. The demographic and employment information is of particular interest as it can be used as a reasonableness check for proposed internal capture rates (i.e. a comparison can be made between the anticipated price of homes and the expected on-site employment income).</w:t>
            </w:r>
          </w:p>
        </w:tc>
      </w:tr>
      <w:tr w:rsidR="00225952" w:rsidRPr="00E84AE9" w:rsidTr="00482F7F">
        <w:tc>
          <w:tcPr>
            <w:tcW w:w="2518" w:type="dxa"/>
          </w:tcPr>
          <w:p w:rsidR="00225952" w:rsidRDefault="00225952">
            <w:pPr>
              <w:pStyle w:val="HeadSide"/>
            </w:pPr>
            <w:r w:rsidRPr="00F05E1C">
              <w:t>Incorporating Transit and Other Multimodal Considerations</w:t>
            </w:r>
          </w:p>
          <w:p w:rsidR="00225952" w:rsidRDefault="00225952" w:rsidP="00255107">
            <w:pPr>
              <w:pStyle w:val="HeadSide20"/>
            </w:pPr>
          </w:p>
          <w:p w:rsidR="00225952" w:rsidRDefault="00225952" w:rsidP="00255107">
            <w:pPr>
              <w:pStyle w:val="HeadSide20"/>
            </w:pPr>
          </w:p>
          <w:p w:rsidR="00225952" w:rsidRDefault="00225952">
            <w:pPr>
              <w:pStyle w:val="HeadSide"/>
            </w:pPr>
          </w:p>
          <w:p w:rsidR="00225952" w:rsidRDefault="00225952" w:rsidP="00AB3325">
            <w:pPr>
              <w:pStyle w:val="HeadSide"/>
              <w:spacing w:after="0"/>
            </w:pPr>
            <w:r>
              <w:rPr>
                <w:noProof/>
              </w:rPr>
              <w:drawing>
                <wp:inline distT="0" distB="0" distL="0" distR="0">
                  <wp:extent cx="1393190" cy="544195"/>
                  <wp:effectExtent l="19050" t="0" r="0" b="0"/>
                  <wp:docPr id="63" name="Picture 50" descr="button_PDFlink.png">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button_PDFlink.png"/>
                          <pic:cNvPicPr>
                            <a:picLocks noChangeAspect="1" noChangeArrowheads="1"/>
                          </pic:cNvPicPr>
                        </pic:nvPicPr>
                        <pic:blipFill>
                          <a:blip r:embed="rId15" cstate="print"/>
                          <a:srcRect/>
                          <a:stretch>
                            <a:fillRect/>
                          </a:stretch>
                        </pic:blipFill>
                        <pic:spPr bwMode="auto">
                          <a:xfrm>
                            <a:off x="0" y="0"/>
                            <a:ext cx="1393190" cy="544195"/>
                          </a:xfrm>
                          <a:prstGeom prst="rect">
                            <a:avLst/>
                          </a:prstGeom>
                          <a:noFill/>
                          <a:ln w="9525">
                            <a:noFill/>
                            <a:miter lim="800000"/>
                            <a:headEnd/>
                            <a:tailEnd/>
                          </a:ln>
                        </pic:spPr>
                      </pic:pic>
                    </a:graphicData>
                  </a:graphic>
                </wp:inline>
              </w:drawing>
            </w:r>
          </w:p>
          <w:p w:rsidR="00AB3325" w:rsidRDefault="00AB3325" w:rsidP="00AB3325">
            <w:pPr>
              <w:pStyle w:val="HeadSide2"/>
              <w:jc w:val="center"/>
            </w:pPr>
            <w:r>
              <w:t>Transit Guidelines</w:t>
            </w:r>
          </w:p>
        </w:tc>
        <w:tc>
          <w:tcPr>
            <w:tcW w:w="7833" w:type="dxa"/>
            <w:gridSpan w:val="2"/>
          </w:tcPr>
          <w:p w:rsidR="00225952" w:rsidRDefault="00225952">
            <w:r w:rsidRPr="00F342D1">
              <w:t xml:space="preserve">The National Center for Transit Research </w:t>
            </w:r>
            <w:r>
              <w:t xml:space="preserve">(NCTR) </w:t>
            </w:r>
            <w:r w:rsidRPr="00F342D1">
              <w:t xml:space="preserve">has developed specific guidance for the FDOT reviewer to incorporate multimodal and transit performance measures into the DRI review process. The guidance includes specific multimodal information to be included in the ADA, multimodal information to be submitted for the transportation methodology meeting, mode split analysis, sufficiency checklist, evaluation criteria, mitigation strategies, local government development order, and monitoring. Regardless of the stage of the DRI review, the FDOT reviewer should work with local government, other reviewing agency staff and applicants to identify opportunities to integrate transit and multimodal services and create strategies for making communities ready for transit in the future. The </w:t>
            </w:r>
            <w:hyperlink r:id="rId270" w:history="1">
              <w:r w:rsidRPr="00F342D1">
                <w:rPr>
                  <w:rStyle w:val="Hyperlink"/>
                  <w:i/>
                </w:rPr>
                <w:t>Guidelines and Performance Measures to Incorporate Transit and Other Multimodal Considerations into the FDOT DRI Review Process</w:t>
              </w:r>
            </w:hyperlink>
            <w:r w:rsidRPr="00F342D1">
              <w:rPr>
                <w:i/>
              </w:rPr>
              <w:t xml:space="preserve">  </w:t>
            </w:r>
            <w:r w:rsidRPr="00F342D1">
              <w:t>also</w:t>
            </w:r>
            <w:r w:rsidRPr="00F342D1">
              <w:rPr>
                <w:i/>
              </w:rPr>
              <w:t xml:space="preserve"> </w:t>
            </w:r>
            <w:r w:rsidRPr="00F342D1">
              <w:rPr>
                <w:rFonts w:eastAsia="Batang" w:cs="Calibri"/>
                <w:szCs w:val="23"/>
                <w:lang w:eastAsia="ko-KR"/>
              </w:rPr>
              <w:t>provides sample FDOT review comments and discusses methods for quantifying multimodal transportation impacts</w:t>
            </w:r>
            <w:r w:rsidRPr="00F342D1">
              <w:t>.</w:t>
            </w:r>
            <w:r>
              <w:t xml:space="preserve">  Key sections of the NCTR document have been incorporated into this handbook, resources and appendices.</w:t>
            </w:r>
          </w:p>
        </w:tc>
      </w:tr>
      <w:tr w:rsidR="00225952" w:rsidRPr="00E84AE9" w:rsidTr="00482F7F">
        <w:tc>
          <w:tcPr>
            <w:tcW w:w="2518" w:type="dxa"/>
          </w:tcPr>
          <w:p w:rsidR="00225952" w:rsidRPr="00652B45" w:rsidRDefault="00225952" w:rsidP="00225952">
            <w:pPr>
              <w:pStyle w:val="Heading4"/>
            </w:pPr>
            <w:r>
              <w:t>Regional Planning Council and</w:t>
            </w:r>
            <w:r w:rsidRPr="00652B45">
              <w:t xml:space="preserve"> Local Government Participation in the DRI Review Process</w:t>
            </w:r>
          </w:p>
          <w:p w:rsidR="00225952" w:rsidRPr="00803378" w:rsidRDefault="00225952" w:rsidP="00225952">
            <w:pPr>
              <w:rPr>
                <w:rFonts w:ascii="Times New Roman" w:hAnsi="Times New Roman"/>
                <w:sz w:val="24"/>
                <w:szCs w:val="24"/>
              </w:rPr>
            </w:pPr>
          </w:p>
        </w:tc>
        <w:tc>
          <w:tcPr>
            <w:tcW w:w="7833" w:type="dxa"/>
            <w:gridSpan w:val="2"/>
          </w:tcPr>
          <w:p w:rsidR="00225952" w:rsidRPr="00E84AE9" w:rsidRDefault="00225952" w:rsidP="00225952">
            <w:r w:rsidRPr="00E84AE9">
              <w:t>The Regional Planning Council (RPC) plays a key role in the DRI process, coordinating application and review activities at the regional level</w:t>
            </w:r>
            <w:r>
              <w:t xml:space="preserve"> </w:t>
            </w:r>
            <w:hyperlink r:id="rId271" w:history="1">
              <w:r w:rsidRPr="00530D76">
                <w:rPr>
                  <w:rStyle w:val="Hyperlink"/>
                </w:rPr>
                <w:t>(</w:t>
              </w:r>
              <w:r>
                <w:rPr>
                  <w:rStyle w:val="Hyperlink"/>
                </w:rPr>
                <w:t>S</w:t>
              </w:r>
              <w:r w:rsidRPr="00530D76">
                <w:rPr>
                  <w:rStyle w:val="Hyperlink"/>
                </w:rPr>
                <w:t>ection 360.06(7)(a)F.S.)</w:t>
              </w:r>
            </w:hyperlink>
            <w:r>
              <w:t xml:space="preserve">. </w:t>
            </w:r>
            <w:r w:rsidRPr="00E84AE9">
              <w:t>Local government participation is also important since the local planning agency plays a lead role in the identification of local issues or concerns relative to the project</w:t>
            </w:r>
            <w:r>
              <w:t xml:space="preserve">. </w:t>
            </w:r>
            <w:r w:rsidRPr="00E84AE9">
              <w:t xml:space="preserve">The local government is also responsible for conducting a public hearing on the project and serves as the primary agency in the execution and approval of binding development orders (DO). </w:t>
            </w:r>
          </w:p>
        </w:tc>
      </w:tr>
      <w:tr w:rsidR="00225952" w:rsidRPr="00E84AE9" w:rsidTr="00482F7F">
        <w:tc>
          <w:tcPr>
            <w:tcW w:w="2518" w:type="dxa"/>
          </w:tcPr>
          <w:p w:rsidR="00225952" w:rsidRDefault="00225952" w:rsidP="00AA6047">
            <w:pPr>
              <w:pStyle w:val="Heading4"/>
            </w:pPr>
            <w:bookmarkStart w:id="239" w:name="_Toc232912619"/>
            <w:r w:rsidRPr="00F05E1C">
              <w:lastRenderedPageBreak/>
              <w:t>DRI Process</w:t>
            </w:r>
            <w:bookmarkEnd w:id="239"/>
            <w:r w:rsidR="00AA6047">
              <w:br/>
            </w:r>
          </w:p>
          <w:p w:rsidR="00AA6047" w:rsidRPr="00AA6047" w:rsidRDefault="00AA6047" w:rsidP="00AA6047"/>
          <w:p w:rsidR="00225952" w:rsidRPr="00652B45" w:rsidRDefault="00225952" w:rsidP="00784F8A">
            <w:pPr>
              <w:pStyle w:val="Exhibit"/>
            </w:pPr>
            <w:r w:rsidRPr="00652B45">
              <w:t xml:space="preserve">Exhibit </w:t>
            </w:r>
            <w:r w:rsidR="00784F8A">
              <w:t>24</w:t>
            </w:r>
          </w:p>
          <w:p w:rsidR="00225952" w:rsidRDefault="00225952" w:rsidP="00784F8A">
            <w:pPr>
              <w:pStyle w:val="ExhibitTitle"/>
            </w:pPr>
            <w:r>
              <w:t>DRI Process</w:t>
            </w:r>
          </w:p>
          <w:p w:rsidR="00225952" w:rsidRDefault="00225952" w:rsidP="00225952">
            <w:pPr>
              <w:pStyle w:val="FigureTitle"/>
            </w:pPr>
          </w:p>
          <w:p w:rsidR="00225952" w:rsidRPr="00E84AE9" w:rsidRDefault="00225952" w:rsidP="00225952">
            <w:pPr>
              <w:pStyle w:val="FigureTitle"/>
            </w:pPr>
          </w:p>
          <w:p w:rsidR="00225952" w:rsidRPr="00E84AE9" w:rsidRDefault="00225952" w:rsidP="00225952">
            <w:pPr>
              <w:pStyle w:val="SidebarSentence"/>
            </w:pPr>
            <w:r w:rsidRPr="00E84AE9">
              <w:t>Know the review times for each step of the DRI process</w:t>
            </w:r>
          </w:p>
        </w:tc>
        <w:tc>
          <w:tcPr>
            <w:tcW w:w="4895" w:type="dxa"/>
          </w:tcPr>
          <w:p w:rsidR="00225952" w:rsidRPr="00E84AE9" w:rsidRDefault="00225952" w:rsidP="00225952">
            <w:r>
              <w:rPr>
                <w:noProof/>
              </w:rPr>
              <w:drawing>
                <wp:inline distT="0" distB="0" distL="0" distR="0">
                  <wp:extent cx="2846980" cy="7960349"/>
                  <wp:effectExtent l="19050" t="0" r="0" b="0"/>
                  <wp:docPr id="64" name="Picture 66" descr="Exhibit3-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Exhibit3-1.emf"/>
                          <pic:cNvPicPr>
                            <a:picLocks noChangeAspect="1" noChangeArrowheads="1"/>
                          </pic:cNvPicPr>
                        </pic:nvPicPr>
                        <pic:blipFill>
                          <a:blip r:embed="rId272" cstate="print"/>
                          <a:srcRect/>
                          <a:stretch>
                            <a:fillRect/>
                          </a:stretch>
                        </pic:blipFill>
                        <pic:spPr bwMode="auto">
                          <a:xfrm>
                            <a:off x="0" y="0"/>
                            <a:ext cx="2847969" cy="7963113"/>
                          </a:xfrm>
                          <a:prstGeom prst="rect">
                            <a:avLst/>
                          </a:prstGeom>
                          <a:noFill/>
                          <a:ln w="9525">
                            <a:noFill/>
                            <a:miter lim="800000"/>
                            <a:headEnd/>
                            <a:tailEnd/>
                          </a:ln>
                        </pic:spPr>
                      </pic:pic>
                    </a:graphicData>
                  </a:graphic>
                </wp:inline>
              </w:drawing>
            </w:r>
          </w:p>
        </w:tc>
        <w:tc>
          <w:tcPr>
            <w:tcW w:w="2938" w:type="dxa"/>
          </w:tcPr>
          <w:p w:rsidR="00225952" w:rsidRDefault="00225952" w:rsidP="00225952">
            <w:r w:rsidRPr="00E84AE9">
              <w:t>The procedural require</w:t>
            </w:r>
            <w:r w:rsidR="00482F7F">
              <w:t>-</w:t>
            </w:r>
            <w:r w:rsidRPr="00E84AE9">
              <w:t xml:space="preserve">ments for applying for approval of a DRI are found in </w:t>
            </w:r>
            <w:hyperlink r:id="rId273" w:history="1">
              <w:r w:rsidRPr="00530D76">
                <w:rPr>
                  <w:rStyle w:val="Hyperlink"/>
                </w:rPr>
                <w:t>Rule 9J-2-045, FAC</w:t>
              </w:r>
            </w:hyperlink>
            <w:r w:rsidRPr="00E84AE9">
              <w:t xml:space="preserve">, of the DCA. The </w:t>
            </w:r>
            <w:r>
              <w:t>FDOT reviewer should</w:t>
            </w:r>
            <w:r w:rsidRPr="00E84AE9">
              <w:t xml:space="preserve"> know the review times appropriate for each step of the DRI process</w:t>
            </w:r>
            <w:r>
              <w:t>. It is noted</w:t>
            </w:r>
            <w:r w:rsidRPr="00E84AE9">
              <w:t xml:space="preserve"> that the actual review times for the </w:t>
            </w:r>
            <w:r>
              <w:t xml:space="preserve">FDOT reviewer </w:t>
            </w:r>
            <w:r w:rsidRPr="00E84AE9">
              <w:t>will likely be even shorter than the statutory limits since the times reflect those for the lead coordinating agencies.</w:t>
            </w:r>
            <w:r>
              <w:t xml:space="preserve"> </w:t>
            </w:r>
            <w:r w:rsidRPr="00E84AE9">
              <w:t>These review times, along with lead agency identification and statutory and code reference guidelines, are depicted in</w:t>
            </w:r>
            <w:r>
              <w:t xml:space="preserve"> Exhibit </w:t>
            </w:r>
            <w:r w:rsidR="00784F8A">
              <w:t>24</w:t>
            </w:r>
            <w:r w:rsidRPr="00E84AE9">
              <w:t>.</w:t>
            </w:r>
          </w:p>
          <w:p w:rsidR="00225952" w:rsidRDefault="00225952" w:rsidP="00225952"/>
          <w:p w:rsidR="00225952" w:rsidRDefault="00225952" w:rsidP="00225952"/>
          <w:p w:rsidR="00225952" w:rsidRDefault="00225952" w:rsidP="00225952"/>
          <w:p w:rsidR="00225952" w:rsidRDefault="00225952" w:rsidP="00225952"/>
          <w:p w:rsidR="00225952" w:rsidRDefault="00225952" w:rsidP="00225952"/>
          <w:p w:rsidR="00225952" w:rsidRDefault="00225952" w:rsidP="00225952"/>
          <w:p w:rsidR="00225952" w:rsidRDefault="00225952" w:rsidP="00225952"/>
          <w:p w:rsidR="00225952" w:rsidRDefault="00225952" w:rsidP="00225952"/>
          <w:p w:rsidR="00225952" w:rsidRDefault="00225952" w:rsidP="00225952"/>
          <w:p w:rsidR="00225952" w:rsidRPr="00DF03A3" w:rsidRDefault="00225952" w:rsidP="00482F7F">
            <w:pPr>
              <w:jc w:val="left"/>
              <w:rPr>
                <w:i/>
              </w:rPr>
            </w:pPr>
            <w:r w:rsidRPr="003A59AA">
              <w:rPr>
                <w:i/>
              </w:rPr>
              <w:t xml:space="preserve">Note:  typical </w:t>
            </w:r>
            <w:r w:rsidRPr="003A59AA">
              <w:rPr>
                <w:bCs/>
                <w:i/>
                <w:iCs/>
              </w:rPr>
              <w:t>processing time thru DCA and local jurisdiction(s) takes no less than 270 days from initial submittal to formal adoption</w:t>
            </w:r>
          </w:p>
        </w:tc>
      </w:tr>
      <w:tr w:rsidR="00225952" w:rsidRPr="00E84AE9" w:rsidTr="00482F7F">
        <w:tc>
          <w:tcPr>
            <w:tcW w:w="2518" w:type="dxa"/>
          </w:tcPr>
          <w:p w:rsidR="00225952" w:rsidRPr="00652B45" w:rsidRDefault="00225952" w:rsidP="00225952">
            <w:pPr>
              <w:pStyle w:val="Heading4"/>
            </w:pPr>
            <w:r w:rsidRPr="00652B45">
              <w:lastRenderedPageBreak/>
              <w:t>Modifications of Approved DRIs</w:t>
            </w:r>
          </w:p>
          <w:p w:rsidR="00225952" w:rsidRPr="00652B45" w:rsidRDefault="00225952" w:rsidP="00225952">
            <w:pPr>
              <w:pStyle w:val="Heading4"/>
            </w:pPr>
          </w:p>
        </w:tc>
        <w:tc>
          <w:tcPr>
            <w:tcW w:w="7833" w:type="dxa"/>
            <w:gridSpan w:val="2"/>
          </w:tcPr>
          <w:p w:rsidR="00225952" w:rsidRPr="00E84AE9" w:rsidRDefault="00225952" w:rsidP="00225952">
            <w:pPr>
              <w:spacing w:after="120"/>
            </w:pPr>
            <w:r w:rsidRPr="00E84AE9">
              <w:t xml:space="preserve">For modifications of approved DRIs, the review of annual/biennial reports, or the review of traffic monitoring reports, the </w:t>
            </w:r>
            <w:r>
              <w:t xml:space="preserve">FDOT reviewer </w:t>
            </w:r>
            <w:r w:rsidRPr="00E84AE9">
              <w:t>should clarify the review time and comment process with the lead agency (</w:t>
            </w:r>
            <w:r>
              <w:t>often the local government</w:t>
            </w:r>
            <w:r w:rsidRPr="00E84AE9">
              <w:t>). While such reviews are often not as lengthy or complicated as the review of a newly proposed DRI, FDOT participation is critical in assuring that impacts to the Strategic Intermodal System (SIS) and State Highway System are identified and properly mitigated.</w:t>
            </w:r>
          </w:p>
        </w:tc>
      </w:tr>
      <w:tr w:rsidR="00225952" w:rsidRPr="00E84AE9" w:rsidTr="00482F7F">
        <w:tc>
          <w:tcPr>
            <w:tcW w:w="2518" w:type="dxa"/>
          </w:tcPr>
          <w:p w:rsidR="00225952" w:rsidRDefault="00225952" w:rsidP="00255107">
            <w:pPr>
              <w:pStyle w:val="HeadSide20"/>
            </w:pPr>
          </w:p>
          <w:p w:rsidR="00225952" w:rsidRDefault="00225952" w:rsidP="00255107">
            <w:pPr>
              <w:pStyle w:val="HeadSide20"/>
            </w:pPr>
          </w:p>
          <w:p w:rsidR="00225952" w:rsidRDefault="00225952" w:rsidP="00255107">
            <w:pPr>
              <w:pStyle w:val="HeadSide20"/>
            </w:pPr>
          </w:p>
          <w:p w:rsidR="00225952" w:rsidRDefault="00225952" w:rsidP="00255107">
            <w:pPr>
              <w:pStyle w:val="HeadSide20"/>
            </w:pPr>
          </w:p>
          <w:p w:rsidR="00225952" w:rsidRDefault="00225952" w:rsidP="00255107">
            <w:pPr>
              <w:pStyle w:val="HeadSide20"/>
            </w:pPr>
          </w:p>
          <w:p w:rsidR="00225952" w:rsidRDefault="00225952" w:rsidP="00255107">
            <w:pPr>
              <w:pStyle w:val="HeadSide20"/>
            </w:pPr>
          </w:p>
          <w:p w:rsidR="00225952" w:rsidRDefault="00225952" w:rsidP="00255107">
            <w:pPr>
              <w:pStyle w:val="HeadSide20"/>
            </w:pPr>
          </w:p>
          <w:p w:rsidR="00225952" w:rsidRDefault="00225952" w:rsidP="00255107">
            <w:pPr>
              <w:pStyle w:val="HeadSide20"/>
            </w:pPr>
            <w:r w:rsidRPr="00DF03A3">
              <w:t xml:space="preserve">DRI Activities Which the FDOT Reviewer May Respond To </w:t>
            </w:r>
          </w:p>
        </w:tc>
        <w:tc>
          <w:tcPr>
            <w:tcW w:w="7833" w:type="dxa"/>
            <w:gridSpan w:val="2"/>
          </w:tcPr>
          <w:p w:rsidR="00225952" w:rsidRDefault="00225952">
            <w:r w:rsidRPr="00E84AE9">
              <w:t>The instructions and review requirements outlined in this Chapter are applicable to all types of Developments of Regional Impact (DRIs). Additional considerations unique to a particular step in the DRI process or to a unique type of DRI are addressed in the review checklists referenced in this Chapter</w:t>
            </w:r>
            <w:r>
              <w:t xml:space="preserve">. </w:t>
            </w:r>
            <w:r w:rsidRPr="00E84AE9">
              <w:t xml:space="preserve">This Chapter primarily focuses on ADA reviews which normally represent the most common and complex FDOT reviews associated with DRI applications. </w:t>
            </w:r>
          </w:p>
          <w:p w:rsidR="00225952" w:rsidRDefault="00225952">
            <w:r w:rsidRPr="00E84AE9">
              <w:t xml:space="preserve">The following list highlights the activities in which the </w:t>
            </w:r>
            <w:r>
              <w:t xml:space="preserve">FDOT reviewer </w:t>
            </w:r>
            <w:r w:rsidRPr="00E84AE9">
              <w:t>has opportunities to respond with comments, through the coordinating RPC or other agency, to the applicant for various types of DRI reviews.</w:t>
            </w:r>
          </w:p>
          <w:p w:rsidR="00225952" w:rsidRPr="005324D7" w:rsidRDefault="00225952" w:rsidP="00225952">
            <w:pPr>
              <w:spacing w:after="0"/>
              <w:rPr>
                <w:b/>
                <w:sz w:val="24"/>
              </w:rPr>
            </w:pPr>
            <w:r w:rsidRPr="005324D7">
              <w:rPr>
                <w:b/>
                <w:sz w:val="24"/>
              </w:rPr>
              <w:t>ADA Reviews</w:t>
            </w:r>
          </w:p>
          <w:p w:rsidR="00225952" w:rsidRPr="00005E8D" w:rsidRDefault="00225952" w:rsidP="008D2D1A">
            <w:pPr>
              <w:pStyle w:val="BulletA"/>
              <w:numPr>
                <w:ilvl w:val="0"/>
                <w:numId w:val="23"/>
              </w:numPr>
            </w:pPr>
            <w:r w:rsidRPr="0053113F">
              <w:t xml:space="preserve">DRI </w:t>
            </w:r>
            <w:r w:rsidRPr="00005E8D">
              <w:t>Determination (Binding Letter of Determination)</w:t>
            </w:r>
          </w:p>
          <w:p w:rsidR="00225952" w:rsidRPr="00005E8D" w:rsidRDefault="00225952" w:rsidP="008D2D1A">
            <w:pPr>
              <w:pStyle w:val="BulletA"/>
              <w:numPr>
                <w:ilvl w:val="0"/>
                <w:numId w:val="23"/>
              </w:numPr>
            </w:pPr>
            <w:r w:rsidRPr="00005E8D">
              <w:t>Methodology Development</w:t>
            </w:r>
          </w:p>
          <w:p w:rsidR="00225952" w:rsidRPr="00005E8D" w:rsidRDefault="00225952" w:rsidP="00AD2D7A">
            <w:pPr>
              <w:pStyle w:val="BulletA"/>
              <w:numPr>
                <w:ilvl w:val="1"/>
                <w:numId w:val="118"/>
              </w:numPr>
            </w:pPr>
            <w:r w:rsidRPr="00005E8D">
              <w:t xml:space="preserve">Pre-application Conference Format Meeting </w:t>
            </w:r>
          </w:p>
          <w:p w:rsidR="00225952" w:rsidRPr="00005E8D" w:rsidRDefault="00225952" w:rsidP="00AD2D7A">
            <w:pPr>
              <w:pStyle w:val="BulletA"/>
              <w:numPr>
                <w:ilvl w:val="1"/>
                <w:numId w:val="118"/>
              </w:numPr>
            </w:pPr>
            <w:r w:rsidRPr="00005E8D">
              <w:t xml:space="preserve">Pre-application Conference Project Summary Narrative Review </w:t>
            </w:r>
          </w:p>
          <w:p w:rsidR="00225952" w:rsidRPr="00005E8D" w:rsidRDefault="00225952" w:rsidP="00AD2D7A">
            <w:pPr>
              <w:pStyle w:val="BulletA"/>
              <w:numPr>
                <w:ilvl w:val="1"/>
                <w:numId w:val="118"/>
              </w:numPr>
            </w:pPr>
            <w:r w:rsidRPr="00005E8D">
              <w:t xml:space="preserve">Transportation Methodology Meeting Information Submittal Review </w:t>
            </w:r>
          </w:p>
          <w:p w:rsidR="00225952" w:rsidRPr="00005E8D" w:rsidRDefault="00225952" w:rsidP="00AD2D7A">
            <w:pPr>
              <w:pStyle w:val="BulletA"/>
              <w:numPr>
                <w:ilvl w:val="1"/>
                <w:numId w:val="118"/>
              </w:numPr>
            </w:pPr>
            <w:r w:rsidRPr="00005E8D">
              <w:t xml:space="preserve">Review of RPC Regional Issues List and Agency Comments </w:t>
            </w:r>
            <w:r w:rsidRPr="00005E8D">
              <w:br/>
              <w:t xml:space="preserve">(which may include Transportation Methodology Letter of Understanding) </w:t>
            </w:r>
          </w:p>
          <w:p w:rsidR="00225952" w:rsidRPr="00005E8D" w:rsidRDefault="00225952" w:rsidP="008D2D1A">
            <w:pPr>
              <w:pStyle w:val="BulletA"/>
              <w:numPr>
                <w:ilvl w:val="0"/>
                <w:numId w:val="23"/>
              </w:numPr>
            </w:pPr>
            <w:r w:rsidRPr="00005E8D">
              <w:t xml:space="preserve">ADA Review </w:t>
            </w:r>
          </w:p>
          <w:p w:rsidR="00225952" w:rsidRPr="00005E8D" w:rsidRDefault="00225952" w:rsidP="008D2D1A">
            <w:pPr>
              <w:pStyle w:val="BulletA"/>
              <w:numPr>
                <w:ilvl w:val="0"/>
                <w:numId w:val="23"/>
              </w:numPr>
            </w:pPr>
            <w:r w:rsidRPr="00005E8D">
              <w:t xml:space="preserve">Applicant Response Review (also called Sufficiency Reviews) </w:t>
            </w:r>
          </w:p>
          <w:p w:rsidR="00225952" w:rsidRPr="00005E8D" w:rsidRDefault="00225952" w:rsidP="008D2D1A">
            <w:pPr>
              <w:pStyle w:val="BulletA"/>
              <w:numPr>
                <w:ilvl w:val="0"/>
                <w:numId w:val="23"/>
              </w:numPr>
            </w:pPr>
            <w:r w:rsidRPr="00005E8D">
              <w:t>RPC Assessment Report</w:t>
            </w:r>
          </w:p>
          <w:p w:rsidR="00225952" w:rsidRPr="0053113F" w:rsidRDefault="00225952" w:rsidP="008D2D1A">
            <w:pPr>
              <w:pStyle w:val="BulletA"/>
              <w:numPr>
                <w:ilvl w:val="0"/>
                <w:numId w:val="23"/>
              </w:numPr>
            </w:pPr>
            <w:r w:rsidRPr="00005E8D">
              <w:t>Local Government Development</w:t>
            </w:r>
            <w:r w:rsidRPr="0053113F">
              <w:t xml:space="preserve"> Order Review </w:t>
            </w:r>
          </w:p>
          <w:p w:rsidR="00225952" w:rsidRPr="005324D7" w:rsidRDefault="00225952">
            <w:pPr>
              <w:spacing w:after="60"/>
              <w:rPr>
                <w:b/>
                <w:sz w:val="24"/>
              </w:rPr>
            </w:pPr>
            <w:r w:rsidRPr="005324D7">
              <w:rPr>
                <w:b/>
                <w:sz w:val="24"/>
              </w:rPr>
              <w:t>Approved DRIs</w:t>
            </w:r>
          </w:p>
          <w:p w:rsidR="00225952" w:rsidRPr="0053113F" w:rsidRDefault="00225952" w:rsidP="00AD2D7A">
            <w:pPr>
              <w:pStyle w:val="BulletA"/>
              <w:numPr>
                <w:ilvl w:val="0"/>
                <w:numId w:val="119"/>
              </w:numPr>
            </w:pPr>
            <w:r w:rsidRPr="0053113F">
              <w:t>Proposed Changes to Approved DRIs</w:t>
            </w:r>
          </w:p>
          <w:p w:rsidR="00225952" w:rsidRPr="0053113F" w:rsidRDefault="00225952" w:rsidP="00AD2D7A">
            <w:pPr>
              <w:pStyle w:val="BulletA"/>
              <w:numPr>
                <w:ilvl w:val="0"/>
                <w:numId w:val="119"/>
              </w:numPr>
            </w:pPr>
            <w:r w:rsidRPr="0053113F">
              <w:t xml:space="preserve">Annual/Biennial Report Review </w:t>
            </w:r>
          </w:p>
          <w:p w:rsidR="00225952" w:rsidRDefault="00225952" w:rsidP="00AD2D7A">
            <w:pPr>
              <w:pStyle w:val="BulletA"/>
              <w:numPr>
                <w:ilvl w:val="0"/>
                <w:numId w:val="119"/>
              </w:numPr>
            </w:pPr>
            <w:r w:rsidRPr="0053113F">
              <w:t xml:space="preserve">Traffic Monitoring Study </w:t>
            </w:r>
          </w:p>
        </w:tc>
      </w:tr>
      <w:tr w:rsidR="00225952" w:rsidRPr="00E84AE9" w:rsidTr="00482F7F">
        <w:tc>
          <w:tcPr>
            <w:tcW w:w="2518" w:type="dxa"/>
          </w:tcPr>
          <w:p w:rsidR="00225952" w:rsidRDefault="00225952">
            <w:pPr>
              <w:pStyle w:val="Heading4"/>
            </w:pPr>
            <w:r>
              <w:t>Other review types</w:t>
            </w:r>
          </w:p>
          <w:p w:rsidR="00225952" w:rsidRDefault="00225952" w:rsidP="00255107">
            <w:pPr>
              <w:pStyle w:val="HeadSide20"/>
            </w:pPr>
          </w:p>
          <w:p w:rsidR="00225952" w:rsidRDefault="00225952" w:rsidP="00255107">
            <w:pPr>
              <w:pStyle w:val="HeadSide20"/>
            </w:pPr>
          </w:p>
          <w:p w:rsidR="00225952" w:rsidRDefault="00225952" w:rsidP="00255107">
            <w:pPr>
              <w:pStyle w:val="HeadSide20"/>
            </w:pPr>
          </w:p>
          <w:p w:rsidR="00225952" w:rsidRDefault="00225952" w:rsidP="00255107">
            <w:pPr>
              <w:pStyle w:val="HeadSide20"/>
            </w:pPr>
          </w:p>
          <w:p w:rsidR="00225952" w:rsidRDefault="00225952" w:rsidP="00255107">
            <w:pPr>
              <w:pStyle w:val="HeadSide20"/>
            </w:pPr>
          </w:p>
          <w:p w:rsidR="00225952" w:rsidRDefault="00225952" w:rsidP="00255107">
            <w:pPr>
              <w:pStyle w:val="HeadSide20"/>
            </w:pPr>
          </w:p>
          <w:p w:rsidR="00225952" w:rsidRDefault="00225952" w:rsidP="00225952">
            <w:pPr>
              <w:pStyle w:val="SidebarSentence"/>
            </w:pPr>
          </w:p>
          <w:p w:rsidR="00225952" w:rsidRDefault="00225952" w:rsidP="00225952">
            <w:pPr>
              <w:pStyle w:val="SidebarSentence"/>
            </w:pPr>
          </w:p>
          <w:p w:rsidR="00225952" w:rsidRDefault="00225952">
            <w:pPr>
              <w:pStyle w:val="HeadSideR"/>
            </w:pPr>
            <w:r>
              <w:drawing>
                <wp:anchor distT="0" distB="0" distL="114300" distR="114300" simplePos="0" relativeHeight="251660288" behindDoc="1" locked="0" layoutInCell="1" allowOverlap="1">
                  <wp:simplePos x="0" y="0"/>
                  <wp:positionH relativeFrom="column">
                    <wp:posOffset>71755</wp:posOffset>
                  </wp:positionH>
                  <wp:positionV relativeFrom="paragraph">
                    <wp:align>bottom</wp:align>
                  </wp:positionV>
                  <wp:extent cx="1409700" cy="552450"/>
                  <wp:effectExtent l="19050" t="0" r="0" b="0"/>
                  <wp:wrapNone/>
                  <wp:docPr id="67" name="Picture 19" descr="button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uttonResource"/>
                          <pic:cNvPicPr>
                            <a:picLocks noChangeAspect="1" noChangeArrowheads="1"/>
                          </pic:cNvPicPr>
                        </pic:nvPicPr>
                        <pic:blipFill>
                          <a:blip r:embed="rId274" cstate="print"/>
                          <a:srcRect/>
                          <a:stretch>
                            <a:fillRect/>
                          </a:stretch>
                        </pic:blipFill>
                        <pic:spPr bwMode="auto">
                          <a:xfrm>
                            <a:off x="0" y="0"/>
                            <a:ext cx="1409700" cy="552450"/>
                          </a:xfrm>
                          <a:prstGeom prst="rect">
                            <a:avLst/>
                          </a:prstGeom>
                          <a:noFill/>
                          <a:ln w="9525">
                            <a:noFill/>
                            <a:miter lim="800000"/>
                            <a:headEnd/>
                            <a:tailEnd/>
                          </a:ln>
                        </pic:spPr>
                      </pic:pic>
                    </a:graphicData>
                  </a:graphic>
                </wp:anchor>
              </w:drawing>
            </w:r>
            <w:r>
              <w:t>Appendix A</w:t>
            </w:r>
          </w:p>
        </w:tc>
        <w:tc>
          <w:tcPr>
            <w:tcW w:w="7833" w:type="dxa"/>
            <w:gridSpan w:val="2"/>
          </w:tcPr>
          <w:p w:rsidR="00225952" w:rsidRPr="00E84AE9" w:rsidRDefault="00225952" w:rsidP="00225952">
            <w:r w:rsidRPr="00E84AE9">
              <w:lastRenderedPageBreak/>
              <w:t xml:space="preserve">The following types of other reviews associated with DRIs </w:t>
            </w:r>
            <w:r>
              <w:t xml:space="preserve">are </w:t>
            </w:r>
            <w:r w:rsidRPr="00E84AE9">
              <w:t xml:space="preserve">also addressed in this </w:t>
            </w:r>
            <w:r w:rsidR="002274C7">
              <w:t>section</w:t>
            </w:r>
            <w:r w:rsidRPr="00E84AE9">
              <w:t xml:space="preserve">: </w:t>
            </w:r>
          </w:p>
          <w:p w:rsidR="00225952" w:rsidRPr="00451279" w:rsidRDefault="00225952" w:rsidP="008D2D1A">
            <w:pPr>
              <w:pStyle w:val="bullet10"/>
              <w:numPr>
                <w:ilvl w:val="0"/>
                <w:numId w:val="26"/>
              </w:numPr>
              <w:spacing w:after="60"/>
              <w:jc w:val="left"/>
              <w:rPr>
                <w:rFonts w:asciiTheme="minorHAnsi" w:hAnsiTheme="minorHAnsi"/>
                <w:sz w:val="22"/>
                <w:szCs w:val="22"/>
              </w:rPr>
            </w:pPr>
            <w:r w:rsidRPr="00451279">
              <w:rPr>
                <w:rStyle w:val="BoldInitial"/>
                <w:rFonts w:asciiTheme="minorHAnsi" w:hAnsiTheme="minorHAnsi"/>
              </w:rPr>
              <w:t>Notifications of Proposed Change (NOPCs):</w:t>
            </w:r>
            <w:r w:rsidRPr="00451279">
              <w:rPr>
                <w:rFonts w:asciiTheme="minorHAnsi" w:hAnsiTheme="minorHAnsi"/>
                <w:sz w:val="22"/>
                <w:szCs w:val="22"/>
              </w:rPr>
              <w:t xml:space="preserve">  A report that is required to be </w:t>
            </w:r>
            <w:r w:rsidRPr="00451279">
              <w:rPr>
                <w:rFonts w:asciiTheme="minorHAnsi" w:hAnsiTheme="minorHAnsi"/>
                <w:sz w:val="22"/>
                <w:szCs w:val="22"/>
              </w:rPr>
              <w:lastRenderedPageBreak/>
              <w:t>submitted by the applicant to the local government, the RPC and DCA when a change is proposed to a previously approved DRI.</w:t>
            </w:r>
          </w:p>
          <w:p w:rsidR="00225952" w:rsidRPr="00451279" w:rsidRDefault="00225952" w:rsidP="008D2D1A">
            <w:pPr>
              <w:pStyle w:val="bullet10"/>
              <w:numPr>
                <w:ilvl w:val="0"/>
                <w:numId w:val="26"/>
              </w:numPr>
              <w:spacing w:after="60"/>
              <w:jc w:val="left"/>
              <w:rPr>
                <w:rFonts w:asciiTheme="minorHAnsi" w:hAnsiTheme="minorHAnsi"/>
                <w:sz w:val="22"/>
                <w:szCs w:val="22"/>
              </w:rPr>
            </w:pPr>
            <w:r w:rsidRPr="00451279">
              <w:rPr>
                <w:rStyle w:val="BoldInitial"/>
                <w:rFonts w:asciiTheme="minorHAnsi" w:hAnsiTheme="minorHAnsi"/>
              </w:rPr>
              <w:t>Annual/biennial reports:</w:t>
            </w:r>
            <w:r w:rsidRPr="00451279">
              <w:rPr>
                <w:rFonts w:asciiTheme="minorHAnsi" w:hAnsiTheme="minorHAnsi"/>
                <w:sz w:val="22"/>
                <w:szCs w:val="22"/>
              </w:rPr>
              <w:t xml:space="preserve">  A required report that summarizes information describing any changes that have been made to the development plan during the reporting period, information about the master plan, lands purchased, permitting, and local government, and a summary of each development order condition and when each commitment has been complied with. </w:t>
            </w:r>
          </w:p>
          <w:p w:rsidR="00225952" w:rsidRPr="00451279" w:rsidRDefault="00225952" w:rsidP="008D2D1A">
            <w:pPr>
              <w:pStyle w:val="bullet10"/>
              <w:numPr>
                <w:ilvl w:val="0"/>
                <w:numId w:val="26"/>
              </w:numPr>
              <w:jc w:val="left"/>
              <w:rPr>
                <w:rFonts w:asciiTheme="minorHAnsi" w:hAnsiTheme="minorHAnsi"/>
                <w:sz w:val="22"/>
                <w:szCs w:val="22"/>
              </w:rPr>
            </w:pPr>
            <w:r w:rsidRPr="00451279">
              <w:rPr>
                <w:rStyle w:val="BoldInitial"/>
                <w:rFonts w:asciiTheme="minorHAnsi" w:hAnsiTheme="minorHAnsi"/>
              </w:rPr>
              <w:t>Transportation or Traffic monitoring studies:</w:t>
            </w:r>
            <w:r w:rsidRPr="00451279">
              <w:rPr>
                <w:rFonts w:asciiTheme="minorHAnsi" w:hAnsiTheme="minorHAnsi"/>
                <w:sz w:val="22"/>
                <w:szCs w:val="22"/>
              </w:rPr>
              <w:t xml:space="preserve">  These studies are usually required by a condition in the development order and are described in greater detail below.</w:t>
            </w:r>
          </w:p>
          <w:p w:rsidR="00225952" w:rsidRDefault="00225952">
            <w:r>
              <w:t xml:space="preserve">See </w:t>
            </w:r>
            <w:hyperlink w:anchor="APXA" w:history="1">
              <w:r w:rsidRPr="00451279">
                <w:rPr>
                  <w:rStyle w:val="Hyperlink"/>
                  <w:rFonts w:cstheme="minorBidi"/>
                </w:rPr>
                <w:t>Appendix A</w:t>
              </w:r>
            </w:hyperlink>
            <w:r>
              <w:t xml:space="preserve"> which details the DRI stages, review timeframes and responsible agencies for the FDOT reviewer to provide input to.</w:t>
            </w:r>
          </w:p>
        </w:tc>
      </w:tr>
      <w:tr w:rsidR="00225952" w:rsidRPr="00E84AE9" w:rsidTr="00482F7F">
        <w:trPr>
          <w:trHeight w:val="990"/>
        </w:trPr>
        <w:tc>
          <w:tcPr>
            <w:tcW w:w="2518" w:type="dxa"/>
          </w:tcPr>
          <w:p w:rsidR="00225952" w:rsidRDefault="00225952" w:rsidP="00255107">
            <w:pPr>
              <w:pStyle w:val="HeadSide20"/>
            </w:pPr>
            <w:r>
              <w:lastRenderedPageBreak/>
              <w:t>Transportation</w:t>
            </w:r>
            <w:r w:rsidRPr="00E84AE9">
              <w:t xml:space="preserve"> </w:t>
            </w:r>
            <w:r>
              <w:t xml:space="preserve">or Traffic </w:t>
            </w:r>
            <w:r w:rsidRPr="00E84AE9">
              <w:t xml:space="preserve">monitoring studies </w:t>
            </w:r>
            <w:r w:rsidRPr="00D448ED">
              <w:t>are</w:t>
            </w:r>
            <w:r w:rsidRPr="00E84AE9">
              <w:t xml:space="preserve"> frequently </w:t>
            </w:r>
            <w:r>
              <w:t xml:space="preserve">included </w:t>
            </w:r>
            <w:r w:rsidRPr="00E84AE9">
              <w:t xml:space="preserve">in Development Order </w:t>
            </w:r>
            <w:r>
              <w:t>conditions</w:t>
            </w:r>
          </w:p>
        </w:tc>
        <w:tc>
          <w:tcPr>
            <w:tcW w:w="7833" w:type="dxa"/>
            <w:gridSpan w:val="2"/>
          </w:tcPr>
          <w:p w:rsidR="00225952" w:rsidRDefault="00225952">
            <w:pPr>
              <w:rPr>
                <w:color w:val="FF0000"/>
              </w:rPr>
            </w:pPr>
            <w:r w:rsidRPr="00E84AE9">
              <w:t xml:space="preserve">As </w:t>
            </w:r>
            <w:r>
              <w:t>DRI analysis</w:t>
            </w:r>
            <w:r w:rsidRPr="00E84AE9">
              <w:t xml:space="preserve"> </w:t>
            </w:r>
            <w:r>
              <w:t>is a</w:t>
            </w:r>
            <w:r w:rsidRPr="00E84AE9">
              <w:t xml:space="preserve"> complex</w:t>
            </w:r>
            <w:r>
              <w:t xml:space="preserve"> process</w:t>
            </w:r>
            <w:r w:rsidRPr="00E84AE9">
              <w:t xml:space="preserve">, the requirement for </w:t>
            </w:r>
            <w:r>
              <w:t xml:space="preserve">transportation or </w:t>
            </w:r>
            <w:r w:rsidRPr="00E84AE9">
              <w:t>traffic monitoring studies is being included more frequently in Development Order agreements</w:t>
            </w:r>
            <w:r>
              <w:t xml:space="preserve">. </w:t>
            </w:r>
            <w:r w:rsidRPr="00E84AE9">
              <w:t xml:space="preserve">These studies, which differ from the statutory requirement of annual/biennial reports, usually require the collection and analysis of transportation data to verify assumptions associated with internal capture (or community capture if applicable), background growth rates, and other assumptions made during the ADA. </w:t>
            </w:r>
            <w:r>
              <w:t xml:space="preserve">Monitoring studies also serve to show how close a development’s traffic is getting to the improvement thresholds. </w:t>
            </w:r>
            <w:r w:rsidRPr="00E84AE9">
              <w:t xml:space="preserve">A similar process to that of an ADA (i.e. methodology development, study review, and sufficiency determinations) is often used in the review of monitoring studies. FDOT participation throughout the process is essential. </w:t>
            </w:r>
            <w:r>
              <w:t xml:space="preserve"> FDOT staff should recommend appropriate monitoring for single occupancy vehicle use such as applicable multimodal criteria from </w:t>
            </w:r>
            <w:hyperlink w:anchor="C5" w:history="1">
              <w:r w:rsidRPr="00D1578E">
                <w:rPr>
                  <w:rStyle w:val="Hyperlink"/>
                  <w:rFonts w:cstheme="minorBidi"/>
                </w:rPr>
                <w:t>DRI Checklist 5</w:t>
              </w:r>
            </w:hyperlink>
            <w:r>
              <w:t xml:space="preserve">. </w:t>
            </w:r>
            <w:r w:rsidRPr="00E84AE9">
              <w:t xml:space="preserve">Additional information about this step is presented in </w:t>
            </w:r>
            <w:hyperlink w:anchor="_4.4.2__" w:history="1">
              <w:r w:rsidRPr="00D1578E">
                <w:rPr>
                  <w:rStyle w:val="Hyperlink"/>
                  <w:rFonts w:cstheme="minorBidi"/>
                </w:rPr>
                <w:t>4.4.2 Traffic Monitoring Studies</w:t>
              </w:r>
            </w:hyperlink>
            <w:r w:rsidRPr="00E84AE9">
              <w:t>.</w:t>
            </w:r>
          </w:p>
        </w:tc>
      </w:tr>
      <w:tr w:rsidR="00225952" w:rsidRPr="00E84AE9" w:rsidTr="00482F7F">
        <w:tc>
          <w:tcPr>
            <w:tcW w:w="2518" w:type="dxa"/>
          </w:tcPr>
          <w:p w:rsidR="00225952" w:rsidRDefault="00225952" w:rsidP="00255107">
            <w:pPr>
              <w:pStyle w:val="HeadSide20"/>
            </w:pPr>
            <w:r w:rsidRPr="00E84AE9">
              <w:t xml:space="preserve">The DRI process often requires the review of large amounts of information </w:t>
            </w:r>
          </w:p>
          <w:p w:rsidR="00225952" w:rsidRPr="00E84AE9" w:rsidRDefault="00225952" w:rsidP="00225952"/>
          <w:p w:rsidR="00225952" w:rsidRPr="00E84AE9" w:rsidRDefault="00225952" w:rsidP="00225952"/>
          <w:p w:rsidR="00225952" w:rsidRPr="00E84AE9" w:rsidRDefault="00225952" w:rsidP="00225952">
            <w:pPr>
              <w:pStyle w:val="SidebarSentence"/>
            </w:pPr>
          </w:p>
          <w:p w:rsidR="00225952" w:rsidRDefault="00225952" w:rsidP="00255107">
            <w:pPr>
              <w:pStyle w:val="HeadSide20"/>
            </w:pPr>
            <w:r w:rsidRPr="00E84AE9">
              <w:t>Solving problems on a local system can reduce problems on the state system</w:t>
            </w:r>
          </w:p>
          <w:p w:rsidR="00225952" w:rsidRPr="00803378" w:rsidRDefault="00225952" w:rsidP="00225952">
            <w:pPr>
              <w:rPr>
                <w:rFonts w:ascii="Times New Roman" w:hAnsi="Times New Roman"/>
                <w:sz w:val="24"/>
                <w:szCs w:val="24"/>
              </w:rPr>
            </w:pPr>
          </w:p>
        </w:tc>
        <w:tc>
          <w:tcPr>
            <w:tcW w:w="7833" w:type="dxa"/>
            <w:gridSpan w:val="2"/>
          </w:tcPr>
          <w:p w:rsidR="00225952" w:rsidRPr="00E84AE9" w:rsidRDefault="00225952" w:rsidP="00225952">
            <w:r w:rsidRPr="00E84AE9">
              <w:t xml:space="preserve">The DRI process requires </w:t>
            </w:r>
            <w:r>
              <w:t xml:space="preserve">reviewing </w:t>
            </w:r>
            <w:r w:rsidRPr="00E84AE9">
              <w:t xml:space="preserve">large amounts of information over a </w:t>
            </w:r>
            <w:r>
              <w:t xml:space="preserve">period of </w:t>
            </w:r>
            <w:r w:rsidRPr="00E84AE9">
              <w:t xml:space="preserve">time determined by statute. The following are general recommendations that may be helpful for the </w:t>
            </w:r>
            <w:r>
              <w:t xml:space="preserve">FDOT reviewer </w:t>
            </w:r>
            <w:r w:rsidRPr="00E84AE9">
              <w:t xml:space="preserve">throughout the DRI process. </w:t>
            </w:r>
          </w:p>
          <w:p w:rsidR="00225952" w:rsidRDefault="00225952" w:rsidP="00AD2D7A">
            <w:pPr>
              <w:pStyle w:val="BulletA"/>
              <w:numPr>
                <w:ilvl w:val="0"/>
                <w:numId w:val="120"/>
              </w:numPr>
            </w:pPr>
            <w:r w:rsidRPr="003A59AA">
              <w:rPr>
                <w:rStyle w:val="BoldInitial"/>
              </w:rPr>
              <w:t>Resolve minor problems by phone.</w:t>
            </w:r>
            <w:r w:rsidRPr="00275255">
              <w:t xml:space="preserve"> If there is an apparently minor question and assuming this is accepted protocol among parties involved (if in doubt, ask at Methodology Meeting), call the consultant directly in an attempt to resolve the question. </w:t>
            </w:r>
          </w:p>
          <w:p w:rsidR="00225952" w:rsidRDefault="00225952" w:rsidP="00AD2D7A">
            <w:pPr>
              <w:pStyle w:val="BulletA"/>
              <w:numPr>
                <w:ilvl w:val="0"/>
                <w:numId w:val="120"/>
              </w:numPr>
            </w:pPr>
            <w:r w:rsidRPr="003A59AA">
              <w:rPr>
                <w:rStyle w:val="BoldInitial"/>
              </w:rPr>
              <w:t xml:space="preserve">Support local agencies in their attempts to achieve/maintain local and collector road continuity. </w:t>
            </w:r>
            <w:r w:rsidRPr="00275255">
              <w:t xml:space="preserve">When the </w:t>
            </w:r>
            <w:r>
              <w:t>FDOT</w:t>
            </w:r>
            <w:r w:rsidRPr="00275255">
              <w:t xml:space="preserve"> helps solve the problems on a local system it often reduces problems on the state system.</w:t>
            </w:r>
            <w:r>
              <w:t xml:space="preserve"> </w:t>
            </w:r>
            <w:r w:rsidRPr="00275255">
              <w:t>Local rights-of-way systems frequently have discontinuous patterns. Consequently, the state system is used for many local trips. Many reasons have caused discontinuity in local street rights-of-way.</w:t>
            </w:r>
            <w:r>
              <w:t xml:space="preserve"> </w:t>
            </w:r>
            <w:r w:rsidRPr="00275255">
              <w:t>These factors range from lack of planning to intentionally planned enclaves. Developer</w:t>
            </w:r>
            <w:r>
              <w:t>s continue to</w:t>
            </w:r>
            <w:r w:rsidRPr="00275255">
              <w:t xml:space="preserve"> pressure for very </w:t>
            </w:r>
            <w:r w:rsidRPr="00275255">
              <w:lastRenderedPageBreak/>
              <w:t>large enclaves without through streets</w:t>
            </w:r>
            <w:r>
              <w:t>.</w:t>
            </w:r>
            <w:r w:rsidRPr="00275255">
              <w:t xml:space="preserve"> </w:t>
            </w:r>
            <w:r>
              <w:t>The FDOT</w:t>
            </w:r>
            <w:r w:rsidRPr="00275255">
              <w:t xml:space="preserve"> needs to work with and stand behind local planners’ attempts to create continuous local street systems.</w:t>
            </w:r>
            <w:r>
              <w:t xml:space="preserve"> These systems double as an attractive alternative for pedestrians and bicyclist. Their trips can reduce motor vehicle trips on state system.</w:t>
            </w:r>
          </w:p>
          <w:p w:rsidR="00225952" w:rsidRDefault="00225952" w:rsidP="00AD2D7A">
            <w:pPr>
              <w:pStyle w:val="BulletA"/>
              <w:numPr>
                <w:ilvl w:val="0"/>
                <w:numId w:val="120"/>
              </w:numPr>
            </w:pPr>
            <w:r w:rsidRPr="003A59AA">
              <w:rPr>
                <w:rStyle w:val="BoldInitial"/>
              </w:rPr>
              <w:t>Work with other reviewing agencies to introduce the concept of multimodal considerations early in the process and provide available resources.</w:t>
            </w:r>
            <w:r w:rsidRPr="00275255">
              <w:rPr>
                <w:szCs w:val="22"/>
              </w:rPr>
              <w:t xml:space="preserve"> The discussion of multimodal measures should occur as early as possible so that site designs and concepts can incorporate multimodal features and continue all the way through the discussion of mitigation alternatives.</w:t>
            </w:r>
          </w:p>
        </w:tc>
      </w:tr>
    </w:tbl>
    <w:p w:rsidR="00992EDA" w:rsidRDefault="00992EDA" w:rsidP="00225952">
      <w:pPr>
        <w:pStyle w:val="Heading2"/>
        <w:sectPr w:rsidR="00992EDA" w:rsidSect="00832911">
          <w:headerReference w:type="default" r:id="rId275"/>
          <w:pgSz w:w="12240" w:h="15840" w:code="1"/>
          <w:pgMar w:top="1440" w:right="720" w:bottom="1440" w:left="1152" w:header="720" w:footer="720" w:gutter="0"/>
          <w:cols w:space="720"/>
          <w:docGrid w:linePitch="313"/>
        </w:sectPr>
      </w:pPr>
      <w:bookmarkStart w:id="240" w:name="_Toc232912620"/>
      <w:bookmarkStart w:id="241" w:name="_Toc260316444"/>
    </w:p>
    <w:tbl>
      <w:tblPr>
        <w:tblW w:w="10351" w:type="dxa"/>
        <w:tblInd w:w="115" w:type="dxa"/>
        <w:tblLayout w:type="fixed"/>
        <w:tblCellMar>
          <w:left w:w="115" w:type="dxa"/>
          <w:right w:w="115" w:type="dxa"/>
        </w:tblCellMar>
        <w:tblLook w:val="0000"/>
      </w:tblPr>
      <w:tblGrid>
        <w:gridCol w:w="2429"/>
        <w:gridCol w:w="7922"/>
      </w:tblGrid>
      <w:tr w:rsidR="00225952" w:rsidRPr="00E84AE9" w:rsidTr="00992EDA">
        <w:tc>
          <w:tcPr>
            <w:tcW w:w="10351" w:type="dxa"/>
            <w:gridSpan w:val="2"/>
          </w:tcPr>
          <w:p w:rsidR="00225952" w:rsidRPr="00652B45" w:rsidDel="004E44EC" w:rsidRDefault="00225952" w:rsidP="00225952">
            <w:pPr>
              <w:pStyle w:val="Heading2"/>
            </w:pPr>
            <w:bookmarkStart w:id="242" w:name="_Toc264274147"/>
            <w:r>
              <w:lastRenderedPageBreak/>
              <w:t>4</w:t>
            </w:r>
            <w:r w:rsidRPr="00652B45">
              <w:t>.2   Review Requirements for proposed DRIs/Substantial Deviations</w:t>
            </w:r>
            <w:bookmarkEnd w:id="240"/>
            <w:bookmarkEnd w:id="241"/>
            <w:bookmarkEnd w:id="242"/>
          </w:p>
        </w:tc>
      </w:tr>
      <w:tr w:rsidR="00225952" w:rsidRPr="00E84AE9" w:rsidTr="00992EDA">
        <w:tc>
          <w:tcPr>
            <w:tcW w:w="2429" w:type="dxa"/>
          </w:tcPr>
          <w:p w:rsidR="00225952" w:rsidRPr="00652B45" w:rsidRDefault="00225952" w:rsidP="00225952">
            <w:pPr>
              <w:pStyle w:val="Heading4"/>
            </w:pPr>
            <w:r w:rsidRPr="00652B45">
              <w:t xml:space="preserve">Binding Letter of Determination/DRI Determination </w:t>
            </w:r>
          </w:p>
          <w:p w:rsidR="00225952" w:rsidRDefault="00225952" w:rsidP="00225952">
            <w:pPr>
              <w:rPr>
                <w:rFonts w:ascii="Times New Roman" w:hAnsi="Times New Roman"/>
                <w:sz w:val="24"/>
                <w:szCs w:val="24"/>
              </w:rPr>
            </w:pPr>
          </w:p>
          <w:p w:rsidR="00225952" w:rsidRDefault="00225952" w:rsidP="00225952">
            <w:pPr>
              <w:rPr>
                <w:rFonts w:ascii="Times New Roman" w:hAnsi="Times New Roman"/>
                <w:sz w:val="24"/>
                <w:szCs w:val="24"/>
              </w:rPr>
            </w:pPr>
          </w:p>
          <w:p w:rsidR="00225952" w:rsidRDefault="00225952" w:rsidP="00DB6AE5">
            <w:pPr>
              <w:spacing w:after="0"/>
              <w:rPr>
                <w:rFonts w:ascii="Times New Roman" w:hAnsi="Times New Roman"/>
                <w:sz w:val="24"/>
                <w:szCs w:val="24"/>
              </w:rPr>
            </w:pPr>
            <w:r>
              <w:rPr>
                <w:rFonts w:ascii="Times New Roman" w:hAnsi="Times New Roman"/>
                <w:noProof/>
                <w:sz w:val="24"/>
                <w:szCs w:val="24"/>
              </w:rPr>
              <w:drawing>
                <wp:inline distT="0" distB="0" distL="0" distR="0">
                  <wp:extent cx="1403985" cy="554990"/>
                  <wp:effectExtent l="19050" t="0" r="0" b="0"/>
                  <wp:docPr id="68" name="Picture 47" descr="button_web.png">
                    <a:hlinkClick xmlns:a="http://schemas.openxmlformats.org/drawingml/2006/main" r:id="rId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button_web.png"/>
                          <pic:cNvPicPr>
                            <a:picLocks noChangeAspect="1" noChangeArrowheads="1"/>
                          </pic:cNvPicPr>
                        </pic:nvPicPr>
                        <pic:blipFill>
                          <a:blip r:embed="rId26" cstate="print"/>
                          <a:srcRect/>
                          <a:stretch>
                            <a:fillRect/>
                          </a:stretch>
                        </pic:blipFill>
                        <pic:spPr bwMode="auto">
                          <a:xfrm>
                            <a:off x="0" y="0"/>
                            <a:ext cx="1403985" cy="554990"/>
                          </a:xfrm>
                          <a:prstGeom prst="rect">
                            <a:avLst/>
                          </a:prstGeom>
                          <a:noFill/>
                          <a:ln w="9525">
                            <a:noFill/>
                            <a:miter lim="800000"/>
                            <a:headEnd/>
                            <a:tailEnd/>
                          </a:ln>
                        </pic:spPr>
                      </pic:pic>
                    </a:graphicData>
                  </a:graphic>
                </wp:inline>
              </w:drawing>
            </w:r>
          </w:p>
          <w:p w:rsidR="00DB6AE5" w:rsidRDefault="00DB6AE5" w:rsidP="00DB6AE5">
            <w:pPr>
              <w:pStyle w:val="HeadSide2"/>
              <w:spacing w:after="360"/>
              <w:jc w:val="center"/>
            </w:pPr>
            <w:r>
              <w:t>DCA Procedures</w:t>
            </w:r>
          </w:p>
          <w:p w:rsidR="00DB6AE5" w:rsidRDefault="00DB6AE5" w:rsidP="00DB6AE5">
            <w:pPr>
              <w:pStyle w:val="ExhibitTitle"/>
            </w:pPr>
          </w:p>
        </w:tc>
        <w:tc>
          <w:tcPr>
            <w:tcW w:w="7922" w:type="dxa"/>
          </w:tcPr>
          <w:p w:rsidR="00225952" w:rsidRPr="00E84AE9" w:rsidRDefault="00225952" w:rsidP="00225952">
            <w:r w:rsidRPr="00E84AE9">
              <w:t xml:space="preserve">Prior to initiating any DRI application, the applicant </w:t>
            </w:r>
            <w:r>
              <w:t>or one of the lead DRI agencies</w:t>
            </w:r>
            <w:r w:rsidRPr="00E84AE9">
              <w:t xml:space="preserve"> </w:t>
            </w:r>
            <w:r>
              <w:t xml:space="preserve">(usually </w:t>
            </w:r>
            <w:r w:rsidRPr="00E84AE9">
              <w:t>the local government</w:t>
            </w:r>
            <w:r>
              <w:t>)</w:t>
            </w:r>
            <w:r w:rsidRPr="00E84AE9">
              <w:t xml:space="preserve"> </w:t>
            </w:r>
            <w:r>
              <w:t>usually</w:t>
            </w:r>
            <w:r w:rsidRPr="00E84AE9">
              <w:t xml:space="preserve"> request</w:t>
            </w:r>
            <w:r>
              <w:t>s</w:t>
            </w:r>
            <w:r w:rsidRPr="00E84AE9">
              <w:t xml:space="preserve"> a determination from DCA as to whether the project meets the definition of a DRI</w:t>
            </w:r>
            <w:r>
              <w:t xml:space="preserve">. </w:t>
            </w:r>
            <w:r w:rsidRPr="00E84AE9">
              <w:t xml:space="preserve">A Binding Letter of Determination summarizes the determination by DCA as to whether a proposed development must undergo a DRI review. </w:t>
            </w:r>
          </w:p>
          <w:p w:rsidR="00225952" w:rsidRDefault="00745389" w:rsidP="00784F8A">
            <w:pPr>
              <w:rPr>
                <w:rFonts w:ascii="Tahoma" w:hAnsi="Tahoma" w:cs="Tahoma"/>
                <w:sz w:val="20"/>
              </w:rPr>
            </w:pPr>
            <w:hyperlink r:id="rId277" w:history="1">
              <w:r w:rsidR="00225952" w:rsidRPr="00FE50BE">
                <w:rPr>
                  <w:rStyle w:val="Hyperlink"/>
                </w:rPr>
                <w:t>Chapter 28-24, FAC</w:t>
              </w:r>
            </w:hyperlink>
            <w:r w:rsidR="00225952" w:rsidRPr="00E84AE9">
              <w:t xml:space="preserve">, </w:t>
            </w:r>
            <w:r w:rsidR="00225952">
              <w:t xml:space="preserve">and </w:t>
            </w:r>
            <w:hyperlink r:id="rId278" w:history="1">
              <w:r w:rsidR="00225952" w:rsidRPr="00B331C2">
                <w:rPr>
                  <w:rStyle w:val="Hyperlink"/>
                </w:rPr>
                <w:t>Section 380.065 FS</w:t>
              </w:r>
            </w:hyperlink>
            <w:r w:rsidR="00225952">
              <w:t xml:space="preserve"> </w:t>
            </w:r>
            <w:r w:rsidR="00225952" w:rsidRPr="00E84AE9">
              <w:t>spell out the criteria used by DCA to make this determination.</w:t>
            </w:r>
            <w:r w:rsidR="00225952">
              <w:t xml:space="preserve"> These thresholds are provided in </w:t>
            </w:r>
            <w:r w:rsidR="00225952" w:rsidRPr="00784F8A">
              <w:t xml:space="preserve">Exhibit </w:t>
            </w:r>
            <w:r w:rsidR="00784F8A" w:rsidRPr="00784F8A">
              <w:t>25</w:t>
            </w:r>
            <w:r w:rsidR="00225952">
              <w:t xml:space="preserve"> and</w:t>
            </w:r>
            <w:r w:rsidR="00225952" w:rsidRPr="00E84AE9">
              <w:t xml:space="preserve"> serve as the primary basis for DRI determination. The following website contains additional information </w:t>
            </w:r>
            <w:hyperlink r:id="rId279" w:history="1">
              <w:r w:rsidR="00225952" w:rsidRPr="00E84AE9">
                <w:rPr>
                  <w:rStyle w:val="Hyperlink"/>
                </w:rPr>
                <w:t>www.dca.state.fl.us/fdcp/DCP/Procedures/index.cfm</w:t>
              </w:r>
            </w:hyperlink>
            <w:r w:rsidR="00225952" w:rsidRPr="00E84AE9">
              <w:t>. DCA must make a finding of sufficiency, or request additional information within 15 days of receipt of a request for a binding letter of interpretation or a supplement.</w:t>
            </w:r>
            <w:r w:rsidR="00225952">
              <w:t xml:space="preserve"> </w:t>
            </w:r>
            <w:r w:rsidR="00225952" w:rsidRPr="000B3152">
              <w:rPr>
                <w:spacing w:val="-4"/>
              </w:rPr>
              <w:t>This leaves the FDOT reviewer with even less time to provide assistance if requested.</w:t>
            </w:r>
          </w:p>
        </w:tc>
      </w:tr>
    </w:tbl>
    <w:p w:rsidR="00482F7F" w:rsidRDefault="00482F7F">
      <w:r>
        <w:br w:type="page"/>
      </w:r>
    </w:p>
    <w:tbl>
      <w:tblPr>
        <w:tblW w:w="10351" w:type="dxa"/>
        <w:tblInd w:w="115" w:type="dxa"/>
        <w:tblLayout w:type="fixed"/>
        <w:tblCellMar>
          <w:left w:w="115" w:type="dxa"/>
          <w:right w:w="115" w:type="dxa"/>
        </w:tblCellMar>
        <w:tblLook w:val="0000"/>
      </w:tblPr>
      <w:tblGrid>
        <w:gridCol w:w="2429"/>
        <w:gridCol w:w="7922"/>
      </w:tblGrid>
      <w:tr w:rsidR="00482F7F" w:rsidRPr="00E84AE9" w:rsidTr="00992EDA">
        <w:tc>
          <w:tcPr>
            <w:tcW w:w="2429" w:type="dxa"/>
          </w:tcPr>
          <w:p w:rsidR="00482F7F" w:rsidRDefault="00482F7F" w:rsidP="00482F7F">
            <w:pPr>
              <w:pStyle w:val="Exhibit"/>
            </w:pPr>
            <w:r>
              <w:lastRenderedPageBreak/>
              <w:t>Exhibit 25</w:t>
            </w:r>
          </w:p>
          <w:p w:rsidR="00482F7F" w:rsidRPr="00652B45" w:rsidRDefault="00482F7F" w:rsidP="00482F7F">
            <w:pPr>
              <w:pStyle w:val="ExhibitTitle"/>
            </w:pPr>
            <w:r>
              <w:t>DRI Thresholds</w:t>
            </w:r>
          </w:p>
        </w:tc>
        <w:tc>
          <w:tcPr>
            <w:tcW w:w="7922" w:type="dxa"/>
          </w:tcPr>
          <w:p w:rsidR="00482F7F" w:rsidRPr="00E84AE9" w:rsidRDefault="00482F7F" w:rsidP="00225952"/>
        </w:tc>
      </w:tr>
      <w:tr w:rsidR="00225952" w:rsidRPr="00E84AE9" w:rsidTr="00992EDA">
        <w:tc>
          <w:tcPr>
            <w:tcW w:w="10351" w:type="dxa"/>
            <w:gridSpan w:val="2"/>
          </w:tcPr>
          <w:tbl>
            <w:tblPr>
              <w:tblW w:w="1084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99"/>
              <w:gridCol w:w="2268"/>
              <w:gridCol w:w="2723"/>
              <w:gridCol w:w="2790"/>
              <w:gridCol w:w="2070"/>
              <w:gridCol w:w="499"/>
            </w:tblGrid>
            <w:tr w:rsidR="00225952" w:rsidRPr="00F05E1C" w:rsidTr="00DB6AE5">
              <w:trPr>
                <w:gridAfter w:val="1"/>
                <w:wAfter w:w="499" w:type="dxa"/>
                <w:trHeight w:val="288"/>
              </w:trPr>
              <w:tc>
                <w:tcPr>
                  <w:tcW w:w="8280" w:type="dxa"/>
                  <w:gridSpan w:val="4"/>
                  <w:vMerge w:val="restart"/>
                  <w:shd w:val="clear" w:color="auto" w:fill="auto"/>
                  <w:vAlign w:val="center"/>
                </w:tcPr>
                <w:p w:rsidR="00225952" w:rsidRPr="00F05E1C" w:rsidRDefault="00482F7F" w:rsidP="00225952">
                  <w:pPr>
                    <w:spacing w:before="100" w:beforeAutospacing="1" w:after="100" w:afterAutospacing="1" w:line="240" w:lineRule="auto"/>
                    <w:jc w:val="center"/>
                  </w:pPr>
                  <w:r>
                    <w:br w:type="page"/>
                  </w:r>
                  <w:r w:rsidR="00225952" w:rsidRPr="00F05E1C">
                    <w:t>TYPE/MEASURE</w:t>
                  </w:r>
                </w:p>
              </w:tc>
              <w:tc>
                <w:tcPr>
                  <w:tcW w:w="2070" w:type="dxa"/>
                  <w:shd w:val="clear" w:color="auto" w:fill="auto"/>
                  <w:vAlign w:val="center"/>
                </w:tcPr>
                <w:p w:rsidR="00225952" w:rsidRPr="0096682B" w:rsidRDefault="00225952" w:rsidP="00225952">
                  <w:pPr>
                    <w:spacing w:before="100" w:beforeAutospacing="1" w:after="100" w:afterAutospacing="1" w:line="240" w:lineRule="auto"/>
                    <w:jc w:val="center"/>
                    <w:rPr>
                      <w:sz w:val="20"/>
                    </w:rPr>
                  </w:pPr>
                  <w:r w:rsidRPr="0096682B">
                    <w:rPr>
                      <w:sz w:val="20"/>
                    </w:rPr>
                    <w:t>DRI THRESHOLD</w:t>
                  </w:r>
                </w:p>
              </w:tc>
            </w:tr>
            <w:tr w:rsidR="00225952" w:rsidRPr="00F05E1C" w:rsidTr="00DB6AE5">
              <w:trPr>
                <w:gridAfter w:val="1"/>
                <w:wAfter w:w="499" w:type="dxa"/>
                <w:trHeight w:val="79"/>
              </w:trPr>
              <w:tc>
                <w:tcPr>
                  <w:tcW w:w="8280" w:type="dxa"/>
                  <w:gridSpan w:val="4"/>
                  <w:vMerge/>
                  <w:shd w:val="clear" w:color="auto" w:fill="auto"/>
                </w:tcPr>
                <w:p w:rsidR="00225952" w:rsidRPr="00F05E1C" w:rsidRDefault="00225952" w:rsidP="00225952">
                  <w:pPr>
                    <w:spacing w:before="100" w:beforeAutospacing="1" w:after="100" w:afterAutospacing="1" w:line="240" w:lineRule="auto"/>
                    <w:jc w:val="center"/>
                  </w:pPr>
                </w:p>
              </w:tc>
              <w:tc>
                <w:tcPr>
                  <w:tcW w:w="2070" w:type="dxa"/>
                  <w:shd w:val="clear" w:color="auto" w:fill="auto"/>
                  <w:vAlign w:val="center"/>
                </w:tcPr>
                <w:p w:rsidR="00225952" w:rsidRPr="0096682B" w:rsidRDefault="00225952" w:rsidP="00225952">
                  <w:pPr>
                    <w:spacing w:before="100" w:beforeAutospacing="1" w:after="100" w:afterAutospacing="1" w:line="240" w:lineRule="auto"/>
                    <w:jc w:val="center"/>
                    <w:rPr>
                      <w:sz w:val="20"/>
                    </w:rPr>
                  </w:pPr>
                  <w:r w:rsidRPr="0096682B">
                    <w:rPr>
                      <w:sz w:val="20"/>
                    </w:rPr>
                    <w:t>100%</w:t>
                  </w:r>
                </w:p>
              </w:tc>
            </w:tr>
            <w:tr w:rsidR="00225952" w:rsidRPr="00F05E1C" w:rsidTr="00DB6AE5">
              <w:trPr>
                <w:gridAfter w:val="1"/>
                <w:wAfter w:w="499" w:type="dxa"/>
                <w:trHeight w:val="288"/>
              </w:trPr>
              <w:tc>
                <w:tcPr>
                  <w:tcW w:w="2767" w:type="dxa"/>
                  <w:gridSpan w:val="2"/>
                  <w:vMerge w:val="restart"/>
                  <w:shd w:val="clear" w:color="auto" w:fill="auto"/>
                  <w:vAlign w:val="center"/>
                </w:tcPr>
                <w:p w:rsidR="00225952" w:rsidRPr="00F05E1C" w:rsidRDefault="00225952" w:rsidP="00225952">
                  <w:pPr>
                    <w:spacing w:before="100" w:beforeAutospacing="1" w:after="100" w:afterAutospacing="1" w:line="240" w:lineRule="auto"/>
                    <w:jc w:val="right"/>
                  </w:pPr>
                  <w:r w:rsidRPr="008E5C1F">
                    <w:rPr>
                      <w:b/>
                      <w:sz w:val="24"/>
                      <w:szCs w:val="24"/>
                    </w:rPr>
                    <w:t>AIRPORTS</w:t>
                  </w:r>
                </w:p>
              </w:tc>
              <w:tc>
                <w:tcPr>
                  <w:tcW w:w="5513" w:type="dxa"/>
                  <w:gridSpan w:val="2"/>
                  <w:shd w:val="clear" w:color="auto" w:fill="auto"/>
                  <w:vAlign w:val="center"/>
                </w:tcPr>
                <w:p w:rsidR="00225952" w:rsidRPr="00F05E1C" w:rsidRDefault="00225952" w:rsidP="00225952">
                  <w:pPr>
                    <w:spacing w:before="100" w:beforeAutospacing="1" w:after="100" w:afterAutospacing="1" w:line="240" w:lineRule="auto"/>
                    <w:jc w:val="center"/>
                  </w:pPr>
                  <w:r w:rsidRPr="00F05E1C">
                    <w:t>EXISTING</w:t>
                  </w:r>
                  <w:r w:rsidRPr="00F05E1C">
                    <w:rPr>
                      <w:vertAlign w:val="superscript"/>
                    </w:rPr>
                    <w:t>1</w:t>
                  </w:r>
                </w:p>
              </w:tc>
              <w:tc>
                <w:tcPr>
                  <w:tcW w:w="2070" w:type="dxa"/>
                  <w:shd w:val="clear" w:color="auto" w:fill="auto"/>
                  <w:vAlign w:val="center"/>
                </w:tcPr>
                <w:p w:rsidR="00225952" w:rsidRPr="00F05E1C" w:rsidRDefault="00225952" w:rsidP="00225952">
                  <w:pPr>
                    <w:spacing w:before="100" w:beforeAutospacing="1" w:after="100" w:afterAutospacing="1" w:line="240" w:lineRule="auto"/>
                    <w:jc w:val="center"/>
                  </w:pPr>
                  <w:r w:rsidRPr="00F05E1C">
                    <w:t>25</w:t>
                  </w:r>
                </w:p>
              </w:tc>
            </w:tr>
            <w:tr w:rsidR="00225952" w:rsidRPr="00F05E1C" w:rsidTr="00DB6AE5">
              <w:trPr>
                <w:gridAfter w:val="1"/>
                <w:wAfter w:w="499" w:type="dxa"/>
                <w:trHeight w:val="288"/>
              </w:trPr>
              <w:tc>
                <w:tcPr>
                  <w:tcW w:w="2767" w:type="dxa"/>
                  <w:gridSpan w:val="2"/>
                  <w:vMerge/>
                  <w:shd w:val="clear" w:color="auto" w:fill="auto"/>
                  <w:vAlign w:val="center"/>
                </w:tcPr>
                <w:p w:rsidR="00225952" w:rsidRPr="00F05E1C" w:rsidRDefault="00225952" w:rsidP="00225952">
                  <w:pPr>
                    <w:spacing w:before="100" w:beforeAutospacing="1" w:after="100" w:afterAutospacing="1" w:line="240" w:lineRule="auto"/>
                    <w:jc w:val="right"/>
                  </w:pPr>
                </w:p>
              </w:tc>
              <w:tc>
                <w:tcPr>
                  <w:tcW w:w="5513" w:type="dxa"/>
                  <w:gridSpan w:val="2"/>
                  <w:tcBorders>
                    <w:bottom w:val="single" w:sz="4" w:space="0" w:color="auto"/>
                  </w:tcBorders>
                  <w:shd w:val="clear" w:color="auto" w:fill="auto"/>
                  <w:vAlign w:val="center"/>
                </w:tcPr>
                <w:p w:rsidR="00225952" w:rsidRPr="00F05E1C" w:rsidRDefault="00225952" w:rsidP="00225952">
                  <w:pPr>
                    <w:spacing w:before="100" w:beforeAutospacing="1" w:after="100" w:afterAutospacing="1" w:line="240" w:lineRule="auto"/>
                    <w:jc w:val="center"/>
                  </w:pPr>
                  <w:r w:rsidRPr="00F05E1C">
                    <w:t>NEW</w:t>
                  </w:r>
                </w:p>
              </w:tc>
              <w:tc>
                <w:tcPr>
                  <w:tcW w:w="2070" w:type="dxa"/>
                  <w:tcBorders>
                    <w:bottom w:val="single" w:sz="4" w:space="0" w:color="auto"/>
                  </w:tcBorders>
                  <w:shd w:val="clear" w:color="auto" w:fill="auto"/>
                  <w:vAlign w:val="center"/>
                </w:tcPr>
                <w:p w:rsidR="00225952" w:rsidRPr="00F05E1C" w:rsidRDefault="00225952" w:rsidP="00225952">
                  <w:pPr>
                    <w:spacing w:before="100" w:beforeAutospacing="1" w:after="100" w:afterAutospacing="1" w:line="240" w:lineRule="auto"/>
                    <w:jc w:val="center"/>
                  </w:pPr>
                  <w:r w:rsidRPr="00F05E1C">
                    <w:t>ANY</w:t>
                  </w:r>
                </w:p>
              </w:tc>
            </w:tr>
            <w:tr w:rsidR="00225952" w:rsidRPr="00F05E1C" w:rsidTr="00DB6AE5">
              <w:trPr>
                <w:gridAfter w:val="1"/>
                <w:wAfter w:w="499" w:type="dxa"/>
                <w:trHeight w:val="288"/>
              </w:trPr>
              <w:tc>
                <w:tcPr>
                  <w:tcW w:w="2767" w:type="dxa"/>
                  <w:gridSpan w:val="2"/>
                  <w:vMerge w:val="restart"/>
                  <w:shd w:val="clear" w:color="auto" w:fill="auto"/>
                  <w:vAlign w:val="center"/>
                </w:tcPr>
                <w:p w:rsidR="00225952" w:rsidRPr="00F05E1C" w:rsidRDefault="00225952" w:rsidP="00225952">
                  <w:pPr>
                    <w:spacing w:before="100" w:beforeAutospacing="1" w:after="100" w:afterAutospacing="1" w:line="240" w:lineRule="auto"/>
                    <w:jc w:val="right"/>
                  </w:pPr>
                  <w:r w:rsidRPr="008E5C1F">
                    <w:rPr>
                      <w:b/>
                      <w:sz w:val="24"/>
                      <w:szCs w:val="24"/>
                    </w:rPr>
                    <w:t>ATTRACTION/REC. FACS.</w:t>
                  </w:r>
                </w:p>
              </w:tc>
              <w:tc>
                <w:tcPr>
                  <w:tcW w:w="2723" w:type="dxa"/>
                  <w:vMerge w:val="restart"/>
                  <w:shd w:val="clear" w:color="auto" w:fill="auto"/>
                  <w:vAlign w:val="center"/>
                </w:tcPr>
                <w:p w:rsidR="00225952" w:rsidRPr="00F05E1C" w:rsidRDefault="00225952" w:rsidP="00225952">
                  <w:pPr>
                    <w:spacing w:before="100" w:beforeAutospacing="1" w:after="100" w:afterAutospacing="1" w:line="240" w:lineRule="auto"/>
                    <w:jc w:val="center"/>
                  </w:pPr>
                  <w:r w:rsidRPr="00F05E1C">
                    <w:t>SINGLE PERFORMANCE</w:t>
                  </w:r>
                </w:p>
              </w:tc>
              <w:tc>
                <w:tcPr>
                  <w:tcW w:w="2790" w:type="dxa"/>
                  <w:shd w:val="clear" w:color="auto" w:fill="auto"/>
                  <w:vAlign w:val="center"/>
                </w:tcPr>
                <w:p w:rsidR="00225952" w:rsidRPr="00F05E1C" w:rsidRDefault="00225952" w:rsidP="00225952">
                  <w:pPr>
                    <w:spacing w:before="100" w:beforeAutospacing="1" w:after="100" w:afterAutospacing="1" w:line="240" w:lineRule="auto"/>
                  </w:pPr>
                  <w:r w:rsidRPr="00F05E1C">
                    <w:t>SEATS</w:t>
                  </w:r>
                </w:p>
              </w:tc>
              <w:tc>
                <w:tcPr>
                  <w:tcW w:w="2070" w:type="dxa"/>
                  <w:shd w:val="clear" w:color="auto" w:fill="auto"/>
                  <w:vAlign w:val="center"/>
                </w:tcPr>
                <w:p w:rsidR="00225952" w:rsidRPr="00F05E1C" w:rsidRDefault="00225952" w:rsidP="00225952">
                  <w:pPr>
                    <w:spacing w:before="100" w:beforeAutospacing="1" w:after="100" w:afterAutospacing="1" w:line="240" w:lineRule="auto"/>
                    <w:jc w:val="center"/>
                  </w:pPr>
                  <w:r w:rsidRPr="00F05E1C">
                    <w:t>10,000</w:t>
                  </w:r>
                </w:p>
              </w:tc>
            </w:tr>
            <w:tr w:rsidR="00225952" w:rsidRPr="00F05E1C" w:rsidTr="00DB6AE5">
              <w:trPr>
                <w:gridAfter w:val="1"/>
                <w:wAfter w:w="499" w:type="dxa"/>
                <w:trHeight w:val="288"/>
              </w:trPr>
              <w:tc>
                <w:tcPr>
                  <w:tcW w:w="2767" w:type="dxa"/>
                  <w:gridSpan w:val="2"/>
                  <w:vMerge/>
                  <w:shd w:val="clear" w:color="auto" w:fill="auto"/>
                  <w:vAlign w:val="center"/>
                </w:tcPr>
                <w:p w:rsidR="00225952" w:rsidRPr="00F05E1C" w:rsidRDefault="00225952" w:rsidP="00225952">
                  <w:pPr>
                    <w:spacing w:before="100" w:beforeAutospacing="1" w:after="100" w:afterAutospacing="1" w:line="240" w:lineRule="auto"/>
                    <w:jc w:val="right"/>
                  </w:pPr>
                </w:p>
              </w:tc>
              <w:tc>
                <w:tcPr>
                  <w:tcW w:w="2723" w:type="dxa"/>
                  <w:vMerge/>
                  <w:shd w:val="clear" w:color="auto" w:fill="auto"/>
                  <w:vAlign w:val="center"/>
                </w:tcPr>
                <w:p w:rsidR="00225952" w:rsidRPr="00F05E1C" w:rsidRDefault="00225952" w:rsidP="00225952">
                  <w:pPr>
                    <w:spacing w:before="100" w:beforeAutospacing="1" w:after="100" w:afterAutospacing="1" w:line="240" w:lineRule="auto"/>
                    <w:jc w:val="center"/>
                  </w:pPr>
                </w:p>
              </w:tc>
              <w:tc>
                <w:tcPr>
                  <w:tcW w:w="2790" w:type="dxa"/>
                  <w:shd w:val="clear" w:color="auto" w:fill="auto"/>
                  <w:vAlign w:val="center"/>
                </w:tcPr>
                <w:p w:rsidR="00225952" w:rsidRPr="00F05E1C" w:rsidRDefault="00225952" w:rsidP="00225952">
                  <w:pPr>
                    <w:spacing w:before="100" w:beforeAutospacing="1" w:after="100" w:afterAutospacing="1" w:line="240" w:lineRule="auto"/>
                  </w:pPr>
                  <w:r w:rsidRPr="00F05E1C">
                    <w:t>PARKING</w:t>
                  </w:r>
                </w:p>
              </w:tc>
              <w:tc>
                <w:tcPr>
                  <w:tcW w:w="2070" w:type="dxa"/>
                  <w:shd w:val="clear" w:color="auto" w:fill="auto"/>
                  <w:vAlign w:val="center"/>
                </w:tcPr>
                <w:p w:rsidR="00225952" w:rsidRPr="00F05E1C" w:rsidRDefault="00225952" w:rsidP="00225952">
                  <w:pPr>
                    <w:spacing w:before="100" w:beforeAutospacing="1" w:after="100" w:afterAutospacing="1" w:line="240" w:lineRule="auto"/>
                    <w:jc w:val="center"/>
                  </w:pPr>
                  <w:r w:rsidRPr="00F05E1C">
                    <w:t>2,500</w:t>
                  </w:r>
                </w:p>
              </w:tc>
            </w:tr>
            <w:tr w:rsidR="00225952" w:rsidRPr="00F05E1C" w:rsidTr="00DB6AE5">
              <w:trPr>
                <w:gridAfter w:val="1"/>
                <w:wAfter w:w="499" w:type="dxa"/>
                <w:trHeight w:val="288"/>
              </w:trPr>
              <w:tc>
                <w:tcPr>
                  <w:tcW w:w="2767" w:type="dxa"/>
                  <w:gridSpan w:val="2"/>
                  <w:vMerge/>
                  <w:shd w:val="clear" w:color="auto" w:fill="auto"/>
                  <w:vAlign w:val="center"/>
                </w:tcPr>
                <w:p w:rsidR="00225952" w:rsidRPr="00F05E1C" w:rsidRDefault="00225952" w:rsidP="00225952">
                  <w:pPr>
                    <w:spacing w:before="100" w:beforeAutospacing="1" w:after="100" w:afterAutospacing="1" w:line="240" w:lineRule="auto"/>
                    <w:jc w:val="right"/>
                  </w:pPr>
                </w:p>
              </w:tc>
              <w:tc>
                <w:tcPr>
                  <w:tcW w:w="2723" w:type="dxa"/>
                  <w:vMerge w:val="restart"/>
                  <w:shd w:val="clear" w:color="auto" w:fill="auto"/>
                  <w:vAlign w:val="center"/>
                </w:tcPr>
                <w:p w:rsidR="00225952" w:rsidRPr="00F05E1C" w:rsidRDefault="00225952" w:rsidP="00225952">
                  <w:pPr>
                    <w:spacing w:before="100" w:beforeAutospacing="1" w:after="100" w:afterAutospacing="1" w:line="240" w:lineRule="auto"/>
                    <w:jc w:val="center"/>
                  </w:pPr>
                  <w:r w:rsidRPr="00F05E1C">
                    <w:t>SERIAL PERFORMANCE</w:t>
                  </w:r>
                </w:p>
              </w:tc>
              <w:tc>
                <w:tcPr>
                  <w:tcW w:w="2790" w:type="dxa"/>
                  <w:shd w:val="clear" w:color="auto" w:fill="auto"/>
                  <w:vAlign w:val="center"/>
                </w:tcPr>
                <w:p w:rsidR="00225952" w:rsidRPr="00F05E1C" w:rsidRDefault="00225952" w:rsidP="00225952">
                  <w:pPr>
                    <w:spacing w:before="100" w:beforeAutospacing="1" w:after="100" w:afterAutospacing="1" w:line="240" w:lineRule="auto"/>
                  </w:pPr>
                  <w:r w:rsidRPr="00F05E1C">
                    <w:t>SEATS</w:t>
                  </w:r>
                </w:p>
              </w:tc>
              <w:tc>
                <w:tcPr>
                  <w:tcW w:w="2070" w:type="dxa"/>
                  <w:shd w:val="clear" w:color="auto" w:fill="auto"/>
                  <w:vAlign w:val="center"/>
                </w:tcPr>
                <w:p w:rsidR="00225952" w:rsidRPr="00F05E1C" w:rsidRDefault="00225952" w:rsidP="00225952">
                  <w:pPr>
                    <w:spacing w:before="100" w:beforeAutospacing="1" w:after="100" w:afterAutospacing="1" w:line="240" w:lineRule="auto"/>
                    <w:jc w:val="center"/>
                  </w:pPr>
                  <w:r w:rsidRPr="00F05E1C">
                    <w:t>4,000</w:t>
                  </w:r>
                </w:p>
              </w:tc>
            </w:tr>
            <w:tr w:rsidR="00225952" w:rsidRPr="00F05E1C" w:rsidTr="00DB6AE5">
              <w:trPr>
                <w:gridAfter w:val="1"/>
                <w:wAfter w:w="499" w:type="dxa"/>
                <w:trHeight w:val="288"/>
              </w:trPr>
              <w:tc>
                <w:tcPr>
                  <w:tcW w:w="2767" w:type="dxa"/>
                  <w:gridSpan w:val="2"/>
                  <w:vMerge/>
                  <w:shd w:val="clear" w:color="auto" w:fill="auto"/>
                  <w:vAlign w:val="center"/>
                </w:tcPr>
                <w:p w:rsidR="00225952" w:rsidRPr="00F05E1C" w:rsidRDefault="00225952" w:rsidP="00225952">
                  <w:pPr>
                    <w:spacing w:before="100" w:beforeAutospacing="1" w:after="100" w:afterAutospacing="1" w:line="240" w:lineRule="auto"/>
                    <w:jc w:val="right"/>
                  </w:pPr>
                </w:p>
              </w:tc>
              <w:tc>
                <w:tcPr>
                  <w:tcW w:w="2723" w:type="dxa"/>
                  <w:vMerge/>
                  <w:shd w:val="clear" w:color="auto" w:fill="auto"/>
                  <w:vAlign w:val="center"/>
                </w:tcPr>
                <w:p w:rsidR="00225952" w:rsidRPr="00F05E1C" w:rsidRDefault="00225952" w:rsidP="00225952">
                  <w:pPr>
                    <w:spacing w:before="100" w:beforeAutospacing="1" w:after="100" w:afterAutospacing="1" w:line="240" w:lineRule="auto"/>
                    <w:jc w:val="center"/>
                  </w:pPr>
                </w:p>
              </w:tc>
              <w:tc>
                <w:tcPr>
                  <w:tcW w:w="2790" w:type="dxa"/>
                  <w:shd w:val="clear" w:color="auto" w:fill="auto"/>
                  <w:vAlign w:val="center"/>
                </w:tcPr>
                <w:p w:rsidR="00225952" w:rsidRPr="00F05E1C" w:rsidRDefault="00225952" w:rsidP="00225952">
                  <w:pPr>
                    <w:spacing w:before="100" w:beforeAutospacing="1" w:after="100" w:afterAutospacing="1" w:line="240" w:lineRule="auto"/>
                  </w:pPr>
                  <w:r w:rsidRPr="00F05E1C">
                    <w:t xml:space="preserve">PARKING </w:t>
                  </w:r>
                </w:p>
              </w:tc>
              <w:tc>
                <w:tcPr>
                  <w:tcW w:w="2070" w:type="dxa"/>
                  <w:shd w:val="clear" w:color="auto" w:fill="auto"/>
                  <w:vAlign w:val="center"/>
                </w:tcPr>
                <w:p w:rsidR="00225952" w:rsidRPr="00F05E1C" w:rsidRDefault="00225952" w:rsidP="00225952">
                  <w:pPr>
                    <w:spacing w:before="100" w:beforeAutospacing="1" w:after="100" w:afterAutospacing="1" w:line="240" w:lineRule="auto"/>
                    <w:jc w:val="center"/>
                  </w:pPr>
                  <w:r w:rsidRPr="00F05E1C">
                    <w:t>1,000</w:t>
                  </w:r>
                </w:p>
              </w:tc>
            </w:tr>
            <w:tr w:rsidR="00225952" w:rsidRPr="00F05E1C" w:rsidTr="00DB6AE5">
              <w:trPr>
                <w:gridAfter w:val="1"/>
                <w:wAfter w:w="499" w:type="dxa"/>
                <w:trHeight w:val="288"/>
              </w:trPr>
              <w:tc>
                <w:tcPr>
                  <w:tcW w:w="2767" w:type="dxa"/>
                  <w:gridSpan w:val="2"/>
                  <w:vMerge/>
                  <w:shd w:val="clear" w:color="auto" w:fill="auto"/>
                  <w:vAlign w:val="center"/>
                </w:tcPr>
                <w:p w:rsidR="00225952" w:rsidRPr="00F05E1C" w:rsidRDefault="00225952" w:rsidP="00225952">
                  <w:pPr>
                    <w:spacing w:before="100" w:beforeAutospacing="1" w:after="100" w:afterAutospacing="1" w:line="240" w:lineRule="auto"/>
                    <w:jc w:val="right"/>
                  </w:pPr>
                </w:p>
              </w:tc>
              <w:tc>
                <w:tcPr>
                  <w:tcW w:w="2723" w:type="dxa"/>
                  <w:vMerge w:val="restart"/>
                  <w:shd w:val="clear" w:color="auto" w:fill="auto"/>
                  <w:vAlign w:val="center"/>
                </w:tcPr>
                <w:p w:rsidR="00225952" w:rsidRPr="00F05E1C" w:rsidRDefault="00225952" w:rsidP="00225952">
                  <w:pPr>
                    <w:spacing w:before="100" w:beforeAutospacing="1" w:after="100" w:afterAutospacing="1" w:line="216" w:lineRule="auto"/>
                    <w:jc w:val="center"/>
                  </w:pPr>
                  <w:r w:rsidRPr="00F05E1C">
                    <w:t xml:space="preserve">MULTI-SCREEN THEATRE </w:t>
                  </w:r>
                  <w:r w:rsidRPr="008E5C1F">
                    <w:rPr>
                      <w:sz w:val="16"/>
                    </w:rPr>
                    <w:t>(Min. of 8 Screens &amp; 2,500 Seats)</w:t>
                  </w:r>
                </w:p>
              </w:tc>
              <w:tc>
                <w:tcPr>
                  <w:tcW w:w="2790" w:type="dxa"/>
                  <w:shd w:val="clear" w:color="auto" w:fill="auto"/>
                  <w:vAlign w:val="center"/>
                </w:tcPr>
                <w:p w:rsidR="00225952" w:rsidRPr="00F05E1C" w:rsidRDefault="00225952" w:rsidP="00225952">
                  <w:pPr>
                    <w:spacing w:before="100" w:beforeAutospacing="1" w:after="100" w:afterAutospacing="1" w:line="240" w:lineRule="auto"/>
                  </w:pPr>
                  <w:r w:rsidRPr="00F05E1C">
                    <w:t>SEATS</w:t>
                  </w:r>
                </w:p>
              </w:tc>
              <w:tc>
                <w:tcPr>
                  <w:tcW w:w="2070" w:type="dxa"/>
                  <w:shd w:val="clear" w:color="auto" w:fill="auto"/>
                  <w:vAlign w:val="center"/>
                </w:tcPr>
                <w:p w:rsidR="00225952" w:rsidRPr="00F05E1C" w:rsidRDefault="00225952" w:rsidP="00225952">
                  <w:pPr>
                    <w:spacing w:before="100" w:beforeAutospacing="1" w:after="100" w:afterAutospacing="1" w:line="240" w:lineRule="auto"/>
                    <w:jc w:val="center"/>
                  </w:pPr>
                  <w:r w:rsidRPr="00F05E1C">
                    <w:t>6,000</w:t>
                  </w:r>
                </w:p>
              </w:tc>
            </w:tr>
            <w:tr w:rsidR="00225952" w:rsidRPr="00F05E1C" w:rsidTr="00DB6AE5">
              <w:trPr>
                <w:gridAfter w:val="1"/>
                <w:wAfter w:w="499" w:type="dxa"/>
                <w:trHeight w:val="288"/>
              </w:trPr>
              <w:tc>
                <w:tcPr>
                  <w:tcW w:w="2767" w:type="dxa"/>
                  <w:gridSpan w:val="2"/>
                  <w:vMerge/>
                  <w:shd w:val="clear" w:color="auto" w:fill="auto"/>
                  <w:vAlign w:val="center"/>
                </w:tcPr>
                <w:p w:rsidR="00225952" w:rsidRPr="00F05E1C" w:rsidRDefault="00225952" w:rsidP="00225952">
                  <w:pPr>
                    <w:spacing w:before="100" w:beforeAutospacing="1" w:after="100" w:afterAutospacing="1" w:line="240" w:lineRule="auto"/>
                    <w:jc w:val="right"/>
                  </w:pPr>
                </w:p>
              </w:tc>
              <w:tc>
                <w:tcPr>
                  <w:tcW w:w="2723" w:type="dxa"/>
                  <w:vMerge/>
                  <w:tcBorders>
                    <w:bottom w:val="single" w:sz="4" w:space="0" w:color="auto"/>
                  </w:tcBorders>
                  <w:shd w:val="clear" w:color="auto" w:fill="auto"/>
                  <w:vAlign w:val="center"/>
                </w:tcPr>
                <w:p w:rsidR="00225952" w:rsidRPr="00F05E1C" w:rsidRDefault="00225952" w:rsidP="00225952">
                  <w:pPr>
                    <w:spacing w:before="100" w:beforeAutospacing="1" w:after="100" w:afterAutospacing="1" w:line="240" w:lineRule="auto"/>
                    <w:jc w:val="center"/>
                  </w:pPr>
                </w:p>
              </w:tc>
              <w:tc>
                <w:tcPr>
                  <w:tcW w:w="2790" w:type="dxa"/>
                  <w:tcBorders>
                    <w:bottom w:val="single" w:sz="4" w:space="0" w:color="auto"/>
                  </w:tcBorders>
                  <w:shd w:val="clear" w:color="auto" w:fill="auto"/>
                  <w:vAlign w:val="center"/>
                </w:tcPr>
                <w:p w:rsidR="00225952" w:rsidRPr="00F05E1C" w:rsidRDefault="00225952" w:rsidP="00225952">
                  <w:pPr>
                    <w:spacing w:before="100" w:beforeAutospacing="1" w:after="100" w:afterAutospacing="1" w:line="240" w:lineRule="auto"/>
                  </w:pPr>
                  <w:r w:rsidRPr="00F05E1C">
                    <w:t xml:space="preserve">PARKING </w:t>
                  </w:r>
                </w:p>
              </w:tc>
              <w:tc>
                <w:tcPr>
                  <w:tcW w:w="2070" w:type="dxa"/>
                  <w:tcBorders>
                    <w:bottom w:val="single" w:sz="4" w:space="0" w:color="auto"/>
                  </w:tcBorders>
                  <w:shd w:val="clear" w:color="auto" w:fill="auto"/>
                  <w:vAlign w:val="center"/>
                </w:tcPr>
                <w:p w:rsidR="00225952" w:rsidRPr="00F05E1C" w:rsidRDefault="00225952" w:rsidP="00225952">
                  <w:pPr>
                    <w:spacing w:before="100" w:beforeAutospacing="1" w:after="100" w:afterAutospacing="1" w:line="240" w:lineRule="auto"/>
                    <w:jc w:val="center"/>
                  </w:pPr>
                  <w:r w:rsidRPr="00F05E1C">
                    <w:t>1,500</w:t>
                  </w:r>
                </w:p>
              </w:tc>
            </w:tr>
            <w:tr w:rsidR="00225952" w:rsidRPr="00F05E1C" w:rsidTr="00DB6AE5">
              <w:trPr>
                <w:gridAfter w:val="1"/>
                <w:wAfter w:w="499" w:type="dxa"/>
                <w:trHeight w:val="288"/>
              </w:trPr>
              <w:tc>
                <w:tcPr>
                  <w:tcW w:w="2767" w:type="dxa"/>
                  <w:gridSpan w:val="2"/>
                  <w:tcBorders>
                    <w:bottom w:val="single" w:sz="12" w:space="0" w:color="auto"/>
                  </w:tcBorders>
                  <w:shd w:val="clear" w:color="auto" w:fill="auto"/>
                  <w:vAlign w:val="center"/>
                </w:tcPr>
                <w:p w:rsidR="00225952" w:rsidRPr="00F05E1C" w:rsidRDefault="00225952" w:rsidP="00225952">
                  <w:pPr>
                    <w:spacing w:before="100" w:beforeAutospacing="1" w:after="100" w:afterAutospacing="1" w:line="240" w:lineRule="auto"/>
                    <w:jc w:val="right"/>
                  </w:pPr>
                  <w:r w:rsidRPr="008E5C1F">
                    <w:rPr>
                      <w:b/>
                      <w:sz w:val="24"/>
                      <w:szCs w:val="24"/>
                    </w:rPr>
                    <w:t>HOSPITAL</w:t>
                  </w:r>
                </w:p>
              </w:tc>
              <w:tc>
                <w:tcPr>
                  <w:tcW w:w="5513" w:type="dxa"/>
                  <w:gridSpan w:val="2"/>
                  <w:tcBorders>
                    <w:bottom w:val="single" w:sz="12" w:space="0" w:color="auto"/>
                  </w:tcBorders>
                  <w:shd w:val="clear" w:color="auto" w:fill="auto"/>
                  <w:vAlign w:val="center"/>
                </w:tcPr>
                <w:p w:rsidR="00225952" w:rsidRPr="00F05E1C" w:rsidRDefault="00225952" w:rsidP="00225952">
                  <w:pPr>
                    <w:spacing w:before="100" w:beforeAutospacing="1" w:after="100" w:afterAutospacing="1" w:line="240" w:lineRule="auto"/>
                  </w:pPr>
                  <w:r w:rsidRPr="00F05E1C">
                    <w:t>BEDS</w:t>
                  </w:r>
                </w:p>
              </w:tc>
              <w:tc>
                <w:tcPr>
                  <w:tcW w:w="2070" w:type="dxa"/>
                  <w:tcBorders>
                    <w:bottom w:val="single" w:sz="12" w:space="0" w:color="auto"/>
                  </w:tcBorders>
                  <w:shd w:val="clear" w:color="auto" w:fill="auto"/>
                  <w:vAlign w:val="center"/>
                </w:tcPr>
                <w:p w:rsidR="00225952" w:rsidRPr="00F05E1C" w:rsidRDefault="00225952" w:rsidP="00225952">
                  <w:pPr>
                    <w:spacing w:before="100" w:beforeAutospacing="1" w:after="100" w:afterAutospacing="1" w:line="240" w:lineRule="auto"/>
                    <w:jc w:val="center"/>
                  </w:pPr>
                  <w:r w:rsidRPr="00F05E1C">
                    <w:t>600</w:t>
                  </w:r>
                </w:p>
              </w:tc>
            </w:tr>
            <w:tr w:rsidR="00225952" w:rsidRPr="00F05E1C" w:rsidTr="00DB6AE5">
              <w:trPr>
                <w:gridAfter w:val="1"/>
                <w:wAfter w:w="499" w:type="dxa"/>
                <w:trHeight w:val="288"/>
              </w:trPr>
              <w:tc>
                <w:tcPr>
                  <w:tcW w:w="2767" w:type="dxa"/>
                  <w:gridSpan w:val="2"/>
                  <w:shd w:val="clear" w:color="auto" w:fill="auto"/>
                  <w:vAlign w:val="center"/>
                </w:tcPr>
                <w:p w:rsidR="00225952" w:rsidRPr="00F05E1C" w:rsidRDefault="00225952" w:rsidP="00225952">
                  <w:pPr>
                    <w:spacing w:before="100" w:beforeAutospacing="1" w:after="100" w:afterAutospacing="1" w:line="240" w:lineRule="auto"/>
                    <w:jc w:val="right"/>
                  </w:pPr>
                  <w:r w:rsidRPr="008E5C1F">
                    <w:rPr>
                      <w:b/>
                      <w:sz w:val="24"/>
                      <w:szCs w:val="24"/>
                    </w:rPr>
                    <w:t>HOTEL/MOTEL</w:t>
                  </w:r>
                </w:p>
              </w:tc>
              <w:tc>
                <w:tcPr>
                  <w:tcW w:w="5513" w:type="dxa"/>
                  <w:gridSpan w:val="2"/>
                  <w:tcBorders>
                    <w:bottom w:val="single" w:sz="4" w:space="0" w:color="auto"/>
                  </w:tcBorders>
                  <w:shd w:val="clear" w:color="auto" w:fill="auto"/>
                  <w:vAlign w:val="center"/>
                </w:tcPr>
                <w:p w:rsidR="00225952" w:rsidRPr="00F05E1C" w:rsidRDefault="00225952" w:rsidP="00225952">
                  <w:pPr>
                    <w:spacing w:before="100" w:beforeAutospacing="1" w:after="100" w:afterAutospacing="1" w:line="240" w:lineRule="auto"/>
                  </w:pPr>
                  <w:r w:rsidRPr="00F05E1C">
                    <w:t>ROOMS</w:t>
                  </w:r>
                </w:p>
              </w:tc>
              <w:tc>
                <w:tcPr>
                  <w:tcW w:w="2070" w:type="dxa"/>
                  <w:tcBorders>
                    <w:bottom w:val="single" w:sz="4" w:space="0" w:color="auto"/>
                  </w:tcBorders>
                  <w:shd w:val="clear" w:color="auto" w:fill="auto"/>
                  <w:vAlign w:val="center"/>
                </w:tcPr>
                <w:p w:rsidR="00225952" w:rsidRPr="00F05E1C" w:rsidRDefault="00225952" w:rsidP="00225952">
                  <w:pPr>
                    <w:spacing w:before="100" w:beforeAutospacing="1" w:after="100" w:afterAutospacing="1" w:line="240" w:lineRule="auto"/>
                    <w:jc w:val="center"/>
                  </w:pPr>
                  <w:r w:rsidRPr="00F05E1C">
                    <w:t>305</w:t>
                  </w:r>
                  <w:r w:rsidRPr="00F05E1C">
                    <w:rPr>
                      <w:vertAlign w:val="superscript"/>
                    </w:rPr>
                    <w:t>2</w:t>
                  </w:r>
                </w:p>
              </w:tc>
            </w:tr>
            <w:tr w:rsidR="00225952" w:rsidRPr="00F05E1C" w:rsidTr="00DB6AE5">
              <w:trPr>
                <w:gridAfter w:val="1"/>
                <w:wAfter w:w="499" w:type="dxa"/>
                <w:trHeight w:val="288"/>
              </w:trPr>
              <w:tc>
                <w:tcPr>
                  <w:tcW w:w="2767" w:type="dxa"/>
                  <w:gridSpan w:val="2"/>
                  <w:vMerge w:val="restart"/>
                  <w:shd w:val="clear" w:color="auto" w:fill="auto"/>
                  <w:vAlign w:val="center"/>
                </w:tcPr>
                <w:p w:rsidR="00225952" w:rsidRPr="00F05E1C" w:rsidRDefault="00225952" w:rsidP="00225952">
                  <w:pPr>
                    <w:spacing w:before="100" w:beforeAutospacing="1" w:after="100" w:afterAutospacing="1" w:line="240" w:lineRule="auto"/>
                    <w:jc w:val="right"/>
                  </w:pPr>
                  <w:r w:rsidRPr="008E5C1F">
                    <w:rPr>
                      <w:b/>
                      <w:sz w:val="24"/>
                      <w:szCs w:val="24"/>
                    </w:rPr>
                    <w:t>INDUSTRIAL</w:t>
                  </w:r>
                </w:p>
              </w:tc>
              <w:tc>
                <w:tcPr>
                  <w:tcW w:w="5513" w:type="dxa"/>
                  <w:gridSpan w:val="2"/>
                  <w:shd w:val="clear" w:color="auto" w:fill="auto"/>
                  <w:vAlign w:val="center"/>
                </w:tcPr>
                <w:p w:rsidR="00225952" w:rsidRPr="00F05E1C" w:rsidRDefault="00225952" w:rsidP="00225952">
                  <w:pPr>
                    <w:spacing w:before="100" w:beforeAutospacing="1" w:after="100" w:afterAutospacing="1" w:line="240" w:lineRule="auto"/>
                  </w:pPr>
                  <w:r w:rsidRPr="00F05E1C">
                    <w:t>ACRES</w:t>
                  </w:r>
                </w:p>
              </w:tc>
              <w:tc>
                <w:tcPr>
                  <w:tcW w:w="2070" w:type="dxa"/>
                  <w:shd w:val="clear" w:color="auto" w:fill="auto"/>
                  <w:vAlign w:val="center"/>
                </w:tcPr>
                <w:p w:rsidR="00225952" w:rsidRPr="00F05E1C" w:rsidRDefault="00225952" w:rsidP="00225952">
                  <w:pPr>
                    <w:spacing w:before="100" w:beforeAutospacing="1" w:after="100" w:afterAutospacing="1" w:line="240" w:lineRule="auto"/>
                    <w:jc w:val="center"/>
                  </w:pPr>
                  <w:r w:rsidRPr="00F05E1C">
                    <w:t>320</w:t>
                  </w:r>
                </w:p>
              </w:tc>
            </w:tr>
            <w:tr w:rsidR="00225952" w:rsidRPr="00F05E1C" w:rsidTr="00DB6AE5">
              <w:trPr>
                <w:gridAfter w:val="1"/>
                <w:wAfter w:w="499" w:type="dxa"/>
                <w:trHeight w:val="288"/>
              </w:trPr>
              <w:tc>
                <w:tcPr>
                  <w:tcW w:w="2767" w:type="dxa"/>
                  <w:gridSpan w:val="2"/>
                  <w:vMerge/>
                  <w:shd w:val="clear" w:color="auto" w:fill="auto"/>
                  <w:vAlign w:val="center"/>
                </w:tcPr>
                <w:p w:rsidR="00225952" w:rsidRPr="00F05E1C" w:rsidRDefault="00225952" w:rsidP="00225952">
                  <w:pPr>
                    <w:spacing w:before="100" w:beforeAutospacing="1" w:after="100" w:afterAutospacing="1" w:line="240" w:lineRule="auto"/>
                    <w:jc w:val="right"/>
                  </w:pPr>
                </w:p>
              </w:tc>
              <w:tc>
                <w:tcPr>
                  <w:tcW w:w="5513" w:type="dxa"/>
                  <w:gridSpan w:val="2"/>
                  <w:tcBorders>
                    <w:bottom w:val="single" w:sz="4" w:space="0" w:color="auto"/>
                  </w:tcBorders>
                  <w:shd w:val="clear" w:color="auto" w:fill="auto"/>
                  <w:vAlign w:val="center"/>
                </w:tcPr>
                <w:p w:rsidR="00225952" w:rsidRPr="00F05E1C" w:rsidRDefault="00225952" w:rsidP="00225952">
                  <w:pPr>
                    <w:spacing w:before="100" w:beforeAutospacing="1" w:after="100" w:afterAutospacing="1" w:line="240" w:lineRule="auto"/>
                  </w:pPr>
                  <w:r w:rsidRPr="00F05E1C">
                    <w:t>PARKING SPACES</w:t>
                  </w:r>
                </w:p>
              </w:tc>
              <w:tc>
                <w:tcPr>
                  <w:tcW w:w="2070" w:type="dxa"/>
                  <w:tcBorders>
                    <w:bottom w:val="single" w:sz="4" w:space="0" w:color="auto"/>
                  </w:tcBorders>
                  <w:shd w:val="clear" w:color="auto" w:fill="auto"/>
                  <w:vAlign w:val="center"/>
                </w:tcPr>
                <w:p w:rsidR="00225952" w:rsidRPr="00F05E1C" w:rsidRDefault="00225952" w:rsidP="00225952">
                  <w:pPr>
                    <w:spacing w:before="100" w:beforeAutospacing="1" w:after="100" w:afterAutospacing="1" w:line="240" w:lineRule="auto"/>
                    <w:jc w:val="center"/>
                  </w:pPr>
                  <w:r w:rsidRPr="00F05E1C">
                    <w:t>2.500</w:t>
                  </w:r>
                </w:p>
              </w:tc>
            </w:tr>
            <w:tr w:rsidR="00225952" w:rsidRPr="00F05E1C" w:rsidTr="00DB6AE5">
              <w:trPr>
                <w:gridAfter w:val="1"/>
                <w:wAfter w:w="499" w:type="dxa"/>
                <w:trHeight w:val="288"/>
              </w:trPr>
              <w:tc>
                <w:tcPr>
                  <w:tcW w:w="2767" w:type="dxa"/>
                  <w:gridSpan w:val="2"/>
                  <w:vMerge w:val="restart"/>
                  <w:shd w:val="clear" w:color="auto" w:fill="auto"/>
                  <w:vAlign w:val="center"/>
                </w:tcPr>
                <w:p w:rsidR="00225952" w:rsidRPr="00F05E1C" w:rsidRDefault="00225952" w:rsidP="00225952">
                  <w:pPr>
                    <w:spacing w:before="100" w:beforeAutospacing="1" w:after="100" w:afterAutospacing="1" w:line="240" w:lineRule="auto"/>
                    <w:jc w:val="right"/>
                  </w:pPr>
                  <w:r w:rsidRPr="008E5C1F">
                    <w:rPr>
                      <w:b/>
                      <w:sz w:val="24"/>
                      <w:szCs w:val="24"/>
                    </w:rPr>
                    <w:t>MINING OPERATIONS</w:t>
                  </w:r>
                </w:p>
              </w:tc>
              <w:tc>
                <w:tcPr>
                  <w:tcW w:w="5513" w:type="dxa"/>
                  <w:gridSpan w:val="2"/>
                  <w:shd w:val="clear" w:color="auto" w:fill="auto"/>
                  <w:vAlign w:val="center"/>
                </w:tcPr>
                <w:p w:rsidR="00225952" w:rsidRPr="00F05E1C" w:rsidRDefault="00225952" w:rsidP="00225952">
                  <w:pPr>
                    <w:spacing w:before="100" w:beforeAutospacing="1" w:after="100" w:afterAutospacing="1" w:line="240" w:lineRule="auto"/>
                  </w:pPr>
                  <w:r w:rsidRPr="00F05E1C">
                    <w:t>ACREAGE (Disturbance/Removal</w:t>
                  </w:r>
                </w:p>
              </w:tc>
              <w:tc>
                <w:tcPr>
                  <w:tcW w:w="2070" w:type="dxa"/>
                  <w:shd w:val="clear" w:color="auto" w:fill="auto"/>
                  <w:vAlign w:val="center"/>
                </w:tcPr>
                <w:p w:rsidR="00225952" w:rsidRPr="00F05E1C" w:rsidRDefault="00225952" w:rsidP="00225952">
                  <w:pPr>
                    <w:spacing w:before="100" w:beforeAutospacing="1" w:after="100" w:afterAutospacing="1" w:line="240" w:lineRule="auto"/>
                    <w:jc w:val="center"/>
                  </w:pPr>
                  <w:r w:rsidRPr="00F05E1C">
                    <w:t>100</w:t>
                  </w:r>
                </w:p>
              </w:tc>
            </w:tr>
            <w:tr w:rsidR="00225952" w:rsidRPr="00F05E1C" w:rsidTr="00DB6AE5">
              <w:trPr>
                <w:gridAfter w:val="1"/>
                <w:wAfter w:w="499" w:type="dxa"/>
                <w:trHeight w:val="288"/>
              </w:trPr>
              <w:tc>
                <w:tcPr>
                  <w:tcW w:w="2767" w:type="dxa"/>
                  <w:gridSpan w:val="2"/>
                  <w:vMerge/>
                  <w:shd w:val="clear" w:color="auto" w:fill="auto"/>
                  <w:vAlign w:val="center"/>
                </w:tcPr>
                <w:p w:rsidR="00225952" w:rsidRPr="00F05E1C" w:rsidRDefault="00225952" w:rsidP="00225952">
                  <w:pPr>
                    <w:spacing w:before="100" w:beforeAutospacing="1" w:after="100" w:afterAutospacing="1" w:line="240" w:lineRule="auto"/>
                    <w:jc w:val="right"/>
                  </w:pPr>
                </w:p>
              </w:tc>
              <w:tc>
                <w:tcPr>
                  <w:tcW w:w="5513" w:type="dxa"/>
                  <w:gridSpan w:val="2"/>
                  <w:tcBorders>
                    <w:bottom w:val="single" w:sz="4" w:space="0" w:color="auto"/>
                  </w:tcBorders>
                  <w:shd w:val="clear" w:color="auto" w:fill="auto"/>
                  <w:vAlign w:val="center"/>
                </w:tcPr>
                <w:p w:rsidR="00225952" w:rsidRPr="00F05E1C" w:rsidRDefault="00225952" w:rsidP="00225952">
                  <w:pPr>
                    <w:spacing w:before="100" w:beforeAutospacing="1" w:after="100" w:afterAutospacing="1" w:line="240" w:lineRule="auto"/>
                  </w:pPr>
                  <w:r w:rsidRPr="00F05E1C">
                    <w:t>WATER WITHDRAWAL (GPD)</w:t>
                  </w:r>
                </w:p>
              </w:tc>
              <w:tc>
                <w:tcPr>
                  <w:tcW w:w="2070" w:type="dxa"/>
                  <w:tcBorders>
                    <w:bottom w:val="single" w:sz="4" w:space="0" w:color="auto"/>
                  </w:tcBorders>
                  <w:shd w:val="clear" w:color="auto" w:fill="auto"/>
                  <w:vAlign w:val="center"/>
                </w:tcPr>
                <w:p w:rsidR="00225952" w:rsidRPr="00F05E1C" w:rsidRDefault="00225952" w:rsidP="00225952">
                  <w:pPr>
                    <w:spacing w:before="100" w:beforeAutospacing="1" w:after="100" w:afterAutospacing="1" w:line="240" w:lineRule="auto"/>
                    <w:jc w:val="center"/>
                  </w:pPr>
                  <w:r w:rsidRPr="00F05E1C">
                    <w:t>3,000,000</w:t>
                  </w:r>
                </w:p>
              </w:tc>
            </w:tr>
            <w:tr w:rsidR="00225952" w:rsidRPr="00F05E1C" w:rsidTr="00DB6AE5">
              <w:trPr>
                <w:gridAfter w:val="1"/>
                <w:wAfter w:w="499" w:type="dxa"/>
                <w:trHeight w:val="288"/>
              </w:trPr>
              <w:tc>
                <w:tcPr>
                  <w:tcW w:w="2767" w:type="dxa"/>
                  <w:gridSpan w:val="2"/>
                  <w:vMerge w:val="restart"/>
                  <w:shd w:val="clear" w:color="auto" w:fill="auto"/>
                  <w:vAlign w:val="center"/>
                </w:tcPr>
                <w:p w:rsidR="00225952" w:rsidRPr="00F05E1C" w:rsidRDefault="00225952" w:rsidP="00225952">
                  <w:pPr>
                    <w:spacing w:before="100" w:beforeAutospacing="1" w:after="100" w:afterAutospacing="1" w:line="240" w:lineRule="auto"/>
                    <w:jc w:val="right"/>
                  </w:pPr>
                  <w:r w:rsidRPr="008E5C1F">
                    <w:rPr>
                      <w:b/>
                      <w:sz w:val="24"/>
                      <w:szCs w:val="24"/>
                    </w:rPr>
                    <w:t>MULTIPLE LAND USES</w:t>
                  </w:r>
                </w:p>
              </w:tc>
              <w:tc>
                <w:tcPr>
                  <w:tcW w:w="5513" w:type="dxa"/>
                  <w:gridSpan w:val="2"/>
                  <w:shd w:val="clear" w:color="auto" w:fill="auto"/>
                  <w:vAlign w:val="center"/>
                </w:tcPr>
                <w:p w:rsidR="00225952" w:rsidRPr="00F05E1C" w:rsidRDefault="00225952" w:rsidP="00225952">
                  <w:pPr>
                    <w:spacing w:before="100" w:beforeAutospacing="1" w:after="100" w:afterAutospacing="1" w:line="240" w:lineRule="auto"/>
                  </w:pPr>
                  <w:r w:rsidRPr="00F05E1C">
                    <w:t>TWO OR MORE USES (%)</w:t>
                  </w:r>
                </w:p>
              </w:tc>
              <w:tc>
                <w:tcPr>
                  <w:tcW w:w="2070" w:type="dxa"/>
                  <w:shd w:val="clear" w:color="auto" w:fill="auto"/>
                  <w:vAlign w:val="center"/>
                </w:tcPr>
                <w:p w:rsidR="00225952" w:rsidRPr="00F05E1C" w:rsidRDefault="00225952" w:rsidP="00225952">
                  <w:pPr>
                    <w:spacing w:before="100" w:beforeAutospacing="1" w:after="100" w:afterAutospacing="1" w:line="240" w:lineRule="auto"/>
                    <w:jc w:val="center"/>
                  </w:pPr>
                  <w:r w:rsidRPr="00F05E1C">
                    <w:t>145</w:t>
                  </w:r>
                </w:p>
              </w:tc>
            </w:tr>
            <w:tr w:rsidR="00225952" w:rsidRPr="00F05E1C" w:rsidTr="00DB6AE5">
              <w:trPr>
                <w:gridAfter w:val="1"/>
                <w:wAfter w:w="499" w:type="dxa"/>
                <w:trHeight w:val="288"/>
              </w:trPr>
              <w:tc>
                <w:tcPr>
                  <w:tcW w:w="2767" w:type="dxa"/>
                  <w:gridSpan w:val="2"/>
                  <w:vMerge/>
                  <w:shd w:val="clear" w:color="auto" w:fill="auto"/>
                  <w:vAlign w:val="center"/>
                </w:tcPr>
                <w:p w:rsidR="00225952" w:rsidRPr="00F05E1C" w:rsidRDefault="00225952" w:rsidP="00225952">
                  <w:pPr>
                    <w:spacing w:before="100" w:beforeAutospacing="1" w:after="100" w:afterAutospacing="1" w:line="240" w:lineRule="auto"/>
                    <w:jc w:val="right"/>
                  </w:pPr>
                </w:p>
              </w:tc>
              <w:tc>
                <w:tcPr>
                  <w:tcW w:w="5513" w:type="dxa"/>
                  <w:gridSpan w:val="2"/>
                  <w:tcBorders>
                    <w:bottom w:val="single" w:sz="4" w:space="0" w:color="auto"/>
                  </w:tcBorders>
                  <w:shd w:val="clear" w:color="auto" w:fill="auto"/>
                  <w:vAlign w:val="center"/>
                </w:tcPr>
                <w:p w:rsidR="00225952" w:rsidRPr="00F05E1C" w:rsidRDefault="00225952" w:rsidP="00225952">
                  <w:pPr>
                    <w:spacing w:before="100" w:beforeAutospacing="1" w:after="100" w:afterAutospacing="1" w:line="240" w:lineRule="auto"/>
                  </w:pPr>
                  <w:r w:rsidRPr="00F05E1C">
                    <w:t>THREE OR MORE USES</w:t>
                  </w:r>
                  <w:r w:rsidRPr="00F05E1C">
                    <w:rPr>
                      <w:vertAlign w:val="superscript"/>
                    </w:rPr>
                    <w:t>3</w:t>
                  </w:r>
                </w:p>
              </w:tc>
              <w:tc>
                <w:tcPr>
                  <w:tcW w:w="2070" w:type="dxa"/>
                  <w:tcBorders>
                    <w:bottom w:val="single" w:sz="4" w:space="0" w:color="auto"/>
                  </w:tcBorders>
                  <w:shd w:val="clear" w:color="auto" w:fill="auto"/>
                  <w:vAlign w:val="center"/>
                </w:tcPr>
                <w:p w:rsidR="00225952" w:rsidRPr="00F05E1C" w:rsidRDefault="00225952" w:rsidP="00225952">
                  <w:pPr>
                    <w:spacing w:before="100" w:beforeAutospacing="1" w:after="100" w:afterAutospacing="1" w:line="240" w:lineRule="auto"/>
                    <w:jc w:val="center"/>
                  </w:pPr>
                  <w:r w:rsidRPr="00F05E1C">
                    <w:t>160</w:t>
                  </w:r>
                </w:p>
              </w:tc>
            </w:tr>
            <w:tr w:rsidR="00225952" w:rsidRPr="00F05E1C" w:rsidTr="00DB6AE5">
              <w:trPr>
                <w:gridAfter w:val="1"/>
                <w:wAfter w:w="499" w:type="dxa"/>
                <w:trHeight w:val="288"/>
              </w:trPr>
              <w:tc>
                <w:tcPr>
                  <w:tcW w:w="2767" w:type="dxa"/>
                  <w:gridSpan w:val="2"/>
                  <w:shd w:val="clear" w:color="auto" w:fill="auto"/>
                  <w:vAlign w:val="center"/>
                </w:tcPr>
                <w:p w:rsidR="00225952" w:rsidRPr="00F05E1C" w:rsidRDefault="00225952" w:rsidP="00225952">
                  <w:pPr>
                    <w:spacing w:before="100" w:beforeAutospacing="1" w:after="100" w:afterAutospacing="1" w:line="240" w:lineRule="auto"/>
                    <w:jc w:val="right"/>
                  </w:pPr>
                  <w:r w:rsidRPr="008E5C1F">
                    <w:rPr>
                      <w:b/>
                      <w:sz w:val="24"/>
                      <w:szCs w:val="24"/>
                    </w:rPr>
                    <w:t>OFFICE</w:t>
                  </w:r>
                </w:p>
              </w:tc>
              <w:tc>
                <w:tcPr>
                  <w:tcW w:w="5513" w:type="dxa"/>
                  <w:gridSpan w:val="2"/>
                  <w:tcBorders>
                    <w:bottom w:val="single" w:sz="4" w:space="0" w:color="auto"/>
                  </w:tcBorders>
                  <w:shd w:val="clear" w:color="auto" w:fill="auto"/>
                  <w:vAlign w:val="center"/>
                </w:tcPr>
                <w:p w:rsidR="00225952" w:rsidRPr="00F05E1C" w:rsidRDefault="00225952" w:rsidP="00225952">
                  <w:pPr>
                    <w:spacing w:before="100" w:beforeAutospacing="1" w:after="100" w:afterAutospacing="1" w:line="240" w:lineRule="auto"/>
                  </w:pPr>
                  <w:r w:rsidRPr="00F05E1C">
                    <w:t>GROSS SQUARE FEET</w:t>
                  </w:r>
                </w:p>
              </w:tc>
              <w:tc>
                <w:tcPr>
                  <w:tcW w:w="2070" w:type="dxa"/>
                  <w:tcBorders>
                    <w:bottom w:val="single" w:sz="4" w:space="0" w:color="auto"/>
                  </w:tcBorders>
                  <w:shd w:val="clear" w:color="auto" w:fill="auto"/>
                  <w:vAlign w:val="center"/>
                </w:tcPr>
                <w:p w:rsidR="00225952" w:rsidRPr="00F05E1C" w:rsidRDefault="00225952" w:rsidP="00225952">
                  <w:pPr>
                    <w:spacing w:before="100" w:beforeAutospacing="1" w:after="100" w:afterAutospacing="1" w:line="240" w:lineRule="auto"/>
                    <w:jc w:val="center"/>
                  </w:pPr>
                  <w:r w:rsidRPr="00F05E1C">
                    <w:t>300,000</w:t>
                  </w:r>
                  <w:r w:rsidRPr="00F05E1C">
                    <w:rPr>
                      <w:vertAlign w:val="superscript"/>
                    </w:rPr>
                    <w:t>4</w:t>
                  </w:r>
                </w:p>
              </w:tc>
            </w:tr>
            <w:tr w:rsidR="00225952" w:rsidRPr="00F05E1C" w:rsidTr="00DB6AE5">
              <w:trPr>
                <w:gridAfter w:val="1"/>
                <w:wAfter w:w="499" w:type="dxa"/>
                <w:trHeight w:val="288"/>
              </w:trPr>
              <w:tc>
                <w:tcPr>
                  <w:tcW w:w="2767" w:type="dxa"/>
                  <w:gridSpan w:val="2"/>
                  <w:vMerge w:val="restart"/>
                  <w:shd w:val="clear" w:color="auto" w:fill="auto"/>
                  <w:vAlign w:val="center"/>
                </w:tcPr>
                <w:p w:rsidR="00225952" w:rsidRPr="00F05E1C" w:rsidRDefault="00225952" w:rsidP="00225952">
                  <w:pPr>
                    <w:spacing w:before="100" w:beforeAutospacing="1" w:after="100" w:afterAutospacing="1" w:line="240" w:lineRule="auto"/>
                    <w:jc w:val="right"/>
                  </w:pPr>
                  <w:r w:rsidRPr="008E5C1F">
                    <w:rPr>
                      <w:b/>
                      <w:sz w:val="24"/>
                      <w:szCs w:val="24"/>
                    </w:rPr>
                    <w:t>PETROLEUM STORAGE</w:t>
                  </w:r>
                </w:p>
              </w:tc>
              <w:tc>
                <w:tcPr>
                  <w:tcW w:w="5513" w:type="dxa"/>
                  <w:gridSpan w:val="2"/>
                  <w:shd w:val="clear" w:color="auto" w:fill="auto"/>
                  <w:vAlign w:val="center"/>
                </w:tcPr>
                <w:p w:rsidR="00225952" w:rsidRPr="00A70ABE" w:rsidRDefault="00225952" w:rsidP="00225952">
                  <w:pPr>
                    <w:spacing w:before="100" w:beforeAutospacing="1" w:after="100" w:afterAutospacing="1" w:line="240" w:lineRule="auto"/>
                  </w:pPr>
                  <w:r>
                    <w:t>BARRELS</w:t>
                  </w:r>
                  <w:r w:rsidRPr="00F05E1C">
                    <w:rPr>
                      <w:vertAlign w:val="superscript"/>
                    </w:rPr>
                    <w:t>5</w:t>
                  </w:r>
                </w:p>
              </w:tc>
              <w:tc>
                <w:tcPr>
                  <w:tcW w:w="2070" w:type="dxa"/>
                  <w:shd w:val="clear" w:color="auto" w:fill="auto"/>
                  <w:vAlign w:val="center"/>
                </w:tcPr>
                <w:p w:rsidR="00225952" w:rsidRPr="00F05E1C" w:rsidRDefault="00225952" w:rsidP="00225952">
                  <w:pPr>
                    <w:spacing w:before="100" w:beforeAutospacing="1" w:after="100" w:afterAutospacing="1" w:line="240" w:lineRule="auto"/>
                    <w:jc w:val="center"/>
                  </w:pPr>
                  <w:r w:rsidRPr="00F05E1C">
                    <w:t>200,000</w:t>
                  </w:r>
                </w:p>
              </w:tc>
            </w:tr>
            <w:tr w:rsidR="00225952" w:rsidRPr="00F05E1C" w:rsidTr="00DB6AE5">
              <w:trPr>
                <w:gridAfter w:val="1"/>
                <w:wAfter w:w="499" w:type="dxa"/>
                <w:trHeight w:val="288"/>
              </w:trPr>
              <w:tc>
                <w:tcPr>
                  <w:tcW w:w="2767" w:type="dxa"/>
                  <w:gridSpan w:val="2"/>
                  <w:vMerge/>
                  <w:shd w:val="clear" w:color="auto" w:fill="auto"/>
                  <w:vAlign w:val="center"/>
                </w:tcPr>
                <w:p w:rsidR="00225952" w:rsidRPr="00F05E1C" w:rsidRDefault="00225952" w:rsidP="00225952">
                  <w:pPr>
                    <w:spacing w:before="100" w:beforeAutospacing="1" w:after="100" w:afterAutospacing="1" w:line="240" w:lineRule="auto"/>
                    <w:jc w:val="right"/>
                  </w:pPr>
                </w:p>
              </w:tc>
              <w:tc>
                <w:tcPr>
                  <w:tcW w:w="5513" w:type="dxa"/>
                  <w:gridSpan w:val="2"/>
                  <w:tcBorders>
                    <w:bottom w:val="single" w:sz="4" w:space="0" w:color="auto"/>
                  </w:tcBorders>
                  <w:shd w:val="clear" w:color="auto" w:fill="auto"/>
                  <w:vAlign w:val="center"/>
                </w:tcPr>
                <w:p w:rsidR="00225952" w:rsidRPr="00F05E1C" w:rsidRDefault="00225952" w:rsidP="00225952">
                  <w:pPr>
                    <w:spacing w:before="100" w:beforeAutospacing="1" w:after="100" w:afterAutospacing="1" w:line="240" w:lineRule="auto"/>
                  </w:pPr>
                  <w:r w:rsidRPr="00F05E1C">
                    <w:t>BARRELS</w:t>
                  </w:r>
                  <w:r w:rsidRPr="00F05E1C">
                    <w:rPr>
                      <w:vertAlign w:val="superscript"/>
                    </w:rPr>
                    <w:t>5</w:t>
                  </w:r>
                </w:p>
              </w:tc>
              <w:tc>
                <w:tcPr>
                  <w:tcW w:w="2070" w:type="dxa"/>
                  <w:tcBorders>
                    <w:bottom w:val="single" w:sz="4" w:space="0" w:color="auto"/>
                  </w:tcBorders>
                  <w:shd w:val="clear" w:color="auto" w:fill="auto"/>
                  <w:vAlign w:val="center"/>
                </w:tcPr>
                <w:p w:rsidR="00225952" w:rsidRPr="00F05E1C" w:rsidRDefault="00225952" w:rsidP="00225952">
                  <w:pPr>
                    <w:spacing w:before="100" w:beforeAutospacing="1" w:after="100" w:afterAutospacing="1" w:line="240" w:lineRule="auto"/>
                    <w:jc w:val="center"/>
                  </w:pPr>
                  <w:r w:rsidRPr="00F05E1C">
                    <w:t>50,000</w:t>
                  </w:r>
                </w:p>
              </w:tc>
            </w:tr>
            <w:tr w:rsidR="00225952" w:rsidRPr="00F05E1C" w:rsidTr="00DB6AE5">
              <w:trPr>
                <w:gridAfter w:val="1"/>
                <w:wAfter w:w="499" w:type="dxa"/>
                <w:trHeight w:val="288"/>
              </w:trPr>
              <w:tc>
                <w:tcPr>
                  <w:tcW w:w="2767" w:type="dxa"/>
                  <w:gridSpan w:val="2"/>
                  <w:vMerge w:val="restart"/>
                  <w:shd w:val="clear" w:color="auto" w:fill="auto"/>
                  <w:vAlign w:val="center"/>
                </w:tcPr>
                <w:p w:rsidR="00225952" w:rsidRDefault="00225952">
                  <w:pPr>
                    <w:spacing w:before="100" w:beforeAutospacing="1" w:after="100" w:afterAutospacing="1" w:line="240" w:lineRule="auto"/>
                    <w:jc w:val="right"/>
                  </w:pPr>
                  <w:r w:rsidRPr="008E5C1F">
                    <w:rPr>
                      <w:b/>
                      <w:sz w:val="24"/>
                      <w:szCs w:val="24"/>
                    </w:rPr>
                    <w:t>MARINAS</w:t>
                  </w:r>
                </w:p>
              </w:tc>
              <w:tc>
                <w:tcPr>
                  <w:tcW w:w="5513" w:type="dxa"/>
                  <w:gridSpan w:val="2"/>
                  <w:shd w:val="clear" w:color="auto" w:fill="auto"/>
                  <w:vAlign w:val="center"/>
                </w:tcPr>
                <w:p w:rsidR="00225952" w:rsidRPr="00F05E1C" w:rsidRDefault="00225952" w:rsidP="00225952">
                  <w:pPr>
                    <w:spacing w:before="100" w:beforeAutospacing="1" w:after="100" w:afterAutospacing="1" w:line="240" w:lineRule="auto"/>
                  </w:pPr>
                  <w:r w:rsidRPr="00F05E1C">
                    <w:t>WET SLIPS</w:t>
                  </w:r>
                </w:p>
              </w:tc>
              <w:tc>
                <w:tcPr>
                  <w:tcW w:w="2070" w:type="dxa"/>
                  <w:shd w:val="clear" w:color="auto" w:fill="auto"/>
                  <w:vAlign w:val="center"/>
                </w:tcPr>
                <w:p w:rsidR="00225952" w:rsidRPr="00F05E1C" w:rsidRDefault="00225952" w:rsidP="00225952">
                  <w:pPr>
                    <w:spacing w:before="100" w:beforeAutospacing="1" w:after="100" w:afterAutospacing="1" w:line="240" w:lineRule="auto"/>
                    <w:jc w:val="center"/>
                  </w:pPr>
                  <w:r w:rsidRPr="00F05E1C">
                    <w:t>150</w:t>
                  </w:r>
                  <w:r w:rsidRPr="00F05E1C">
                    <w:rPr>
                      <w:vertAlign w:val="superscript"/>
                    </w:rPr>
                    <w:t>6</w:t>
                  </w:r>
                </w:p>
              </w:tc>
            </w:tr>
            <w:tr w:rsidR="00225952" w:rsidRPr="00F05E1C" w:rsidTr="00DB6AE5">
              <w:trPr>
                <w:gridAfter w:val="1"/>
                <w:wAfter w:w="499" w:type="dxa"/>
                <w:trHeight w:val="288"/>
              </w:trPr>
              <w:tc>
                <w:tcPr>
                  <w:tcW w:w="2767" w:type="dxa"/>
                  <w:gridSpan w:val="2"/>
                  <w:vMerge/>
                  <w:shd w:val="clear" w:color="auto" w:fill="auto"/>
                  <w:vAlign w:val="center"/>
                </w:tcPr>
                <w:p w:rsidR="00225952" w:rsidRPr="00F05E1C" w:rsidRDefault="00225952" w:rsidP="00225952">
                  <w:pPr>
                    <w:spacing w:before="100" w:beforeAutospacing="1" w:after="100" w:afterAutospacing="1" w:line="240" w:lineRule="auto"/>
                    <w:jc w:val="right"/>
                  </w:pPr>
                </w:p>
              </w:tc>
              <w:tc>
                <w:tcPr>
                  <w:tcW w:w="5513" w:type="dxa"/>
                  <w:gridSpan w:val="2"/>
                  <w:tcBorders>
                    <w:bottom w:val="single" w:sz="4" w:space="0" w:color="auto"/>
                  </w:tcBorders>
                  <w:shd w:val="clear" w:color="auto" w:fill="auto"/>
                  <w:vAlign w:val="center"/>
                </w:tcPr>
                <w:p w:rsidR="00225952" w:rsidRPr="00F05E1C" w:rsidRDefault="00225952" w:rsidP="00225952">
                  <w:pPr>
                    <w:spacing w:before="100" w:beforeAutospacing="1" w:after="100" w:afterAutospacing="1" w:line="240" w:lineRule="auto"/>
                  </w:pPr>
                  <w:r w:rsidRPr="00F05E1C">
                    <w:t>DRY SLIPS</w:t>
                  </w:r>
                </w:p>
              </w:tc>
              <w:tc>
                <w:tcPr>
                  <w:tcW w:w="2070" w:type="dxa"/>
                  <w:tcBorders>
                    <w:bottom w:val="single" w:sz="4" w:space="0" w:color="auto"/>
                  </w:tcBorders>
                  <w:shd w:val="clear" w:color="auto" w:fill="auto"/>
                  <w:vAlign w:val="center"/>
                </w:tcPr>
                <w:p w:rsidR="00225952" w:rsidRPr="00F05E1C" w:rsidRDefault="00225952" w:rsidP="00225952">
                  <w:pPr>
                    <w:spacing w:before="100" w:beforeAutospacing="1" w:after="100" w:afterAutospacing="1" w:line="240" w:lineRule="auto"/>
                    <w:jc w:val="center"/>
                  </w:pPr>
                  <w:r w:rsidRPr="00F05E1C">
                    <w:t>200</w:t>
                  </w:r>
                  <w:r w:rsidRPr="00F05E1C">
                    <w:rPr>
                      <w:vertAlign w:val="superscript"/>
                    </w:rPr>
                    <w:t>6</w:t>
                  </w:r>
                </w:p>
              </w:tc>
            </w:tr>
            <w:tr w:rsidR="00225952" w:rsidRPr="00F05E1C" w:rsidTr="00DB6AE5">
              <w:trPr>
                <w:gridAfter w:val="1"/>
                <w:wAfter w:w="499" w:type="dxa"/>
                <w:trHeight w:val="288"/>
              </w:trPr>
              <w:tc>
                <w:tcPr>
                  <w:tcW w:w="2767" w:type="dxa"/>
                  <w:gridSpan w:val="2"/>
                  <w:shd w:val="clear" w:color="auto" w:fill="auto"/>
                  <w:vAlign w:val="center"/>
                </w:tcPr>
                <w:p w:rsidR="00225952" w:rsidRPr="00F05E1C" w:rsidRDefault="00225952" w:rsidP="00225952">
                  <w:pPr>
                    <w:spacing w:before="100" w:beforeAutospacing="1" w:after="100" w:afterAutospacing="1" w:line="240" w:lineRule="auto"/>
                    <w:jc w:val="right"/>
                  </w:pPr>
                  <w:r w:rsidRPr="008E5C1F">
                    <w:rPr>
                      <w:b/>
                      <w:sz w:val="24"/>
                      <w:szCs w:val="24"/>
                    </w:rPr>
                    <w:t>RECREATIONAL VEHICLE</w:t>
                  </w:r>
                </w:p>
              </w:tc>
              <w:tc>
                <w:tcPr>
                  <w:tcW w:w="5513" w:type="dxa"/>
                  <w:gridSpan w:val="2"/>
                  <w:tcBorders>
                    <w:bottom w:val="single" w:sz="4" w:space="0" w:color="auto"/>
                  </w:tcBorders>
                  <w:shd w:val="clear" w:color="auto" w:fill="auto"/>
                  <w:vAlign w:val="center"/>
                </w:tcPr>
                <w:p w:rsidR="00225952" w:rsidRPr="00F05E1C" w:rsidRDefault="00225952" w:rsidP="00225952">
                  <w:pPr>
                    <w:spacing w:before="100" w:beforeAutospacing="1" w:after="100" w:afterAutospacing="1" w:line="240" w:lineRule="auto"/>
                  </w:pPr>
                  <w:r w:rsidRPr="00F05E1C">
                    <w:t>SPACES</w:t>
                  </w:r>
                </w:p>
              </w:tc>
              <w:tc>
                <w:tcPr>
                  <w:tcW w:w="2070" w:type="dxa"/>
                  <w:tcBorders>
                    <w:bottom w:val="single" w:sz="4" w:space="0" w:color="auto"/>
                  </w:tcBorders>
                  <w:shd w:val="clear" w:color="auto" w:fill="auto"/>
                  <w:vAlign w:val="center"/>
                </w:tcPr>
                <w:p w:rsidR="00225952" w:rsidRPr="00F05E1C" w:rsidRDefault="00225952" w:rsidP="00225952">
                  <w:pPr>
                    <w:spacing w:before="100" w:beforeAutospacing="1" w:after="100" w:afterAutospacing="1" w:line="240" w:lineRule="auto"/>
                    <w:jc w:val="center"/>
                  </w:pPr>
                  <w:r w:rsidRPr="00F05E1C">
                    <w:t>500</w:t>
                  </w:r>
                </w:p>
              </w:tc>
            </w:tr>
            <w:tr w:rsidR="00225952" w:rsidRPr="00F05E1C" w:rsidTr="00DB6AE5">
              <w:trPr>
                <w:gridAfter w:val="1"/>
                <w:wAfter w:w="499" w:type="dxa"/>
                <w:trHeight w:val="288"/>
              </w:trPr>
              <w:tc>
                <w:tcPr>
                  <w:tcW w:w="2767" w:type="dxa"/>
                  <w:gridSpan w:val="2"/>
                  <w:shd w:val="clear" w:color="auto" w:fill="auto"/>
                  <w:vAlign w:val="center"/>
                </w:tcPr>
                <w:p w:rsidR="00225952" w:rsidRPr="008E5C1F" w:rsidRDefault="00225952" w:rsidP="00225952">
                  <w:pPr>
                    <w:spacing w:before="100" w:beforeAutospacing="1" w:after="100" w:afterAutospacing="1" w:line="240" w:lineRule="auto"/>
                    <w:jc w:val="right"/>
                    <w:rPr>
                      <w:b/>
                      <w:sz w:val="24"/>
                      <w:szCs w:val="24"/>
                    </w:rPr>
                  </w:pPr>
                  <w:r w:rsidRPr="008E5C1F">
                    <w:rPr>
                      <w:b/>
                      <w:sz w:val="24"/>
                      <w:szCs w:val="24"/>
                    </w:rPr>
                    <w:t>RESIDENTIAL</w:t>
                  </w:r>
                </w:p>
              </w:tc>
              <w:tc>
                <w:tcPr>
                  <w:tcW w:w="5513" w:type="dxa"/>
                  <w:gridSpan w:val="2"/>
                  <w:tcBorders>
                    <w:bottom w:val="single" w:sz="4" w:space="0" w:color="auto"/>
                  </w:tcBorders>
                  <w:shd w:val="clear" w:color="auto" w:fill="auto"/>
                  <w:vAlign w:val="center"/>
                </w:tcPr>
                <w:p w:rsidR="00225952" w:rsidRPr="00F05E1C" w:rsidRDefault="00225952" w:rsidP="00225952">
                  <w:pPr>
                    <w:spacing w:before="100" w:beforeAutospacing="1" w:after="100" w:afterAutospacing="1" w:line="240" w:lineRule="auto"/>
                  </w:pPr>
                  <w:r w:rsidRPr="0096682B">
                    <w:rPr>
                      <w:i/>
                      <w:sz w:val="20"/>
                    </w:rPr>
                    <w:t xml:space="preserve">SEE: </w:t>
                  </w:r>
                  <w:hyperlink r:id="rId280" w:history="1">
                    <w:r w:rsidRPr="0096682B">
                      <w:rPr>
                        <w:rStyle w:val="Hyperlink"/>
                        <w:i/>
                        <w:sz w:val="20"/>
                      </w:rPr>
                      <w:t>DCA Residential Thresholds by Population Listing</w:t>
                    </w:r>
                  </w:hyperlink>
                </w:p>
              </w:tc>
              <w:tc>
                <w:tcPr>
                  <w:tcW w:w="2070" w:type="dxa"/>
                  <w:tcBorders>
                    <w:bottom w:val="single" w:sz="4" w:space="0" w:color="auto"/>
                  </w:tcBorders>
                  <w:shd w:val="clear" w:color="auto" w:fill="auto"/>
                  <w:vAlign w:val="center"/>
                </w:tcPr>
                <w:p w:rsidR="00225952" w:rsidRPr="00F05E1C" w:rsidRDefault="00225952" w:rsidP="00225952">
                  <w:pPr>
                    <w:spacing w:before="100" w:beforeAutospacing="1" w:after="100" w:afterAutospacing="1" w:line="240" w:lineRule="auto"/>
                    <w:jc w:val="center"/>
                  </w:pPr>
                </w:p>
              </w:tc>
            </w:tr>
            <w:tr w:rsidR="00225952" w:rsidRPr="00F05E1C" w:rsidTr="00DB6AE5">
              <w:trPr>
                <w:gridAfter w:val="1"/>
                <w:wAfter w:w="499" w:type="dxa"/>
                <w:trHeight w:val="288"/>
              </w:trPr>
              <w:tc>
                <w:tcPr>
                  <w:tcW w:w="2767" w:type="dxa"/>
                  <w:gridSpan w:val="2"/>
                  <w:vMerge w:val="restart"/>
                  <w:shd w:val="clear" w:color="auto" w:fill="auto"/>
                  <w:vAlign w:val="center"/>
                </w:tcPr>
                <w:p w:rsidR="00225952" w:rsidRPr="00F05E1C" w:rsidRDefault="00225952" w:rsidP="00BC5378">
                  <w:pPr>
                    <w:spacing w:before="100" w:beforeAutospacing="1" w:after="100" w:afterAutospacing="1" w:line="240" w:lineRule="auto"/>
                    <w:jc w:val="right"/>
                  </w:pPr>
                  <w:r w:rsidRPr="008E5C1F">
                    <w:rPr>
                      <w:b/>
                      <w:sz w:val="24"/>
                      <w:szCs w:val="24"/>
                    </w:rPr>
                    <w:t>RETAIL/COMMERCIAL</w:t>
                  </w:r>
                </w:p>
              </w:tc>
              <w:tc>
                <w:tcPr>
                  <w:tcW w:w="5513" w:type="dxa"/>
                  <w:gridSpan w:val="2"/>
                  <w:shd w:val="clear" w:color="auto" w:fill="auto"/>
                  <w:vAlign w:val="center"/>
                </w:tcPr>
                <w:p w:rsidR="00225952" w:rsidRPr="00F05E1C" w:rsidRDefault="00225952" w:rsidP="00225952">
                  <w:pPr>
                    <w:spacing w:before="100" w:beforeAutospacing="1" w:after="100" w:afterAutospacing="1" w:line="240" w:lineRule="auto"/>
                  </w:pPr>
                  <w:r w:rsidRPr="00F05E1C">
                    <w:t>GROSS SQUARE FEET</w:t>
                  </w:r>
                </w:p>
              </w:tc>
              <w:tc>
                <w:tcPr>
                  <w:tcW w:w="2070" w:type="dxa"/>
                  <w:shd w:val="clear" w:color="auto" w:fill="auto"/>
                  <w:vAlign w:val="center"/>
                </w:tcPr>
                <w:p w:rsidR="00225952" w:rsidRPr="00F05E1C" w:rsidRDefault="00225952" w:rsidP="00225952">
                  <w:pPr>
                    <w:spacing w:before="100" w:beforeAutospacing="1" w:after="100" w:afterAutospacing="1" w:line="240" w:lineRule="auto"/>
                    <w:jc w:val="center"/>
                  </w:pPr>
                  <w:r w:rsidRPr="00F05E1C">
                    <w:t>400,000</w:t>
                  </w:r>
                </w:p>
              </w:tc>
            </w:tr>
            <w:tr w:rsidR="00225952" w:rsidRPr="00F05E1C" w:rsidTr="00DB6AE5">
              <w:trPr>
                <w:gridAfter w:val="1"/>
                <w:wAfter w:w="499" w:type="dxa"/>
                <w:trHeight w:val="288"/>
              </w:trPr>
              <w:tc>
                <w:tcPr>
                  <w:tcW w:w="2767" w:type="dxa"/>
                  <w:gridSpan w:val="2"/>
                  <w:vMerge/>
                  <w:shd w:val="clear" w:color="auto" w:fill="auto"/>
                  <w:vAlign w:val="center"/>
                </w:tcPr>
                <w:p w:rsidR="00225952" w:rsidRPr="00F05E1C" w:rsidRDefault="00225952" w:rsidP="00225952">
                  <w:pPr>
                    <w:spacing w:before="100" w:beforeAutospacing="1" w:after="100" w:afterAutospacing="1" w:line="240" w:lineRule="auto"/>
                    <w:jc w:val="right"/>
                  </w:pPr>
                </w:p>
              </w:tc>
              <w:tc>
                <w:tcPr>
                  <w:tcW w:w="5513" w:type="dxa"/>
                  <w:gridSpan w:val="2"/>
                  <w:tcBorders>
                    <w:bottom w:val="single" w:sz="4" w:space="0" w:color="auto"/>
                  </w:tcBorders>
                  <w:shd w:val="clear" w:color="auto" w:fill="auto"/>
                  <w:vAlign w:val="center"/>
                </w:tcPr>
                <w:p w:rsidR="00225952" w:rsidRPr="00F05E1C" w:rsidRDefault="00225952" w:rsidP="00225952">
                  <w:pPr>
                    <w:spacing w:before="100" w:beforeAutospacing="1" w:after="100" w:afterAutospacing="1" w:line="240" w:lineRule="auto"/>
                  </w:pPr>
                  <w:r w:rsidRPr="00F05E1C">
                    <w:t>PARKING SPACES</w:t>
                  </w:r>
                </w:p>
              </w:tc>
              <w:tc>
                <w:tcPr>
                  <w:tcW w:w="2070" w:type="dxa"/>
                  <w:tcBorders>
                    <w:bottom w:val="single" w:sz="4" w:space="0" w:color="auto"/>
                  </w:tcBorders>
                  <w:shd w:val="clear" w:color="auto" w:fill="auto"/>
                  <w:vAlign w:val="center"/>
                </w:tcPr>
                <w:p w:rsidR="00225952" w:rsidRPr="00F05E1C" w:rsidRDefault="00225952" w:rsidP="00225952">
                  <w:pPr>
                    <w:spacing w:before="100" w:beforeAutospacing="1" w:after="100" w:afterAutospacing="1" w:line="240" w:lineRule="auto"/>
                    <w:jc w:val="center"/>
                  </w:pPr>
                  <w:r w:rsidRPr="00F05E1C">
                    <w:t>2,500</w:t>
                  </w:r>
                </w:p>
              </w:tc>
            </w:tr>
            <w:tr w:rsidR="00225952" w:rsidRPr="00F05E1C" w:rsidTr="00DB6AE5">
              <w:trPr>
                <w:gridAfter w:val="1"/>
                <w:wAfter w:w="499" w:type="dxa"/>
                <w:trHeight w:val="288"/>
              </w:trPr>
              <w:tc>
                <w:tcPr>
                  <w:tcW w:w="2767" w:type="dxa"/>
                  <w:gridSpan w:val="2"/>
                  <w:vMerge w:val="restart"/>
                  <w:shd w:val="clear" w:color="auto" w:fill="auto"/>
                  <w:vAlign w:val="center"/>
                </w:tcPr>
                <w:p w:rsidR="00225952" w:rsidRPr="00F05E1C" w:rsidRDefault="00225952" w:rsidP="00225952">
                  <w:pPr>
                    <w:spacing w:before="100" w:beforeAutospacing="1" w:after="100" w:afterAutospacing="1" w:line="240" w:lineRule="auto"/>
                    <w:jc w:val="right"/>
                  </w:pPr>
                  <w:r w:rsidRPr="0096682B">
                    <w:rPr>
                      <w:b/>
                      <w:sz w:val="24"/>
                      <w:szCs w:val="24"/>
                    </w:rPr>
                    <w:t>SCHOOLS</w:t>
                  </w:r>
                </w:p>
              </w:tc>
              <w:tc>
                <w:tcPr>
                  <w:tcW w:w="5513" w:type="dxa"/>
                  <w:gridSpan w:val="2"/>
                  <w:shd w:val="clear" w:color="auto" w:fill="auto"/>
                  <w:vAlign w:val="center"/>
                </w:tcPr>
                <w:p w:rsidR="00225952" w:rsidRPr="00F05E1C" w:rsidRDefault="00225952" w:rsidP="00225952">
                  <w:pPr>
                    <w:spacing w:before="100" w:beforeAutospacing="1" w:after="100" w:afterAutospacing="1" w:line="240" w:lineRule="auto"/>
                  </w:pPr>
                  <w:r w:rsidRPr="00F05E1C">
                    <w:rPr>
                      <w:b/>
                    </w:rPr>
                    <w:t>NEW</w:t>
                  </w:r>
                  <w:r w:rsidRPr="00F05E1C">
                    <w:t xml:space="preserve">/NUMBER </w:t>
                  </w:r>
                  <w:r>
                    <w:t xml:space="preserve">OF </w:t>
                  </w:r>
                  <w:r w:rsidRPr="00F05E1C">
                    <w:t>STUDENTS</w:t>
                  </w:r>
                </w:p>
              </w:tc>
              <w:tc>
                <w:tcPr>
                  <w:tcW w:w="2070" w:type="dxa"/>
                  <w:shd w:val="clear" w:color="auto" w:fill="auto"/>
                  <w:vAlign w:val="center"/>
                </w:tcPr>
                <w:p w:rsidR="00225952" w:rsidRPr="00F05E1C" w:rsidRDefault="00225952" w:rsidP="00225952">
                  <w:pPr>
                    <w:spacing w:before="100" w:beforeAutospacing="1" w:after="100" w:afterAutospacing="1" w:line="240" w:lineRule="auto"/>
                    <w:jc w:val="center"/>
                  </w:pPr>
                  <w:r w:rsidRPr="00F05E1C">
                    <w:t>5000</w:t>
                  </w:r>
                  <w:r w:rsidRPr="00F05E1C">
                    <w:rPr>
                      <w:vertAlign w:val="superscript"/>
                    </w:rPr>
                    <w:t>8</w:t>
                  </w:r>
                </w:p>
              </w:tc>
            </w:tr>
            <w:tr w:rsidR="00225952" w:rsidRPr="00F05E1C" w:rsidTr="00DB6AE5">
              <w:trPr>
                <w:gridAfter w:val="1"/>
                <w:wAfter w:w="499" w:type="dxa"/>
                <w:trHeight w:val="288"/>
              </w:trPr>
              <w:tc>
                <w:tcPr>
                  <w:tcW w:w="2767" w:type="dxa"/>
                  <w:gridSpan w:val="2"/>
                  <w:vMerge/>
                  <w:tcBorders>
                    <w:bottom w:val="single" w:sz="6" w:space="0" w:color="808080" w:themeColor="background1" w:themeShade="80"/>
                  </w:tcBorders>
                  <w:shd w:val="clear" w:color="auto" w:fill="auto"/>
                  <w:vAlign w:val="center"/>
                </w:tcPr>
                <w:p w:rsidR="00225952" w:rsidRPr="00F05E1C" w:rsidRDefault="00225952" w:rsidP="00225952">
                  <w:pPr>
                    <w:spacing w:before="100" w:beforeAutospacing="1" w:after="100" w:afterAutospacing="1" w:line="240" w:lineRule="auto"/>
                    <w:jc w:val="center"/>
                  </w:pPr>
                </w:p>
              </w:tc>
              <w:tc>
                <w:tcPr>
                  <w:tcW w:w="5513" w:type="dxa"/>
                  <w:gridSpan w:val="2"/>
                  <w:tcBorders>
                    <w:bottom w:val="single" w:sz="6" w:space="0" w:color="808080" w:themeColor="background1" w:themeShade="80"/>
                  </w:tcBorders>
                  <w:shd w:val="clear" w:color="auto" w:fill="auto"/>
                  <w:vAlign w:val="center"/>
                </w:tcPr>
                <w:p w:rsidR="00225952" w:rsidRPr="00F05E1C" w:rsidRDefault="00225952" w:rsidP="00225952">
                  <w:pPr>
                    <w:spacing w:before="100" w:beforeAutospacing="1" w:after="100" w:afterAutospacing="1" w:line="240" w:lineRule="auto"/>
                  </w:pPr>
                  <w:r w:rsidRPr="00F05E1C">
                    <w:rPr>
                      <w:b/>
                    </w:rPr>
                    <w:t>EXISTING/</w:t>
                  </w:r>
                  <w:r w:rsidRPr="00F05E1C">
                    <w:t>EXPANSION OF POPULATION (%)</w:t>
                  </w:r>
                </w:p>
              </w:tc>
              <w:tc>
                <w:tcPr>
                  <w:tcW w:w="2070" w:type="dxa"/>
                  <w:tcBorders>
                    <w:bottom w:val="single" w:sz="6" w:space="0" w:color="808080" w:themeColor="background1" w:themeShade="80"/>
                  </w:tcBorders>
                  <w:shd w:val="clear" w:color="auto" w:fill="auto"/>
                  <w:vAlign w:val="center"/>
                </w:tcPr>
                <w:p w:rsidR="00225952" w:rsidRPr="00F05E1C" w:rsidRDefault="00225952" w:rsidP="00225952">
                  <w:pPr>
                    <w:spacing w:before="100" w:beforeAutospacing="1" w:after="100" w:afterAutospacing="1" w:line="240" w:lineRule="auto"/>
                    <w:jc w:val="center"/>
                  </w:pPr>
                  <w:r w:rsidRPr="00F05E1C">
                    <w:t>20</w:t>
                  </w:r>
                  <w:r w:rsidRPr="00F05E1C">
                    <w:rPr>
                      <w:vertAlign w:val="superscript"/>
                    </w:rPr>
                    <w:t>8</w:t>
                  </w:r>
                </w:p>
              </w:tc>
            </w:tr>
            <w:tr w:rsidR="00225952" w:rsidRPr="00F05E1C" w:rsidTr="00DB6AE5">
              <w:trPr>
                <w:gridAfter w:val="1"/>
                <w:wAfter w:w="499" w:type="dxa"/>
                <w:trHeight w:val="288"/>
              </w:trPr>
              <w:tc>
                <w:tcPr>
                  <w:tcW w:w="8280" w:type="dxa"/>
                  <w:gridSpan w:val="4"/>
                  <w:tcBorders>
                    <w:top w:val="single" w:sz="6" w:space="0" w:color="808080" w:themeColor="background1" w:themeShade="80"/>
                    <w:left w:val="nil"/>
                    <w:bottom w:val="nil"/>
                    <w:right w:val="nil"/>
                  </w:tcBorders>
                  <w:shd w:val="clear" w:color="auto" w:fill="auto"/>
                  <w:vAlign w:val="center"/>
                </w:tcPr>
                <w:p w:rsidR="00225952" w:rsidRPr="00F05E1C" w:rsidRDefault="00225952" w:rsidP="00225952">
                  <w:pPr>
                    <w:spacing w:before="100" w:beforeAutospacing="1" w:after="100" w:afterAutospacing="1" w:line="240" w:lineRule="auto"/>
                    <w:rPr>
                      <w:b/>
                    </w:rPr>
                  </w:pPr>
                  <w:r w:rsidRPr="001B1F54">
                    <w:rPr>
                      <w:bCs/>
                      <w:color w:val="008080"/>
                    </w:rPr>
                    <w:t>Chart adapted from Tampa Bay Regional Planning Council</w:t>
                  </w:r>
                </w:p>
              </w:tc>
              <w:tc>
                <w:tcPr>
                  <w:tcW w:w="2070" w:type="dxa"/>
                  <w:tcBorders>
                    <w:top w:val="single" w:sz="6" w:space="0" w:color="808080" w:themeColor="background1" w:themeShade="80"/>
                    <w:left w:val="nil"/>
                    <w:bottom w:val="nil"/>
                    <w:right w:val="nil"/>
                  </w:tcBorders>
                  <w:shd w:val="clear" w:color="auto" w:fill="auto"/>
                  <w:vAlign w:val="center"/>
                </w:tcPr>
                <w:p w:rsidR="00225952" w:rsidRPr="00F05E1C" w:rsidRDefault="00225952" w:rsidP="00225952">
                  <w:pPr>
                    <w:spacing w:before="100" w:beforeAutospacing="1" w:after="100" w:afterAutospacing="1" w:line="240" w:lineRule="auto"/>
                    <w:jc w:val="center"/>
                  </w:pPr>
                </w:p>
              </w:tc>
            </w:tr>
            <w:tr w:rsidR="00225952" w:rsidRPr="00F05E1C" w:rsidTr="00DB6AE5">
              <w:trPr>
                <w:gridAfter w:val="1"/>
                <w:wAfter w:w="499" w:type="dxa"/>
                <w:trHeight w:val="288"/>
              </w:trPr>
              <w:tc>
                <w:tcPr>
                  <w:tcW w:w="10350" w:type="dxa"/>
                  <w:gridSpan w:val="5"/>
                  <w:tcBorders>
                    <w:top w:val="nil"/>
                    <w:left w:val="nil"/>
                    <w:bottom w:val="nil"/>
                    <w:right w:val="nil"/>
                  </w:tcBorders>
                  <w:shd w:val="clear" w:color="auto" w:fill="auto"/>
                  <w:vAlign w:val="center"/>
                </w:tcPr>
                <w:p w:rsidR="00225952" w:rsidRPr="00893ED1" w:rsidRDefault="00225952" w:rsidP="00225952">
                  <w:pPr>
                    <w:tabs>
                      <w:tab w:val="left" w:pos="252"/>
                    </w:tabs>
                    <w:spacing w:after="0" w:line="240" w:lineRule="auto"/>
                    <w:rPr>
                      <w:sz w:val="18"/>
                      <w:szCs w:val="18"/>
                    </w:rPr>
                  </w:pPr>
                  <w:r w:rsidRPr="00893ED1">
                    <w:rPr>
                      <w:sz w:val="18"/>
                      <w:szCs w:val="18"/>
                    </w:rPr>
                    <w:t xml:space="preserve">1 – </w:t>
                  </w:r>
                  <w:r>
                    <w:rPr>
                      <w:sz w:val="18"/>
                      <w:szCs w:val="18"/>
                    </w:rPr>
                    <w:t xml:space="preserve"> </w:t>
                  </w:r>
                  <w:r w:rsidRPr="00893ED1">
                    <w:rPr>
                      <w:sz w:val="18"/>
                      <w:szCs w:val="18"/>
                    </w:rPr>
                    <w:t xml:space="preserve">Exclusions are granted for: “existing terminal facilities at a nonhub or small hub commercial service airport” (Section 28-24.035(2)(a), </w:t>
                  </w:r>
                  <w:r>
                    <w:rPr>
                      <w:sz w:val="18"/>
                      <w:szCs w:val="18"/>
                    </w:rPr>
                    <w:tab/>
                  </w:r>
                  <w:r w:rsidRPr="00893ED1">
                    <w:rPr>
                      <w:sz w:val="18"/>
                      <w:szCs w:val="18"/>
                    </w:rPr>
                    <w:t xml:space="preserve">F.A,C.); and “project which is proposed for safety, repair or maintenance reasons alone and would not have the potential to increase or </w:t>
                  </w:r>
                  <w:r>
                    <w:rPr>
                      <w:sz w:val="18"/>
                      <w:szCs w:val="18"/>
                    </w:rPr>
                    <w:tab/>
                  </w:r>
                  <w:r w:rsidRPr="00893ED1">
                    <w:rPr>
                      <w:sz w:val="18"/>
                      <w:szCs w:val="18"/>
                    </w:rPr>
                    <w:t xml:space="preserve">change existing types of aircraft activity.” (Section 28-24.035(3), F.A.C.). Expansion would include strengthening of the airport runways </w:t>
                  </w:r>
                  <w:r>
                    <w:rPr>
                      <w:sz w:val="18"/>
                      <w:szCs w:val="18"/>
                    </w:rPr>
                    <w:tab/>
                  </w:r>
                  <w:r w:rsidRPr="00893ED1">
                    <w:rPr>
                      <w:sz w:val="18"/>
                      <w:szCs w:val="18"/>
                    </w:rPr>
                    <w:t>to accommodate larger or more frequent aircraft (Section 28-24.035(2)(b), F.A.C.).</w:t>
                  </w:r>
                </w:p>
                <w:p w:rsidR="00225952" w:rsidRPr="00893ED1" w:rsidRDefault="00225952" w:rsidP="00225952">
                  <w:pPr>
                    <w:tabs>
                      <w:tab w:val="left" w:pos="252"/>
                    </w:tabs>
                    <w:spacing w:after="0" w:line="240" w:lineRule="auto"/>
                    <w:rPr>
                      <w:sz w:val="18"/>
                      <w:szCs w:val="18"/>
                    </w:rPr>
                  </w:pPr>
                  <w:r w:rsidRPr="00893ED1">
                    <w:rPr>
                      <w:sz w:val="18"/>
                      <w:szCs w:val="18"/>
                    </w:rPr>
                    <w:t>2 -</w:t>
                  </w:r>
                  <w:r>
                    <w:rPr>
                      <w:sz w:val="18"/>
                      <w:szCs w:val="18"/>
                    </w:rPr>
                    <w:tab/>
                  </w:r>
                  <w:r w:rsidRPr="00893ED1">
                    <w:rPr>
                      <w:sz w:val="18"/>
                      <w:szCs w:val="18"/>
                    </w:rPr>
                    <w:t xml:space="preserve">The 100 percent Hotel/Motel threshold increases to 750 rooms if project is located in a County with population greater than 500,000 </w:t>
                  </w:r>
                  <w:r>
                    <w:rPr>
                      <w:sz w:val="18"/>
                      <w:szCs w:val="18"/>
                    </w:rPr>
                    <w:tab/>
                  </w:r>
                  <w:r w:rsidRPr="00893ED1">
                    <w:rPr>
                      <w:sz w:val="18"/>
                      <w:szCs w:val="18"/>
                      <w:u w:val="single"/>
                    </w:rPr>
                    <w:t>and</w:t>
                  </w:r>
                  <w:r w:rsidRPr="00893ED1">
                    <w:rPr>
                      <w:sz w:val="18"/>
                      <w:szCs w:val="18"/>
                    </w:rPr>
                    <w:t xml:space="preserve"> in a “</w:t>
                  </w:r>
                  <w:smartTag w:uri="urn:schemas-microsoft-com:office:smarttags" w:element="place">
                    <w:smartTag w:uri="urn:schemas-microsoft-com:office:smarttags" w:element="PlaceName">
                      <w:r w:rsidRPr="00893ED1">
                        <w:rPr>
                          <w:sz w:val="18"/>
                          <w:szCs w:val="18"/>
                        </w:rPr>
                        <w:t>Regional</w:t>
                      </w:r>
                    </w:smartTag>
                    <w:r w:rsidRPr="00893ED1">
                      <w:rPr>
                        <w:sz w:val="18"/>
                        <w:szCs w:val="18"/>
                      </w:rPr>
                      <w:t xml:space="preserve"> </w:t>
                    </w:r>
                    <w:smartTag w:uri="urn:schemas-microsoft-com:office:smarttags" w:element="PlaceName">
                      <w:r w:rsidRPr="00893ED1">
                        <w:rPr>
                          <w:sz w:val="18"/>
                          <w:szCs w:val="18"/>
                        </w:rPr>
                        <w:t>Activity</w:t>
                      </w:r>
                    </w:smartTag>
                    <w:r w:rsidRPr="00893ED1">
                      <w:rPr>
                        <w:sz w:val="18"/>
                        <w:szCs w:val="18"/>
                      </w:rPr>
                      <w:t xml:space="preserve"> </w:t>
                    </w:r>
                    <w:smartTag w:uri="urn:schemas-microsoft-com:office:smarttags" w:element="PlaceType">
                      <w:r w:rsidRPr="00893ED1">
                        <w:rPr>
                          <w:sz w:val="18"/>
                          <w:szCs w:val="18"/>
                        </w:rPr>
                        <w:t>Center</w:t>
                      </w:r>
                    </w:smartTag>
                  </w:smartTag>
                  <w:r w:rsidRPr="00893ED1">
                    <w:rPr>
                      <w:sz w:val="18"/>
                      <w:szCs w:val="18"/>
                    </w:rPr>
                    <w:t>”, as defined in the Local Government Comprehensive Plan and Strategic Regional Policy Plan.</w:t>
                  </w:r>
                </w:p>
                <w:p w:rsidR="00225952" w:rsidRPr="00893ED1" w:rsidRDefault="00225952" w:rsidP="00225952">
                  <w:pPr>
                    <w:tabs>
                      <w:tab w:val="left" w:pos="252"/>
                    </w:tabs>
                    <w:spacing w:after="0" w:line="240" w:lineRule="auto"/>
                    <w:rPr>
                      <w:sz w:val="18"/>
                      <w:szCs w:val="18"/>
                    </w:rPr>
                  </w:pPr>
                  <w:r w:rsidRPr="00893ED1">
                    <w:rPr>
                      <w:sz w:val="18"/>
                      <w:szCs w:val="18"/>
                    </w:rPr>
                    <w:t>3 -</w:t>
                  </w:r>
                  <w:r>
                    <w:rPr>
                      <w:sz w:val="18"/>
                      <w:szCs w:val="18"/>
                    </w:rPr>
                    <w:t xml:space="preserve"> </w:t>
                  </w:r>
                  <w:r>
                    <w:rPr>
                      <w:sz w:val="18"/>
                      <w:szCs w:val="18"/>
                    </w:rPr>
                    <w:tab/>
                  </w:r>
                  <w:r w:rsidRPr="00893ED1">
                    <w:rPr>
                      <w:sz w:val="18"/>
                      <w:szCs w:val="18"/>
                    </w:rPr>
                    <w:t>One of the uses must be residential with a minimum of 100 units or 15 percent of the applicable residential threshold</w:t>
                  </w:r>
                  <w:r>
                    <w:rPr>
                      <w:sz w:val="18"/>
                      <w:szCs w:val="18"/>
                    </w:rPr>
                    <w:t>,</w:t>
                  </w:r>
                  <w:r w:rsidRPr="00893ED1">
                    <w:rPr>
                      <w:sz w:val="18"/>
                      <w:szCs w:val="18"/>
                    </w:rPr>
                    <w:t xml:space="preserve"> whichever is </w:t>
                  </w:r>
                  <w:r>
                    <w:rPr>
                      <w:sz w:val="18"/>
                      <w:szCs w:val="18"/>
                    </w:rPr>
                    <w:tab/>
                  </w:r>
                  <w:r w:rsidRPr="00893ED1">
                    <w:rPr>
                      <w:sz w:val="18"/>
                      <w:szCs w:val="18"/>
                    </w:rPr>
                    <w:t>greater.</w:t>
                  </w:r>
                </w:p>
                <w:p w:rsidR="00225952" w:rsidRPr="00893ED1" w:rsidRDefault="00225952" w:rsidP="00225952">
                  <w:pPr>
                    <w:tabs>
                      <w:tab w:val="left" w:pos="252"/>
                    </w:tabs>
                    <w:spacing w:after="0" w:line="240" w:lineRule="auto"/>
                    <w:rPr>
                      <w:sz w:val="18"/>
                      <w:szCs w:val="18"/>
                    </w:rPr>
                  </w:pPr>
                  <w:r w:rsidRPr="00893ED1">
                    <w:rPr>
                      <w:sz w:val="18"/>
                      <w:szCs w:val="18"/>
                    </w:rPr>
                    <w:t>4 -</w:t>
                  </w:r>
                  <w:r>
                    <w:rPr>
                      <w:sz w:val="18"/>
                      <w:szCs w:val="18"/>
                    </w:rPr>
                    <w:tab/>
                  </w:r>
                  <w:r w:rsidRPr="00893ED1">
                    <w:rPr>
                      <w:sz w:val="18"/>
                      <w:szCs w:val="18"/>
                    </w:rPr>
                    <w:t xml:space="preserve">The 100 percent Office threshold increases to 600,000 gross square feet if project is located in a County with population greater than </w:t>
                  </w:r>
                  <w:r>
                    <w:rPr>
                      <w:sz w:val="18"/>
                      <w:szCs w:val="18"/>
                    </w:rPr>
                    <w:tab/>
                  </w:r>
                  <w:r w:rsidRPr="000B3152">
                    <w:rPr>
                      <w:spacing w:val="-2"/>
                      <w:sz w:val="18"/>
                      <w:szCs w:val="18"/>
                    </w:rPr>
                    <w:t xml:space="preserve">500,000 </w:t>
                  </w:r>
                  <w:r w:rsidRPr="000B3152">
                    <w:rPr>
                      <w:spacing w:val="-2"/>
                      <w:sz w:val="18"/>
                      <w:szCs w:val="18"/>
                      <w:u w:val="single"/>
                    </w:rPr>
                    <w:t>and</w:t>
                  </w:r>
                  <w:r w:rsidRPr="000B3152">
                    <w:rPr>
                      <w:spacing w:val="-2"/>
                      <w:sz w:val="18"/>
                      <w:szCs w:val="18"/>
                    </w:rPr>
                    <w:t xml:space="preserve"> in a “Regional Activity Center,” as defined in the Local Government Comprehensive Plan and Strategic Regional Policy Plan.</w:t>
                  </w:r>
                  <w:r w:rsidRPr="00893ED1">
                    <w:rPr>
                      <w:sz w:val="18"/>
                      <w:szCs w:val="18"/>
                    </w:rPr>
                    <w:t xml:space="preserve"> </w:t>
                  </w:r>
                </w:p>
                <w:p w:rsidR="00225952" w:rsidRPr="00893ED1" w:rsidRDefault="00225952" w:rsidP="00225952">
                  <w:pPr>
                    <w:tabs>
                      <w:tab w:val="left" w:pos="252"/>
                    </w:tabs>
                    <w:spacing w:after="0" w:line="240" w:lineRule="auto"/>
                    <w:rPr>
                      <w:b/>
                      <w:sz w:val="18"/>
                      <w:szCs w:val="18"/>
                    </w:rPr>
                  </w:pPr>
                  <w:r w:rsidRPr="00893ED1">
                    <w:rPr>
                      <w:sz w:val="18"/>
                      <w:szCs w:val="18"/>
                    </w:rPr>
                    <w:t>5 -</w:t>
                  </w:r>
                  <w:r>
                    <w:rPr>
                      <w:sz w:val="18"/>
                      <w:szCs w:val="18"/>
                    </w:rPr>
                    <w:t xml:space="preserve"> </w:t>
                  </w:r>
                  <w:r>
                    <w:rPr>
                      <w:sz w:val="18"/>
                      <w:szCs w:val="18"/>
                    </w:rPr>
                    <w:tab/>
                  </w:r>
                  <w:r w:rsidRPr="00893ED1">
                    <w:rPr>
                      <w:sz w:val="18"/>
                      <w:szCs w:val="18"/>
                    </w:rPr>
                    <w:t>For the purpose</w:t>
                  </w:r>
                  <w:r>
                    <w:rPr>
                      <w:sz w:val="18"/>
                      <w:szCs w:val="18"/>
                    </w:rPr>
                    <w:t xml:space="preserve"> </w:t>
                  </w:r>
                  <w:r w:rsidRPr="00893ED1">
                    <w:rPr>
                      <w:sz w:val="18"/>
                      <w:szCs w:val="18"/>
                    </w:rPr>
                    <w:t xml:space="preserve">of Petroleum storage thresholds: 1 Barrel = 42 </w:t>
                  </w:r>
                  <w:smartTag w:uri="urn:schemas-microsoft-com:office:smarttags" w:element="country-region">
                    <w:smartTag w:uri="urn:schemas-microsoft-com:office:smarttags" w:element="place">
                      <w:r w:rsidRPr="00893ED1">
                        <w:rPr>
                          <w:sz w:val="18"/>
                          <w:szCs w:val="18"/>
                        </w:rPr>
                        <w:t>U.S.</w:t>
                      </w:r>
                    </w:smartTag>
                  </w:smartTag>
                  <w:r w:rsidRPr="00893ED1">
                    <w:rPr>
                      <w:sz w:val="18"/>
                      <w:szCs w:val="18"/>
                    </w:rPr>
                    <w:t xml:space="preserve"> Gallons. </w:t>
                  </w:r>
                  <w:r w:rsidRPr="00893ED1">
                    <w:rPr>
                      <w:b/>
                      <w:sz w:val="18"/>
                      <w:szCs w:val="18"/>
                    </w:rPr>
                    <w:t xml:space="preserve">Petroleum storage facilities are exempt if they are </w:t>
                  </w:r>
                  <w:r>
                    <w:rPr>
                      <w:b/>
                      <w:sz w:val="18"/>
                      <w:szCs w:val="18"/>
                    </w:rPr>
                    <w:tab/>
                  </w:r>
                  <w:r w:rsidRPr="00893ED1">
                    <w:rPr>
                      <w:b/>
                      <w:sz w:val="18"/>
                      <w:szCs w:val="18"/>
                    </w:rPr>
                    <w:t>consistent with the comprehensive plan or included in an approved part master plan</w:t>
                  </w:r>
                </w:p>
                <w:p w:rsidR="00225952" w:rsidRPr="00893ED1" w:rsidRDefault="00225952" w:rsidP="00225952">
                  <w:pPr>
                    <w:tabs>
                      <w:tab w:val="left" w:pos="252"/>
                    </w:tabs>
                    <w:spacing w:after="0" w:line="240" w:lineRule="auto"/>
                    <w:rPr>
                      <w:b/>
                      <w:sz w:val="18"/>
                      <w:szCs w:val="18"/>
                    </w:rPr>
                  </w:pPr>
                  <w:r w:rsidRPr="00893ED1">
                    <w:rPr>
                      <w:sz w:val="18"/>
                      <w:szCs w:val="18"/>
                    </w:rPr>
                    <w:t>6 -</w:t>
                  </w:r>
                  <w:r>
                    <w:rPr>
                      <w:sz w:val="18"/>
                      <w:szCs w:val="18"/>
                    </w:rPr>
                    <w:t xml:space="preserve"> </w:t>
                  </w:r>
                  <w:r>
                    <w:rPr>
                      <w:sz w:val="18"/>
                      <w:szCs w:val="18"/>
                    </w:rPr>
                    <w:tab/>
                  </w:r>
                  <w:r w:rsidRPr="00893ED1">
                    <w:rPr>
                      <w:sz w:val="18"/>
                      <w:szCs w:val="18"/>
                    </w:rPr>
                    <w:t xml:space="preserve">Several other thresholds apply dependent on extent of approvals obtained; project location; size of the vessels; and date facility was </w:t>
                  </w:r>
                  <w:r>
                    <w:rPr>
                      <w:sz w:val="18"/>
                      <w:szCs w:val="18"/>
                    </w:rPr>
                    <w:tab/>
                  </w:r>
                  <w:r w:rsidRPr="00893ED1">
                    <w:rPr>
                      <w:sz w:val="18"/>
                      <w:szCs w:val="18"/>
                    </w:rPr>
                    <w:t>constructed and operational. PLEASE REFER TO SECTION 28-24.022, F.A.C.</w:t>
                  </w:r>
                  <w:r>
                    <w:rPr>
                      <w:sz w:val="18"/>
                      <w:szCs w:val="18"/>
                    </w:rPr>
                    <w:t>,</w:t>
                  </w:r>
                  <w:r w:rsidRPr="00893ED1">
                    <w:rPr>
                      <w:sz w:val="18"/>
                      <w:szCs w:val="18"/>
                    </w:rPr>
                    <w:t xml:space="preserve"> </w:t>
                  </w:r>
                  <w:r>
                    <w:rPr>
                      <w:sz w:val="18"/>
                      <w:szCs w:val="18"/>
                    </w:rPr>
                    <w:t>F</w:t>
                  </w:r>
                  <w:r w:rsidRPr="00893ED1">
                    <w:rPr>
                      <w:sz w:val="18"/>
                      <w:szCs w:val="18"/>
                    </w:rPr>
                    <w:t xml:space="preserve">OR EXACT SPECIFICATIONS. </w:t>
                  </w:r>
                  <w:smartTag w:uri="urn:schemas-microsoft-com:office:smarttags" w:element="City">
                    <w:smartTag w:uri="urn:schemas-microsoft-com:office:smarttags" w:element="place">
                      <w:r w:rsidRPr="00893ED1">
                        <w:rPr>
                          <w:b/>
                          <w:sz w:val="18"/>
                          <w:szCs w:val="18"/>
                        </w:rPr>
                        <w:t>Marinas</w:t>
                      </w:r>
                    </w:smartTag>
                  </w:smartTag>
                  <w:r w:rsidRPr="00893ED1">
                    <w:rPr>
                      <w:b/>
                      <w:sz w:val="18"/>
                      <w:szCs w:val="18"/>
                    </w:rPr>
                    <w:t xml:space="preserve"> are exempt if located </w:t>
                  </w:r>
                  <w:r>
                    <w:rPr>
                      <w:b/>
                      <w:sz w:val="18"/>
                      <w:szCs w:val="18"/>
                    </w:rPr>
                    <w:lastRenderedPageBreak/>
                    <w:tab/>
                  </w:r>
                  <w:r w:rsidRPr="00893ED1">
                    <w:rPr>
                      <w:b/>
                      <w:sz w:val="18"/>
                      <w:szCs w:val="18"/>
                    </w:rPr>
                    <w:t xml:space="preserve">within local government jurisdictions that have adopted a boating facility siting plan. </w:t>
                  </w:r>
                </w:p>
                <w:p w:rsidR="00225952" w:rsidRDefault="00225952" w:rsidP="00225952">
                  <w:pPr>
                    <w:tabs>
                      <w:tab w:val="left" w:pos="252"/>
                    </w:tabs>
                    <w:spacing w:after="0" w:line="240" w:lineRule="auto"/>
                    <w:rPr>
                      <w:sz w:val="18"/>
                      <w:szCs w:val="18"/>
                    </w:rPr>
                  </w:pPr>
                  <w:r w:rsidRPr="00893ED1">
                    <w:rPr>
                      <w:sz w:val="18"/>
                      <w:szCs w:val="18"/>
                    </w:rPr>
                    <w:t>7 -</w:t>
                  </w:r>
                  <w:r w:rsidRPr="00893ED1">
                    <w:rPr>
                      <w:sz w:val="18"/>
                      <w:szCs w:val="18"/>
                    </w:rPr>
                    <w:tab/>
                    <w:t>If</w:t>
                  </w:r>
                  <w:r>
                    <w:rPr>
                      <w:sz w:val="18"/>
                      <w:szCs w:val="18"/>
                    </w:rPr>
                    <w:t xml:space="preserve"> </w:t>
                  </w:r>
                  <w:r w:rsidRPr="00893ED1">
                    <w:rPr>
                      <w:sz w:val="18"/>
                      <w:szCs w:val="18"/>
                    </w:rPr>
                    <w:t xml:space="preserve">25 percent of development is located within 2 miles of a less populated county, the residential threshold for that less populated </w:t>
                  </w:r>
                  <w:r>
                    <w:rPr>
                      <w:sz w:val="18"/>
                      <w:szCs w:val="18"/>
                    </w:rPr>
                    <w:tab/>
                  </w:r>
                  <w:r w:rsidRPr="00893ED1">
                    <w:rPr>
                      <w:sz w:val="18"/>
                      <w:szCs w:val="18"/>
                    </w:rPr>
                    <w:t>county shall be utilized.</w:t>
                  </w:r>
                </w:p>
                <w:p w:rsidR="00225952" w:rsidRDefault="00225952">
                  <w:pPr>
                    <w:tabs>
                      <w:tab w:val="left" w:pos="252"/>
                    </w:tabs>
                    <w:spacing w:after="0" w:line="240" w:lineRule="auto"/>
                  </w:pPr>
                  <w:r w:rsidRPr="00893ED1">
                    <w:rPr>
                      <w:sz w:val="18"/>
                      <w:szCs w:val="18"/>
                    </w:rPr>
                    <w:t xml:space="preserve">8 - </w:t>
                  </w:r>
                  <w:r>
                    <w:rPr>
                      <w:sz w:val="18"/>
                      <w:szCs w:val="18"/>
                    </w:rPr>
                    <w:tab/>
                  </w:r>
                  <w:r w:rsidRPr="00893ED1">
                    <w:rPr>
                      <w:sz w:val="18"/>
                      <w:szCs w:val="18"/>
                    </w:rPr>
                    <w:t>DRI thresholds do not apply to educational institutions which are the subject of a “campus master</w:t>
                  </w:r>
                  <w:r>
                    <w:rPr>
                      <w:sz w:val="18"/>
                      <w:szCs w:val="18"/>
                    </w:rPr>
                    <w:t xml:space="preserve"> plan adopted by the university </w:t>
                  </w:r>
                  <w:r>
                    <w:rPr>
                      <w:sz w:val="18"/>
                      <w:szCs w:val="18"/>
                    </w:rPr>
                    <w:tab/>
                  </w:r>
                  <w:r w:rsidRPr="00893ED1">
                    <w:rPr>
                      <w:sz w:val="18"/>
                      <w:szCs w:val="18"/>
                    </w:rPr>
                    <w:t xml:space="preserve">board of trustees pursuant to s. </w:t>
                  </w:r>
                  <w:hyperlink r:id="rId281" w:history="1">
                    <w:r w:rsidRPr="00893ED1">
                      <w:rPr>
                        <w:rStyle w:val="Hyperlink"/>
                        <w:sz w:val="18"/>
                        <w:szCs w:val="18"/>
                      </w:rPr>
                      <w:t>1013.30.</w:t>
                    </w:r>
                  </w:hyperlink>
                  <w:r w:rsidRPr="00893ED1">
                    <w:rPr>
                      <w:sz w:val="18"/>
                      <w:szCs w:val="18"/>
                    </w:rPr>
                    <w:t xml:space="preserve">” </w:t>
                  </w:r>
                </w:p>
              </w:tc>
            </w:tr>
            <w:tr w:rsidR="00225952" w:rsidRPr="00F05E1C" w:rsidTr="00DB6AE5">
              <w:trPr>
                <w:gridBefore w:val="1"/>
                <w:wBefore w:w="499" w:type="dxa"/>
                <w:trHeight w:val="288"/>
              </w:trPr>
              <w:tc>
                <w:tcPr>
                  <w:tcW w:w="10350" w:type="dxa"/>
                  <w:gridSpan w:val="5"/>
                  <w:tcBorders>
                    <w:top w:val="nil"/>
                    <w:left w:val="nil"/>
                    <w:bottom w:val="nil"/>
                    <w:right w:val="nil"/>
                  </w:tcBorders>
                  <w:shd w:val="clear" w:color="auto" w:fill="auto"/>
                  <w:vAlign w:val="center"/>
                </w:tcPr>
                <w:p w:rsidR="00225952" w:rsidRDefault="00225952">
                  <w:pPr>
                    <w:tabs>
                      <w:tab w:val="left" w:pos="360"/>
                      <w:tab w:val="left" w:pos="2749"/>
                    </w:tabs>
                    <w:spacing w:after="0" w:line="240" w:lineRule="auto"/>
                    <w:rPr>
                      <w:i/>
                      <w:sz w:val="18"/>
                      <w:szCs w:val="18"/>
                    </w:rPr>
                  </w:pPr>
                  <w:r w:rsidRPr="000B3152">
                    <w:rPr>
                      <w:b/>
                      <w:sz w:val="18"/>
                      <w:szCs w:val="18"/>
                    </w:rPr>
                    <w:lastRenderedPageBreak/>
                    <w:t>AIRPORTS</w:t>
                  </w:r>
                  <w:r>
                    <w:rPr>
                      <w:sz w:val="18"/>
                      <w:szCs w:val="18"/>
                    </w:rPr>
                    <w:tab/>
                  </w:r>
                  <w:r w:rsidRPr="000B3152">
                    <w:rPr>
                      <w:i/>
                      <w:sz w:val="18"/>
                      <w:szCs w:val="18"/>
                    </w:rPr>
                    <w:t>[SOURCE: Sections 380.0651(3)(a), F.S. &amp; 28-24.035, F.A.C.]</w:t>
                  </w:r>
                </w:p>
              </w:tc>
            </w:tr>
            <w:tr w:rsidR="00225952" w:rsidRPr="00F05E1C" w:rsidTr="00DB6AE5">
              <w:trPr>
                <w:gridBefore w:val="1"/>
                <w:wBefore w:w="499" w:type="dxa"/>
                <w:trHeight w:val="288"/>
              </w:trPr>
              <w:tc>
                <w:tcPr>
                  <w:tcW w:w="10350" w:type="dxa"/>
                  <w:gridSpan w:val="5"/>
                  <w:tcBorders>
                    <w:top w:val="nil"/>
                    <w:left w:val="nil"/>
                    <w:bottom w:val="nil"/>
                    <w:right w:val="nil"/>
                  </w:tcBorders>
                  <w:shd w:val="clear" w:color="auto" w:fill="auto"/>
                </w:tcPr>
                <w:p w:rsidR="00225952" w:rsidRDefault="00225952">
                  <w:pPr>
                    <w:tabs>
                      <w:tab w:val="left" w:pos="360"/>
                      <w:tab w:val="left" w:pos="2749"/>
                    </w:tabs>
                    <w:spacing w:after="0" w:line="240" w:lineRule="auto"/>
                    <w:rPr>
                      <w:b/>
                      <w:sz w:val="18"/>
                      <w:szCs w:val="18"/>
                    </w:rPr>
                  </w:pPr>
                  <w:r w:rsidRPr="000B3152">
                    <w:rPr>
                      <w:b/>
                      <w:sz w:val="18"/>
                      <w:szCs w:val="18"/>
                    </w:rPr>
                    <w:t>ATTRACTION/REC. FACS.</w:t>
                  </w:r>
                  <w:r w:rsidRPr="000B3152">
                    <w:rPr>
                      <w:sz w:val="18"/>
                      <w:szCs w:val="18"/>
                    </w:rPr>
                    <w:tab/>
                  </w:r>
                  <w:r w:rsidRPr="000B3152">
                    <w:rPr>
                      <w:i/>
                      <w:sz w:val="18"/>
                      <w:szCs w:val="18"/>
                    </w:rPr>
                    <w:t>[SOURCE: Sections 380.0651(3)(b), F.S. &amp; 28-24.016, F.A.C]</w:t>
                  </w:r>
                </w:p>
              </w:tc>
            </w:tr>
            <w:tr w:rsidR="00225952" w:rsidRPr="00F05E1C" w:rsidTr="00DB6AE5">
              <w:trPr>
                <w:gridBefore w:val="1"/>
                <w:wBefore w:w="499" w:type="dxa"/>
                <w:trHeight w:val="288"/>
              </w:trPr>
              <w:tc>
                <w:tcPr>
                  <w:tcW w:w="10350" w:type="dxa"/>
                  <w:gridSpan w:val="5"/>
                  <w:tcBorders>
                    <w:top w:val="nil"/>
                    <w:left w:val="nil"/>
                    <w:bottom w:val="nil"/>
                    <w:right w:val="nil"/>
                  </w:tcBorders>
                  <w:shd w:val="clear" w:color="auto" w:fill="auto"/>
                  <w:vAlign w:val="center"/>
                </w:tcPr>
                <w:p w:rsidR="00225952" w:rsidRDefault="00225952">
                  <w:pPr>
                    <w:tabs>
                      <w:tab w:val="left" w:pos="360"/>
                      <w:tab w:val="left" w:pos="2749"/>
                    </w:tabs>
                    <w:spacing w:after="0" w:line="240" w:lineRule="auto"/>
                    <w:rPr>
                      <w:b/>
                      <w:sz w:val="18"/>
                      <w:szCs w:val="18"/>
                    </w:rPr>
                  </w:pPr>
                  <w:r w:rsidRPr="000B3152">
                    <w:rPr>
                      <w:b/>
                      <w:sz w:val="18"/>
                      <w:szCs w:val="18"/>
                    </w:rPr>
                    <w:t>HOSPITAL</w:t>
                  </w:r>
                  <w:r w:rsidRPr="000B3152">
                    <w:rPr>
                      <w:sz w:val="18"/>
                      <w:szCs w:val="18"/>
                    </w:rPr>
                    <w:tab/>
                  </w:r>
                  <w:r w:rsidRPr="000B3152">
                    <w:rPr>
                      <w:i/>
                      <w:sz w:val="18"/>
                      <w:szCs w:val="18"/>
                    </w:rPr>
                    <w:t>[SOURCE: Sections 380.0651(3)(g) &amp; 28-24.017, F.A.C.]</w:t>
                  </w:r>
                </w:p>
              </w:tc>
            </w:tr>
            <w:tr w:rsidR="00225952" w:rsidRPr="00F05E1C" w:rsidTr="00DB6AE5">
              <w:trPr>
                <w:gridBefore w:val="1"/>
                <w:wBefore w:w="499" w:type="dxa"/>
                <w:trHeight w:val="288"/>
              </w:trPr>
              <w:tc>
                <w:tcPr>
                  <w:tcW w:w="10350" w:type="dxa"/>
                  <w:gridSpan w:val="5"/>
                  <w:tcBorders>
                    <w:top w:val="nil"/>
                    <w:left w:val="nil"/>
                    <w:bottom w:val="nil"/>
                    <w:right w:val="nil"/>
                  </w:tcBorders>
                  <w:shd w:val="clear" w:color="auto" w:fill="auto"/>
                  <w:vAlign w:val="center"/>
                </w:tcPr>
                <w:p w:rsidR="00225952" w:rsidRDefault="00225952">
                  <w:pPr>
                    <w:tabs>
                      <w:tab w:val="left" w:pos="360"/>
                      <w:tab w:val="left" w:pos="2749"/>
                    </w:tabs>
                    <w:spacing w:after="0" w:line="240" w:lineRule="auto"/>
                    <w:rPr>
                      <w:b/>
                      <w:sz w:val="18"/>
                      <w:szCs w:val="18"/>
                    </w:rPr>
                  </w:pPr>
                  <w:r w:rsidRPr="000B3152">
                    <w:rPr>
                      <w:b/>
                      <w:sz w:val="18"/>
                      <w:szCs w:val="18"/>
                    </w:rPr>
                    <w:t>HOTEL/MOTEL</w:t>
                  </w:r>
                  <w:r w:rsidRPr="000B3152">
                    <w:rPr>
                      <w:b/>
                      <w:sz w:val="18"/>
                      <w:szCs w:val="18"/>
                    </w:rPr>
                    <w:tab/>
                  </w:r>
                  <w:r w:rsidRPr="000B3152">
                    <w:rPr>
                      <w:i/>
                      <w:sz w:val="18"/>
                      <w:szCs w:val="18"/>
                    </w:rPr>
                    <w:t>[SOURCE: Sections 380.0651(3)(f), F.S. &amp; 28-24.026, F.A.C.]</w:t>
                  </w:r>
                </w:p>
              </w:tc>
            </w:tr>
            <w:tr w:rsidR="00225952" w:rsidRPr="00F05E1C" w:rsidTr="00DB6AE5">
              <w:trPr>
                <w:gridBefore w:val="1"/>
                <w:wBefore w:w="499" w:type="dxa"/>
                <w:trHeight w:val="288"/>
              </w:trPr>
              <w:tc>
                <w:tcPr>
                  <w:tcW w:w="10350" w:type="dxa"/>
                  <w:gridSpan w:val="5"/>
                  <w:tcBorders>
                    <w:top w:val="nil"/>
                    <w:left w:val="nil"/>
                    <w:bottom w:val="nil"/>
                    <w:right w:val="nil"/>
                  </w:tcBorders>
                  <w:shd w:val="clear" w:color="auto" w:fill="auto"/>
                  <w:vAlign w:val="center"/>
                </w:tcPr>
                <w:p w:rsidR="00225952" w:rsidRDefault="00225952">
                  <w:pPr>
                    <w:tabs>
                      <w:tab w:val="left" w:pos="360"/>
                      <w:tab w:val="left" w:pos="2749"/>
                    </w:tabs>
                    <w:spacing w:after="0" w:line="240" w:lineRule="auto"/>
                    <w:rPr>
                      <w:sz w:val="18"/>
                      <w:szCs w:val="18"/>
                    </w:rPr>
                  </w:pPr>
                  <w:r w:rsidRPr="000B3152">
                    <w:rPr>
                      <w:b/>
                      <w:sz w:val="18"/>
                      <w:szCs w:val="18"/>
                    </w:rPr>
                    <w:t>INDUSTRIAL</w:t>
                  </w:r>
                  <w:r w:rsidRPr="000B3152">
                    <w:rPr>
                      <w:b/>
                      <w:sz w:val="18"/>
                      <w:szCs w:val="18"/>
                    </w:rPr>
                    <w:tab/>
                  </w:r>
                  <w:r w:rsidRPr="000B3152">
                    <w:rPr>
                      <w:i/>
                      <w:sz w:val="18"/>
                      <w:szCs w:val="18"/>
                    </w:rPr>
                    <w:t>[SOURCE: Sections 380.0651(3)(c), F.S. &amp; 28-24.029, F.A.C.]</w:t>
                  </w:r>
                </w:p>
              </w:tc>
            </w:tr>
            <w:tr w:rsidR="00225952" w:rsidRPr="00F05E1C" w:rsidTr="00DB6AE5">
              <w:trPr>
                <w:gridBefore w:val="1"/>
                <w:wBefore w:w="499" w:type="dxa"/>
                <w:trHeight w:val="288"/>
              </w:trPr>
              <w:tc>
                <w:tcPr>
                  <w:tcW w:w="10350" w:type="dxa"/>
                  <w:gridSpan w:val="5"/>
                  <w:tcBorders>
                    <w:top w:val="nil"/>
                    <w:left w:val="nil"/>
                    <w:bottom w:val="nil"/>
                    <w:right w:val="nil"/>
                  </w:tcBorders>
                  <w:shd w:val="clear" w:color="auto" w:fill="auto"/>
                  <w:vAlign w:val="center"/>
                </w:tcPr>
                <w:p w:rsidR="00225952" w:rsidRDefault="00225952">
                  <w:pPr>
                    <w:tabs>
                      <w:tab w:val="left" w:pos="360"/>
                      <w:tab w:val="left" w:pos="2749"/>
                    </w:tabs>
                    <w:spacing w:after="0" w:line="240" w:lineRule="auto"/>
                    <w:rPr>
                      <w:b/>
                      <w:sz w:val="18"/>
                      <w:szCs w:val="18"/>
                    </w:rPr>
                  </w:pPr>
                  <w:r w:rsidRPr="000B3152">
                    <w:rPr>
                      <w:b/>
                      <w:sz w:val="18"/>
                      <w:szCs w:val="18"/>
                    </w:rPr>
                    <w:t>MINING OPERATIONS</w:t>
                  </w:r>
                  <w:r w:rsidRPr="000B3152">
                    <w:rPr>
                      <w:b/>
                      <w:sz w:val="18"/>
                      <w:szCs w:val="18"/>
                    </w:rPr>
                    <w:tab/>
                  </w:r>
                  <w:r w:rsidRPr="000B3152">
                    <w:rPr>
                      <w:i/>
                      <w:sz w:val="18"/>
                      <w:szCs w:val="18"/>
                    </w:rPr>
                    <w:t>[SOURCE: Section 28-24.019, F.A.C.]</w:t>
                  </w:r>
                </w:p>
              </w:tc>
            </w:tr>
            <w:tr w:rsidR="00225952" w:rsidRPr="00F05E1C" w:rsidTr="00DB6AE5">
              <w:trPr>
                <w:gridBefore w:val="1"/>
                <w:wBefore w:w="499" w:type="dxa"/>
                <w:trHeight w:val="288"/>
              </w:trPr>
              <w:tc>
                <w:tcPr>
                  <w:tcW w:w="10350" w:type="dxa"/>
                  <w:gridSpan w:val="5"/>
                  <w:tcBorders>
                    <w:top w:val="nil"/>
                    <w:left w:val="nil"/>
                    <w:bottom w:val="nil"/>
                    <w:right w:val="nil"/>
                  </w:tcBorders>
                  <w:shd w:val="clear" w:color="auto" w:fill="auto"/>
                  <w:vAlign w:val="center"/>
                </w:tcPr>
                <w:p w:rsidR="00225952" w:rsidRDefault="00225952">
                  <w:pPr>
                    <w:tabs>
                      <w:tab w:val="left" w:pos="360"/>
                      <w:tab w:val="left" w:pos="2749"/>
                    </w:tabs>
                    <w:spacing w:after="0" w:line="240" w:lineRule="auto"/>
                    <w:rPr>
                      <w:b/>
                      <w:sz w:val="18"/>
                      <w:szCs w:val="18"/>
                    </w:rPr>
                  </w:pPr>
                  <w:r w:rsidRPr="000B3152">
                    <w:rPr>
                      <w:b/>
                      <w:sz w:val="18"/>
                      <w:szCs w:val="18"/>
                    </w:rPr>
                    <w:t>MULTIPLE LAND USES</w:t>
                  </w:r>
                  <w:r w:rsidRPr="000B3152">
                    <w:rPr>
                      <w:i/>
                      <w:sz w:val="18"/>
                      <w:szCs w:val="18"/>
                    </w:rPr>
                    <w:tab/>
                    <w:t>[SOURCE: Section 380.0651(3)(i), F.S. &amp; 28-14.032, F.A.C.]</w:t>
                  </w:r>
                </w:p>
              </w:tc>
            </w:tr>
            <w:tr w:rsidR="00225952" w:rsidRPr="00F05E1C" w:rsidTr="00DB6AE5">
              <w:trPr>
                <w:gridBefore w:val="1"/>
                <w:wBefore w:w="499" w:type="dxa"/>
                <w:trHeight w:val="288"/>
              </w:trPr>
              <w:tc>
                <w:tcPr>
                  <w:tcW w:w="10350" w:type="dxa"/>
                  <w:gridSpan w:val="5"/>
                  <w:tcBorders>
                    <w:top w:val="nil"/>
                    <w:left w:val="nil"/>
                    <w:bottom w:val="nil"/>
                    <w:right w:val="nil"/>
                  </w:tcBorders>
                  <w:shd w:val="clear" w:color="auto" w:fill="auto"/>
                  <w:vAlign w:val="center"/>
                </w:tcPr>
                <w:p w:rsidR="00225952" w:rsidRDefault="00225952">
                  <w:pPr>
                    <w:tabs>
                      <w:tab w:val="left" w:pos="360"/>
                      <w:tab w:val="left" w:pos="2749"/>
                    </w:tabs>
                    <w:spacing w:after="0" w:line="240" w:lineRule="auto"/>
                    <w:rPr>
                      <w:b/>
                      <w:sz w:val="18"/>
                      <w:szCs w:val="18"/>
                    </w:rPr>
                  </w:pPr>
                  <w:r w:rsidRPr="000B3152">
                    <w:rPr>
                      <w:b/>
                      <w:sz w:val="18"/>
                      <w:szCs w:val="18"/>
                    </w:rPr>
                    <w:t>OFFICE</w:t>
                  </w:r>
                  <w:r w:rsidRPr="000B3152">
                    <w:rPr>
                      <w:b/>
                      <w:sz w:val="18"/>
                      <w:szCs w:val="18"/>
                    </w:rPr>
                    <w:tab/>
                  </w:r>
                  <w:r w:rsidRPr="000B3152">
                    <w:rPr>
                      <w:i/>
                      <w:sz w:val="18"/>
                      <w:szCs w:val="18"/>
                    </w:rPr>
                    <w:t xml:space="preserve"> [SOURCE: Sections 380.0651(3)(d), F.S. &amp; 28-24.020, F.A.C.]</w:t>
                  </w:r>
                </w:p>
              </w:tc>
            </w:tr>
            <w:tr w:rsidR="00225952" w:rsidRPr="00F05E1C" w:rsidTr="00DB6AE5">
              <w:trPr>
                <w:gridBefore w:val="1"/>
                <w:wBefore w:w="499" w:type="dxa"/>
                <w:trHeight w:val="288"/>
              </w:trPr>
              <w:tc>
                <w:tcPr>
                  <w:tcW w:w="10350" w:type="dxa"/>
                  <w:gridSpan w:val="5"/>
                  <w:tcBorders>
                    <w:top w:val="nil"/>
                    <w:left w:val="nil"/>
                    <w:bottom w:val="nil"/>
                    <w:right w:val="nil"/>
                  </w:tcBorders>
                  <w:shd w:val="clear" w:color="auto" w:fill="auto"/>
                  <w:vAlign w:val="center"/>
                </w:tcPr>
                <w:p w:rsidR="00225952" w:rsidRDefault="00225952">
                  <w:pPr>
                    <w:tabs>
                      <w:tab w:val="left" w:pos="360"/>
                      <w:tab w:val="left" w:pos="2749"/>
                    </w:tabs>
                    <w:spacing w:after="0" w:line="240" w:lineRule="auto"/>
                    <w:rPr>
                      <w:b/>
                      <w:sz w:val="18"/>
                      <w:szCs w:val="18"/>
                    </w:rPr>
                  </w:pPr>
                  <w:r w:rsidRPr="000B3152">
                    <w:rPr>
                      <w:b/>
                      <w:sz w:val="18"/>
                      <w:szCs w:val="18"/>
                    </w:rPr>
                    <w:t>PETROLEUM STORAGE</w:t>
                  </w:r>
                  <w:r w:rsidRPr="000B3152">
                    <w:rPr>
                      <w:b/>
                      <w:sz w:val="18"/>
                      <w:szCs w:val="18"/>
                    </w:rPr>
                    <w:tab/>
                  </w:r>
                  <w:r w:rsidRPr="000B3152">
                    <w:rPr>
                      <w:i/>
                      <w:sz w:val="18"/>
                      <w:szCs w:val="18"/>
                    </w:rPr>
                    <w:t>[SOURCE: Section 28-24.021, F.A.C.]</w:t>
                  </w:r>
                </w:p>
              </w:tc>
            </w:tr>
            <w:tr w:rsidR="00225952" w:rsidRPr="00F05E1C" w:rsidTr="00DB6AE5">
              <w:trPr>
                <w:gridBefore w:val="1"/>
                <w:wBefore w:w="499" w:type="dxa"/>
                <w:trHeight w:val="288"/>
              </w:trPr>
              <w:tc>
                <w:tcPr>
                  <w:tcW w:w="10350" w:type="dxa"/>
                  <w:gridSpan w:val="5"/>
                  <w:tcBorders>
                    <w:top w:val="nil"/>
                    <w:left w:val="nil"/>
                    <w:bottom w:val="nil"/>
                    <w:right w:val="nil"/>
                  </w:tcBorders>
                  <w:shd w:val="clear" w:color="auto" w:fill="auto"/>
                  <w:vAlign w:val="center"/>
                </w:tcPr>
                <w:p w:rsidR="00225952" w:rsidRDefault="00225952">
                  <w:pPr>
                    <w:tabs>
                      <w:tab w:val="left" w:pos="360"/>
                      <w:tab w:val="left" w:pos="2749"/>
                    </w:tabs>
                    <w:spacing w:after="0" w:line="240" w:lineRule="auto"/>
                    <w:rPr>
                      <w:b/>
                      <w:sz w:val="18"/>
                      <w:szCs w:val="18"/>
                    </w:rPr>
                  </w:pPr>
                  <w:r w:rsidRPr="000B3152">
                    <w:rPr>
                      <w:b/>
                      <w:sz w:val="18"/>
                      <w:szCs w:val="18"/>
                    </w:rPr>
                    <w:t>PORT FACILITIES (MARINAS)</w:t>
                  </w:r>
                  <w:r w:rsidRPr="000B3152">
                    <w:rPr>
                      <w:b/>
                      <w:sz w:val="18"/>
                      <w:szCs w:val="18"/>
                    </w:rPr>
                    <w:tab/>
                  </w:r>
                  <w:r w:rsidRPr="000B3152">
                    <w:rPr>
                      <w:i/>
                      <w:sz w:val="18"/>
                      <w:szCs w:val="18"/>
                    </w:rPr>
                    <w:t>[SOURCE: Sections 380.0651(3)(e), F.S. &amp; 28-24.036 F.A.C.]</w:t>
                  </w:r>
                </w:p>
              </w:tc>
            </w:tr>
            <w:tr w:rsidR="00225952" w:rsidRPr="00F05E1C" w:rsidTr="00DB6AE5">
              <w:trPr>
                <w:gridBefore w:val="1"/>
                <w:wBefore w:w="499" w:type="dxa"/>
                <w:trHeight w:val="288"/>
              </w:trPr>
              <w:tc>
                <w:tcPr>
                  <w:tcW w:w="10350" w:type="dxa"/>
                  <w:gridSpan w:val="5"/>
                  <w:tcBorders>
                    <w:top w:val="nil"/>
                    <w:left w:val="nil"/>
                    <w:bottom w:val="nil"/>
                    <w:right w:val="nil"/>
                  </w:tcBorders>
                  <w:shd w:val="clear" w:color="auto" w:fill="auto"/>
                  <w:vAlign w:val="center"/>
                </w:tcPr>
                <w:p w:rsidR="00225952" w:rsidRDefault="00225952">
                  <w:pPr>
                    <w:tabs>
                      <w:tab w:val="left" w:pos="360"/>
                      <w:tab w:val="left" w:pos="2749"/>
                    </w:tabs>
                    <w:spacing w:after="0" w:line="240" w:lineRule="auto"/>
                    <w:rPr>
                      <w:b/>
                      <w:sz w:val="18"/>
                      <w:szCs w:val="18"/>
                    </w:rPr>
                  </w:pPr>
                  <w:r w:rsidRPr="000B3152">
                    <w:rPr>
                      <w:b/>
                      <w:sz w:val="18"/>
                      <w:szCs w:val="18"/>
                    </w:rPr>
                    <w:t>RECREATIONAL VEHICLE</w:t>
                  </w:r>
                  <w:r w:rsidRPr="000B3152">
                    <w:rPr>
                      <w:b/>
                      <w:sz w:val="18"/>
                      <w:szCs w:val="18"/>
                    </w:rPr>
                    <w:tab/>
                  </w:r>
                  <w:r w:rsidRPr="000B3152">
                    <w:rPr>
                      <w:i/>
                      <w:sz w:val="18"/>
                      <w:szCs w:val="18"/>
                    </w:rPr>
                    <w:t>[SOURCE: Sections 380.0651(3)(h), F.S. &amp; 28-24.027 F.A.C.]</w:t>
                  </w:r>
                </w:p>
              </w:tc>
            </w:tr>
            <w:tr w:rsidR="00225952" w:rsidRPr="00F05E1C" w:rsidTr="00DB6AE5">
              <w:trPr>
                <w:gridBefore w:val="1"/>
                <w:wBefore w:w="499" w:type="dxa"/>
                <w:trHeight w:val="288"/>
              </w:trPr>
              <w:tc>
                <w:tcPr>
                  <w:tcW w:w="10350" w:type="dxa"/>
                  <w:gridSpan w:val="5"/>
                  <w:tcBorders>
                    <w:top w:val="nil"/>
                    <w:left w:val="nil"/>
                    <w:bottom w:val="nil"/>
                    <w:right w:val="nil"/>
                  </w:tcBorders>
                  <w:shd w:val="clear" w:color="auto" w:fill="auto"/>
                  <w:vAlign w:val="center"/>
                </w:tcPr>
                <w:p w:rsidR="00225952" w:rsidRDefault="00225952">
                  <w:pPr>
                    <w:tabs>
                      <w:tab w:val="left" w:pos="360"/>
                      <w:tab w:val="left" w:pos="2749"/>
                    </w:tabs>
                    <w:spacing w:after="0" w:line="240" w:lineRule="auto"/>
                    <w:rPr>
                      <w:b/>
                      <w:sz w:val="18"/>
                      <w:szCs w:val="18"/>
                    </w:rPr>
                  </w:pPr>
                  <w:r w:rsidRPr="000B3152">
                    <w:rPr>
                      <w:b/>
                      <w:sz w:val="18"/>
                      <w:szCs w:val="18"/>
                    </w:rPr>
                    <w:t xml:space="preserve">RESIDENTIAL </w:t>
                  </w:r>
                  <w:r w:rsidRPr="000B3152">
                    <w:rPr>
                      <w:i/>
                      <w:sz w:val="18"/>
                      <w:szCs w:val="18"/>
                    </w:rPr>
                    <w:t xml:space="preserve">[SEE: </w:t>
                  </w:r>
                  <w:hyperlink r:id="rId282" w:history="1">
                    <w:r w:rsidRPr="000B3152">
                      <w:rPr>
                        <w:rStyle w:val="Hyperlink"/>
                        <w:i/>
                        <w:sz w:val="18"/>
                        <w:szCs w:val="18"/>
                      </w:rPr>
                      <w:t>DCA Residential Thresholds by Population Listing</w:t>
                    </w:r>
                  </w:hyperlink>
                  <w:r w:rsidRPr="000B3152">
                    <w:rPr>
                      <w:i/>
                      <w:sz w:val="18"/>
                      <w:szCs w:val="18"/>
                    </w:rPr>
                    <w:t>,</w:t>
                  </w:r>
                  <w:r w:rsidRPr="000B3152">
                    <w:rPr>
                      <w:i/>
                      <w:sz w:val="18"/>
                      <w:szCs w:val="18"/>
                    </w:rPr>
                    <w:br/>
                  </w:r>
                  <w:r w:rsidRPr="000B3152">
                    <w:rPr>
                      <w:i/>
                      <w:sz w:val="18"/>
                      <w:szCs w:val="18"/>
                    </w:rPr>
                    <w:tab/>
                    <w:t xml:space="preserve"> </w:t>
                  </w:r>
                  <w:r>
                    <w:rPr>
                      <w:i/>
                      <w:sz w:val="18"/>
                      <w:szCs w:val="18"/>
                    </w:rPr>
                    <w:tab/>
                  </w:r>
                  <w:r w:rsidRPr="000B3152">
                    <w:rPr>
                      <w:i/>
                      <w:sz w:val="18"/>
                      <w:szCs w:val="18"/>
                    </w:rPr>
                    <w:t>[SOURCE Sections 380.0651(3)(j), F.S. &amp; 28-24.023 F.A.C.]]</w:t>
                  </w:r>
                </w:p>
              </w:tc>
            </w:tr>
            <w:tr w:rsidR="00225952" w:rsidRPr="00F05E1C" w:rsidTr="00DB6AE5">
              <w:trPr>
                <w:gridBefore w:val="1"/>
                <w:wBefore w:w="499" w:type="dxa"/>
                <w:trHeight w:val="288"/>
              </w:trPr>
              <w:tc>
                <w:tcPr>
                  <w:tcW w:w="10350" w:type="dxa"/>
                  <w:gridSpan w:val="5"/>
                  <w:tcBorders>
                    <w:top w:val="nil"/>
                    <w:left w:val="nil"/>
                    <w:bottom w:val="nil"/>
                    <w:right w:val="nil"/>
                  </w:tcBorders>
                  <w:shd w:val="clear" w:color="auto" w:fill="auto"/>
                  <w:vAlign w:val="center"/>
                </w:tcPr>
                <w:p w:rsidR="00225952" w:rsidRDefault="00225952">
                  <w:pPr>
                    <w:tabs>
                      <w:tab w:val="left" w:pos="360"/>
                      <w:tab w:val="left" w:pos="2749"/>
                    </w:tabs>
                    <w:spacing w:after="0" w:line="240" w:lineRule="auto"/>
                    <w:rPr>
                      <w:b/>
                      <w:sz w:val="18"/>
                      <w:szCs w:val="18"/>
                    </w:rPr>
                  </w:pPr>
                  <w:r w:rsidRPr="000B3152">
                    <w:rPr>
                      <w:b/>
                      <w:sz w:val="18"/>
                      <w:szCs w:val="18"/>
                    </w:rPr>
                    <w:t>RETAIL/COMMERCIAL</w:t>
                  </w:r>
                  <w:r w:rsidRPr="000B3152">
                    <w:rPr>
                      <w:sz w:val="18"/>
                      <w:szCs w:val="18"/>
                    </w:rPr>
                    <w:tab/>
                  </w:r>
                  <w:r w:rsidRPr="000B3152">
                    <w:rPr>
                      <w:i/>
                      <w:sz w:val="18"/>
                      <w:szCs w:val="18"/>
                    </w:rPr>
                    <w:t>[SOURCE: Sections 380.0651(3)(f), F.S. &amp; 28-24.031, F.A.C.]</w:t>
                  </w:r>
                </w:p>
              </w:tc>
            </w:tr>
            <w:tr w:rsidR="00225952" w:rsidRPr="00F05E1C" w:rsidTr="00DB6AE5">
              <w:trPr>
                <w:gridBefore w:val="1"/>
                <w:wBefore w:w="499" w:type="dxa"/>
                <w:trHeight w:val="288"/>
              </w:trPr>
              <w:tc>
                <w:tcPr>
                  <w:tcW w:w="10350" w:type="dxa"/>
                  <w:gridSpan w:val="5"/>
                  <w:tcBorders>
                    <w:top w:val="nil"/>
                    <w:left w:val="nil"/>
                    <w:bottom w:val="nil"/>
                    <w:right w:val="nil"/>
                  </w:tcBorders>
                  <w:shd w:val="clear" w:color="auto" w:fill="auto"/>
                  <w:vAlign w:val="center"/>
                </w:tcPr>
                <w:p w:rsidR="00225952" w:rsidRDefault="00225952">
                  <w:pPr>
                    <w:tabs>
                      <w:tab w:val="left" w:pos="360"/>
                      <w:tab w:val="left" w:pos="2749"/>
                    </w:tabs>
                    <w:spacing w:after="0" w:line="240" w:lineRule="auto"/>
                    <w:rPr>
                      <w:b/>
                      <w:sz w:val="18"/>
                      <w:szCs w:val="18"/>
                    </w:rPr>
                  </w:pPr>
                  <w:r w:rsidRPr="000B3152">
                    <w:rPr>
                      <w:b/>
                      <w:sz w:val="18"/>
                      <w:szCs w:val="18"/>
                    </w:rPr>
                    <w:t>SCHOOLS</w:t>
                  </w:r>
                  <w:r w:rsidRPr="000B3152">
                    <w:rPr>
                      <w:i/>
                      <w:sz w:val="18"/>
                      <w:szCs w:val="18"/>
                    </w:rPr>
                    <w:tab/>
                    <w:t>[SOURCE: Sections 380.0651(3)(k), F.S. &amp; 28-24.024, F.A.C.]</w:t>
                  </w:r>
                </w:p>
              </w:tc>
            </w:tr>
          </w:tbl>
          <w:p w:rsidR="00225952" w:rsidRPr="00E84AE9" w:rsidRDefault="00225952" w:rsidP="00225952"/>
        </w:tc>
      </w:tr>
      <w:tr w:rsidR="00225952" w:rsidRPr="00E84AE9" w:rsidTr="00992EDA">
        <w:tc>
          <w:tcPr>
            <w:tcW w:w="2429" w:type="dxa"/>
          </w:tcPr>
          <w:p w:rsidR="00225952" w:rsidRPr="00652B45" w:rsidRDefault="00225952" w:rsidP="008F6B1A">
            <w:pPr>
              <w:pStyle w:val="Heading4"/>
              <w:spacing w:before="240" w:after="240"/>
            </w:pPr>
            <w:r w:rsidRPr="00652B45">
              <w:lastRenderedPageBreak/>
              <w:t>FDOT Reviewer Role</w:t>
            </w:r>
          </w:p>
          <w:p w:rsidR="00225952" w:rsidRPr="00803378" w:rsidRDefault="00225952" w:rsidP="00225952">
            <w:pPr>
              <w:rPr>
                <w:rFonts w:ascii="Times New Roman" w:hAnsi="Times New Roman"/>
                <w:sz w:val="24"/>
                <w:szCs w:val="24"/>
              </w:rPr>
            </w:pPr>
          </w:p>
        </w:tc>
        <w:tc>
          <w:tcPr>
            <w:tcW w:w="7922" w:type="dxa"/>
          </w:tcPr>
          <w:p w:rsidR="00225952" w:rsidRPr="00E84AE9" w:rsidDel="004E44EC" w:rsidRDefault="00225952" w:rsidP="008F6B1A">
            <w:pPr>
              <w:spacing w:before="240"/>
            </w:pPr>
            <w:r>
              <w:t xml:space="preserve">While DCA may request that the FDOT reviewer participate in the determination of possible transportation impacts, this </w:t>
            </w:r>
            <w:r w:rsidRPr="00E84AE9">
              <w:t xml:space="preserve">step in the DRI-ADA process does not mandate review by the </w:t>
            </w:r>
            <w:r>
              <w:t>FDOT</w:t>
            </w:r>
            <w:r w:rsidRPr="00E84AE9">
              <w:t>.</w:t>
            </w:r>
          </w:p>
        </w:tc>
      </w:tr>
    </w:tbl>
    <w:p w:rsidR="00784F8A" w:rsidRDefault="00784F8A">
      <w:bookmarkStart w:id="243" w:name="_Toc232912621"/>
      <w:bookmarkStart w:id="244" w:name="_Toc260316445"/>
      <w:r>
        <w:rPr>
          <w:b/>
          <w:bCs/>
        </w:rPr>
        <w:br w:type="page"/>
      </w:r>
    </w:p>
    <w:tbl>
      <w:tblPr>
        <w:tblW w:w="10351" w:type="dxa"/>
        <w:tblInd w:w="115" w:type="dxa"/>
        <w:tblLayout w:type="fixed"/>
        <w:tblCellMar>
          <w:left w:w="115" w:type="dxa"/>
          <w:right w:w="115" w:type="dxa"/>
        </w:tblCellMar>
        <w:tblLook w:val="0000"/>
      </w:tblPr>
      <w:tblGrid>
        <w:gridCol w:w="2429"/>
        <w:gridCol w:w="7922"/>
      </w:tblGrid>
      <w:tr w:rsidR="00225952" w:rsidRPr="00E84AE9" w:rsidTr="00784F8A">
        <w:tc>
          <w:tcPr>
            <w:tcW w:w="10351" w:type="dxa"/>
            <w:gridSpan w:val="2"/>
          </w:tcPr>
          <w:p w:rsidR="00225952" w:rsidRPr="00652B45" w:rsidDel="004E44EC" w:rsidRDefault="00225952" w:rsidP="00225952">
            <w:pPr>
              <w:pStyle w:val="Heading3"/>
            </w:pPr>
            <w:bookmarkStart w:id="245" w:name="_Toc264274148"/>
            <w:r>
              <w:lastRenderedPageBreak/>
              <w:t xml:space="preserve">4.2.1   </w:t>
            </w:r>
            <w:r w:rsidRPr="00652B45">
              <w:t>Transportation Methodology Development</w:t>
            </w:r>
            <w:bookmarkEnd w:id="243"/>
            <w:bookmarkEnd w:id="244"/>
            <w:bookmarkEnd w:id="245"/>
          </w:p>
        </w:tc>
      </w:tr>
      <w:tr w:rsidR="00225952" w:rsidRPr="00E84AE9" w:rsidTr="00784F8A">
        <w:tc>
          <w:tcPr>
            <w:tcW w:w="2429" w:type="dxa"/>
          </w:tcPr>
          <w:p w:rsidR="00225952" w:rsidRPr="00652B45" w:rsidRDefault="00225952" w:rsidP="00225952">
            <w:pPr>
              <w:pStyle w:val="Heading4"/>
            </w:pPr>
            <w:r w:rsidRPr="00652B45">
              <w:t>Pre-application Conference</w:t>
            </w:r>
          </w:p>
          <w:p w:rsidR="00225952" w:rsidRPr="00DC7037" w:rsidRDefault="00225952" w:rsidP="00225952"/>
        </w:tc>
        <w:tc>
          <w:tcPr>
            <w:tcW w:w="7922" w:type="dxa"/>
          </w:tcPr>
          <w:p w:rsidR="00225952" w:rsidRPr="00E84AE9" w:rsidRDefault="00225952" w:rsidP="00225952">
            <w:r w:rsidRPr="00E84AE9">
              <w:t>Before filing an Application for Development Approval, the applicant should contact the RPC to arrange a Pre</w:t>
            </w:r>
            <w:r>
              <w:t>-</w:t>
            </w:r>
            <w:r w:rsidRPr="00E84AE9">
              <w:t>application Conference to discuss all issues associated with the project</w:t>
            </w:r>
            <w:r>
              <w:t xml:space="preserve"> </w:t>
            </w:r>
            <w:hyperlink r:id="rId283" w:history="1">
              <w:r w:rsidRPr="00E857DC">
                <w:rPr>
                  <w:rStyle w:val="Hyperlink"/>
                </w:rPr>
                <w:t>(Rule 9J-2.021(1)(a)FAC)</w:t>
              </w:r>
            </w:hyperlink>
            <w:r w:rsidRPr="00E84AE9">
              <w:t xml:space="preserve">. This conference is typically organized by the RPC in </w:t>
            </w:r>
            <w:r>
              <w:t>cooperation with the applicant.</w:t>
            </w:r>
            <w:r w:rsidRPr="00E84AE9">
              <w:t xml:space="preserve"> All </w:t>
            </w:r>
            <w:r>
              <w:t xml:space="preserve">appropriate </w:t>
            </w:r>
            <w:r w:rsidRPr="00E84AE9">
              <w:t>review agencies</w:t>
            </w:r>
            <w:r>
              <w:t>,</w:t>
            </w:r>
            <w:r w:rsidRPr="00E84AE9">
              <w:t xml:space="preserve"> including the FDOT</w:t>
            </w:r>
            <w:r>
              <w:t>,</w:t>
            </w:r>
            <w:r w:rsidRPr="00E84AE9">
              <w:t xml:space="preserve"> are also invited. </w:t>
            </w:r>
          </w:p>
        </w:tc>
      </w:tr>
      <w:tr w:rsidR="00225952" w:rsidRPr="00E84AE9" w:rsidTr="00784F8A">
        <w:tc>
          <w:tcPr>
            <w:tcW w:w="2429" w:type="dxa"/>
          </w:tcPr>
          <w:p w:rsidR="00225952" w:rsidRDefault="00225952" w:rsidP="00225952">
            <w:pPr>
              <w:rPr>
                <w:b/>
              </w:rPr>
            </w:pPr>
            <w:r w:rsidRPr="00E84AE9">
              <w:rPr>
                <w:b/>
              </w:rPr>
              <w:t>Pre</w:t>
            </w:r>
            <w:r>
              <w:rPr>
                <w:b/>
              </w:rPr>
              <w:t>-</w:t>
            </w:r>
            <w:r w:rsidRPr="00E84AE9">
              <w:rPr>
                <w:b/>
              </w:rPr>
              <w:t>application Conference:</w:t>
            </w:r>
          </w:p>
          <w:p w:rsidR="00225952" w:rsidRPr="00DC7037" w:rsidRDefault="00225952" w:rsidP="00225952">
            <w:pPr>
              <w:pStyle w:val="SidebarSentence"/>
              <w:rPr>
                <w:color w:val="000000"/>
              </w:rPr>
            </w:pPr>
            <w:r w:rsidRPr="00D448ED">
              <w:t>Serves as a general discussion of all issues associated with the proposed DRI</w:t>
            </w:r>
          </w:p>
        </w:tc>
        <w:tc>
          <w:tcPr>
            <w:tcW w:w="7922" w:type="dxa"/>
          </w:tcPr>
          <w:p w:rsidR="00225952" w:rsidRPr="00E84AE9" w:rsidRDefault="00225952" w:rsidP="00225952">
            <w:r w:rsidRPr="00E84AE9">
              <w:t xml:space="preserve">This conference is conducted to identify issues, coordinate appropriate State and local agency requirements, promote a proper and efficient review of the proposed development, and ensure that RPC staff are aware of all the issues to which reviewing agencies will require the applicant to respond (such as wildlife impacts, economic considerations, and environmental challenges). The applicant </w:t>
            </w:r>
            <w:r>
              <w:t>should</w:t>
            </w:r>
            <w:r w:rsidRPr="00E84AE9">
              <w:t xml:space="preserve"> prepare a Project Summary Narrative that summarizes the overall project and the key assumptions to be used in preparing the </w:t>
            </w:r>
            <w:smartTag w:uri="urn:schemas-microsoft-com:office:smarttags" w:element="City">
              <w:smartTag w:uri="urn:schemas-microsoft-com:office:smarttags" w:element="place">
                <w:r w:rsidRPr="00E84AE9">
                  <w:t>ADA</w:t>
                </w:r>
              </w:smartTag>
            </w:smartTag>
            <w:r>
              <w:t xml:space="preserve">. </w:t>
            </w:r>
          </w:p>
        </w:tc>
      </w:tr>
      <w:tr w:rsidR="00225952" w:rsidRPr="00E84AE9" w:rsidTr="00784F8A">
        <w:tc>
          <w:tcPr>
            <w:tcW w:w="2429" w:type="dxa"/>
          </w:tcPr>
          <w:p w:rsidR="00225952" w:rsidRDefault="00225952" w:rsidP="00225952">
            <w:r w:rsidRPr="00E84AE9">
              <w:rPr>
                <w:b/>
              </w:rPr>
              <w:t>Transportation Methodology Meeting:</w:t>
            </w:r>
            <w:r w:rsidRPr="00E84AE9">
              <w:t xml:space="preserve"> </w:t>
            </w:r>
          </w:p>
          <w:p w:rsidR="00225952" w:rsidRPr="00DC7037" w:rsidRDefault="00DB6AE5" w:rsidP="00DB6AE5">
            <w:pPr>
              <w:pStyle w:val="SidebarSentence"/>
              <w:ind w:right="0"/>
              <w:rPr>
                <w:color w:val="000000"/>
              </w:rPr>
            </w:pPr>
            <w:r>
              <w:t>Held as p</w:t>
            </w:r>
            <w:r w:rsidR="00225952" w:rsidRPr="00DB6AE5">
              <w:t>art of the Pre-application conference to discuss applicant’s response to Question</w:t>
            </w:r>
            <w:r w:rsidR="00225952" w:rsidRPr="00D448ED">
              <w:t xml:space="preserve"> 21</w:t>
            </w:r>
          </w:p>
        </w:tc>
        <w:tc>
          <w:tcPr>
            <w:tcW w:w="7922" w:type="dxa"/>
          </w:tcPr>
          <w:p w:rsidR="00225952" w:rsidRPr="00E84AE9" w:rsidRDefault="00225952" w:rsidP="00225952">
            <w:r w:rsidRPr="00E84AE9">
              <w:t xml:space="preserve">Additionally, the </w:t>
            </w:r>
            <w:r>
              <w:t>P</w:t>
            </w:r>
            <w:r w:rsidRPr="00E84AE9">
              <w:t>re</w:t>
            </w:r>
            <w:r>
              <w:t>-</w:t>
            </w:r>
            <w:r w:rsidRPr="00E84AE9">
              <w:t xml:space="preserve">application </w:t>
            </w:r>
            <w:r>
              <w:t>C</w:t>
            </w:r>
            <w:r w:rsidRPr="00E84AE9">
              <w:t xml:space="preserve">onference will serve to specify information requirements, including the required number of copies of the </w:t>
            </w:r>
            <w:smartTag w:uri="urn:schemas-microsoft-com:office:smarttags" w:element="City">
              <w:r>
                <w:t>ADA</w:t>
              </w:r>
            </w:smartTag>
            <w:r>
              <w:t>,</w:t>
            </w:r>
            <w:r w:rsidRPr="00E84AE9">
              <w:t xml:space="preserve"> the method of their distribution to reviewing agencies, the deletion of questions from the </w:t>
            </w:r>
            <w:smartTag w:uri="urn:schemas-microsoft-com:office:smarttags" w:element="place">
              <w:smartTag w:uri="urn:schemas-microsoft-com:office:smarttags" w:element="City">
                <w:r w:rsidRPr="00E84AE9">
                  <w:t>ADA</w:t>
                </w:r>
              </w:smartTag>
            </w:smartTag>
            <w:r w:rsidRPr="00E84AE9">
              <w:t xml:space="preserve">, and to clarify concerns of the reviewing agencies. </w:t>
            </w:r>
            <w:r>
              <w:t>A</w:t>
            </w:r>
            <w:r w:rsidRPr="00E84AE9">
              <w:t xml:space="preserve"> Transportation Methodology Meeting typically occurs during the Pre</w:t>
            </w:r>
            <w:r>
              <w:t>-</w:t>
            </w:r>
            <w:r w:rsidRPr="00E84AE9">
              <w:t>application Conference.</w:t>
            </w:r>
          </w:p>
        </w:tc>
      </w:tr>
      <w:tr w:rsidR="00225952" w:rsidRPr="00E84AE9" w:rsidTr="00784F8A">
        <w:trPr>
          <w:trHeight w:val="810"/>
        </w:trPr>
        <w:tc>
          <w:tcPr>
            <w:tcW w:w="2429" w:type="dxa"/>
          </w:tcPr>
          <w:p w:rsidR="00225952" w:rsidRPr="00652B45" w:rsidRDefault="00225952" w:rsidP="00225952">
            <w:pPr>
              <w:pStyle w:val="Heading4"/>
            </w:pPr>
            <w:bookmarkStart w:id="246" w:name="Ex3_2"/>
            <w:bookmarkEnd w:id="246"/>
            <w:r w:rsidRPr="00652B45">
              <w:t>FDOT Reviewer Role</w:t>
            </w:r>
          </w:p>
          <w:p w:rsidR="00225952" w:rsidRPr="00652B45" w:rsidRDefault="00225952" w:rsidP="00225952">
            <w:pPr>
              <w:pStyle w:val="Heading4"/>
              <w:rPr>
                <w:rFonts w:ascii="Times New Roman" w:hAnsi="Times New Roman"/>
                <w:noProof/>
                <w:sz w:val="24"/>
                <w:szCs w:val="24"/>
              </w:rPr>
            </w:pPr>
          </w:p>
        </w:tc>
        <w:tc>
          <w:tcPr>
            <w:tcW w:w="7922" w:type="dxa"/>
          </w:tcPr>
          <w:p w:rsidR="00225952" w:rsidRPr="00E84AE9" w:rsidRDefault="00225952" w:rsidP="00225952">
            <w:r w:rsidRPr="00E84AE9">
              <w:t>While desirable, FDOT attendance at the entire Pre-application Conference (i.e. field visit, environmental discussion, etc) should be decided on a case by case basis. During the portion of the Pre-application Conference where all disciplines and agencies are present, FDOT comments should be general and focus more on big picture issues and process such as stating whether the FDOT has any committed projects in the area and confirming that the FDOT will be a reviewer on all future biennial report</w:t>
            </w:r>
            <w:r>
              <w:t xml:space="preserve"> and monitoring studie</w:t>
            </w:r>
            <w:r w:rsidRPr="00E84AE9">
              <w:t xml:space="preserve">s. Specific technical details are usually better discussed during the Transportation Methodology meeting. If a specific Transportation Methodology meeting is not held, all the issues listed </w:t>
            </w:r>
            <w:r>
              <w:t xml:space="preserve">below </w:t>
            </w:r>
            <w:r w:rsidRPr="00E84AE9">
              <w:t>under the Transportation Methodology should be discussed during the Pre-application Conference.</w:t>
            </w:r>
          </w:p>
        </w:tc>
      </w:tr>
      <w:tr w:rsidR="00225952" w:rsidRPr="00E84AE9" w:rsidTr="00784F8A">
        <w:tc>
          <w:tcPr>
            <w:tcW w:w="2429" w:type="dxa"/>
          </w:tcPr>
          <w:p w:rsidR="00225952" w:rsidRDefault="00225952">
            <w:pPr>
              <w:pStyle w:val="Heading4"/>
            </w:pPr>
            <w:bookmarkStart w:id="247" w:name="_Toc260316446"/>
            <w:r w:rsidRPr="00652B45">
              <w:t>Transportation Methodology Meeting</w:t>
            </w:r>
            <w:bookmarkEnd w:id="247"/>
          </w:p>
          <w:p w:rsidR="00225952" w:rsidRDefault="00225952"/>
          <w:p w:rsidR="00225952" w:rsidRDefault="00225952"/>
          <w:p w:rsidR="00225952" w:rsidRDefault="00225952"/>
          <w:p w:rsidR="00225952" w:rsidRDefault="00225952"/>
          <w:p w:rsidR="00225952" w:rsidRDefault="00225952"/>
          <w:p w:rsidR="00225952" w:rsidRDefault="00225952"/>
          <w:p w:rsidR="00225952" w:rsidRDefault="00225952"/>
          <w:p w:rsidR="00225952" w:rsidRDefault="00225952" w:rsidP="005324D7">
            <w:pPr>
              <w:pStyle w:val="HeadSide2"/>
            </w:pPr>
            <w:r>
              <w:t xml:space="preserve">See </w:t>
            </w:r>
            <w:r w:rsidR="005324D7">
              <w:t>m</w:t>
            </w:r>
            <w:r w:rsidRPr="00712DF0">
              <w:t xml:space="preserve">ultimodal features </w:t>
            </w:r>
            <w:r>
              <w:t>in</w:t>
            </w:r>
            <w:r w:rsidRPr="00712DF0">
              <w:t xml:space="preserve"> </w:t>
            </w:r>
            <w:r>
              <w:br/>
            </w:r>
            <w:r w:rsidR="00305F9A">
              <w:t>DRI Checklist 2</w:t>
            </w:r>
            <w:r w:rsidRPr="00712DF0">
              <w:t xml:space="preserve">  </w:t>
            </w:r>
          </w:p>
        </w:tc>
        <w:tc>
          <w:tcPr>
            <w:tcW w:w="7922" w:type="dxa"/>
          </w:tcPr>
          <w:p w:rsidR="00225952" w:rsidRDefault="00225952" w:rsidP="00225952">
            <w:r w:rsidRPr="00E84AE9">
              <w:lastRenderedPageBreak/>
              <w:t xml:space="preserve">Usually a specific Transportation Methodology meeting is held as part of the Pre-application Conference. This should be confirmed by the </w:t>
            </w:r>
            <w:r>
              <w:t xml:space="preserve">FDOT reviewer </w:t>
            </w:r>
            <w:r w:rsidRPr="00E84AE9">
              <w:t>upon being notified of the Pre-application Conference</w:t>
            </w:r>
            <w:r>
              <w:t xml:space="preserve"> (</w:t>
            </w:r>
            <w:hyperlink r:id="rId284" w:history="1">
              <w:r w:rsidRPr="001F2FA4">
                <w:rPr>
                  <w:rStyle w:val="Hyperlink"/>
                </w:rPr>
                <w:t>Section 380.06(7)</w:t>
              </w:r>
            </w:hyperlink>
            <w:r>
              <w:t xml:space="preserve"> (a), </w:t>
            </w:r>
            <w:hyperlink r:id="rId285" w:history="1">
              <w:r w:rsidRPr="001F2FA4">
                <w:rPr>
                  <w:rStyle w:val="Hyperlink"/>
                </w:rPr>
                <w:t>Rule 9J-2.021 FAC</w:t>
              </w:r>
            </w:hyperlink>
            <w:r>
              <w:t>)</w:t>
            </w:r>
            <w:r w:rsidRPr="00E84AE9">
              <w:t xml:space="preserve">. </w:t>
            </w:r>
            <w:r>
              <w:t xml:space="preserve">In cases where local government comprehensive plans and land development regulations include policies to support a multimodal transportation system, appropriate stakeholders representing these modes should also be </w:t>
            </w:r>
            <w:r>
              <w:lastRenderedPageBreak/>
              <w:t xml:space="preserve">present. This could include staff from:  the District Public Transportation Office, regional transit authority, local transit agency, regional ridesharing agency as well as TDM professionals and MPO and local bicycle/pedestrian coordinators. These stakeholders would augment the staff representing the FDOT, DCA, DEP, MPO, RPC, affected local governments, the applicant and their consultants. </w:t>
            </w:r>
          </w:p>
          <w:p w:rsidR="00225952" w:rsidRDefault="00225952" w:rsidP="00225952">
            <w:r>
              <w:t xml:space="preserve">To make each applicant fully aware of the type of multimodal features that reviewers will be seeking in the application, it is recommended that the reviewer to </w:t>
            </w:r>
            <w:r w:rsidRPr="000B5638">
              <w:t>make</w:t>
            </w:r>
            <w:r>
              <w:t xml:space="preserve"> </w:t>
            </w:r>
            <w:r w:rsidRPr="000B5638">
              <w:t xml:space="preserve">potential applicants </w:t>
            </w:r>
            <w:r>
              <w:t xml:space="preserve">aware of </w:t>
            </w:r>
            <w:hyperlink w:anchor="C2" w:history="1">
              <w:r w:rsidR="00305F9A" w:rsidRPr="00305F9A">
                <w:rPr>
                  <w:rStyle w:val="Hyperlink"/>
                  <w:rFonts w:cstheme="minorBidi"/>
                </w:rPr>
                <w:t xml:space="preserve">DRI Checklist </w:t>
              </w:r>
              <w:r w:rsidRPr="00305F9A">
                <w:rPr>
                  <w:rStyle w:val="Hyperlink"/>
                  <w:rFonts w:cstheme="minorBidi"/>
                </w:rPr>
                <w:t>2</w:t>
              </w:r>
            </w:hyperlink>
            <w:r>
              <w:t xml:space="preserve">.  This exhibit specifies </w:t>
            </w:r>
            <w:r w:rsidRPr="00F0072D">
              <w:t xml:space="preserve">information to be provided by the applicant to address modes </w:t>
            </w:r>
            <w:r>
              <w:t>in addition to</w:t>
            </w:r>
            <w:r w:rsidRPr="00F0072D">
              <w:t xml:space="preserve"> single-occupant vehicles. </w:t>
            </w:r>
          </w:p>
          <w:p w:rsidR="00225952" w:rsidRPr="00E84AE9" w:rsidRDefault="00225952" w:rsidP="00305F9A">
            <w:r w:rsidRPr="00F0072D">
              <w:t xml:space="preserve">Detailed parameters may be found within the </w:t>
            </w:r>
            <w:r>
              <w:t xml:space="preserve">materials </w:t>
            </w:r>
            <w:r w:rsidRPr="00F0072D">
              <w:t xml:space="preserve">listed in </w:t>
            </w:r>
            <w:r w:rsidR="00305F9A">
              <w:t>DRI Checklist 2</w:t>
            </w:r>
            <w:r w:rsidRPr="005E514F">
              <w:t>.</w:t>
            </w:r>
            <w:r>
              <w:t xml:space="preserve"> </w:t>
            </w:r>
            <w:r w:rsidRPr="00F0072D">
              <w:t xml:space="preserve"> </w:t>
            </w:r>
            <w:r>
              <w:t>Much of t</w:t>
            </w:r>
            <w:r w:rsidRPr="00F0072D">
              <w:t>his information is subject to local conditions and not conducive to statewide parameters.</w:t>
            </w:r>
            <w:r>
              <w:t xml:space="preserve"> </w:t>
            </w:r>
          </w:p>
        </w:tc>
      </w:tr>
      <w:tr w:rsidR="00225952" w:rsidRPr="00E84AE9" w:rsidTr="00784F8A">
        <w:tc>
          <w:tcPr>
            <w:tcW w:w="2429" w:type="dxa"/>
          </w:tcPr>
          <w:p w:rsidR="00225952" w:rsidRDefault="00225952" w:rsidP="00225952">
            <w:pPr>
              <w:pStyle w:val="Heading4"/>
              <w:rPr>
                <w:rFonts w:ascii="Times New Roman" w:hAnsi="Times New Roman"/>
                <w:sz w:val="24"/>
                <w:szCs w:val="24"/>
              </w:rPr>
            </w:pPr>
          </w:p>
          <w:p w:rsidR="00225952" w:rsidRDefault="00225952" w:rsidP="00225952">
            <w:pPr>
              <w:pStyle w:val="SidebarSentence"/>
            </w:pPr>
          </w:p>
          <w:p w:rsidR="00225952" w:rsidRDefault="00225952" w:rsidP="00225952">
            <w:pPr>
              <w:pStyle w:val="SidebarSentence"/>
            </w:pPr>
          </w:p>
          <w:p w:rsidR="00225952" w:rsidRDefault="00225952" w:rsidP="00225952">
            <w:pPr>
              <w:pStyle w:val="SidebarSentence"/>
            </w:pPr>
          </w:p>
          <w:p w:rsidR="00225952" w:rsidRDefault="00225952" w:rsidP="00225952">
            <w:pPr>
              <w:pStyle w:val="SidebarSentence"/>
            </w:pPr>
          </w:p>
          <w:p w:rsidR="00225952" w:rsidRDefault="00225952" w:rsidP="00225952">
            <w:pPr>
              <w:pStyle w:val="SidebarSentence"/>
            </w:pPr>
          </w:p>
          <w:p w:rsidR="00225952" w:rsidRDefault="00225952" w:rsidP="00AB3325">
            <w:pPr>
              <w:pStyle w:val="HeadSideR"/>
            </w:pPr>
            <w:r>
              <w:drawing>
                <wp:anchor distT="0" distB="0" distL="114300" distR="114300" simplePos="0" relativeHeight="251662336" behindDoc="1" locked="0" layoutInCell="1" allowOverlap="1">
                  <wp:simplePos x="0" y="0"/>
                  <wp:positionH relativeFrom="column">
                    <wp:posOffset>71755</wp:posOffset>
                  </wp:positionH>
                  <wp:positionV relativeFrom="paragraph">
                    <wp:align>bottom</wp:align>
                  </wp:positionV>
                  <wp:extent cx="1409700" cy="552450"/>
                  <wp:effectExtent l="19050" t="0" r="0" b="0"/>
                  <wp:wrapNone/>
                  <wp:docPr id="69" name="Picture 21" descr="button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uttonResource"/>
                          <pic:cNvPicPr>
                            <a:picLocks noChangeAspect="1" noChangeArrowheads="1"/>
                          </pic:cNvPicPr>
                        </pic:nvPicPr>
                        <pic:blipFill>
                          <a:blip r:embed="rId274" cstate="print"/>
                          <a:srcRect/>
                          <a:stretch>
                            <a:fillRect/>
                          </a:stretch>
                        </pic:blipFill>
                        <pic:spPr bwMode="auto">
                          <a:xfrm>
                            <a:off x="0" y="0"/>
                            <a:ext cx="1409700" cy="552450"/>
                          </a:xfrm>
                          <a:prstGeom prst="rect">
                            <a:avLst/>
                          </a:prstGeom>
                          <a:noFill/>
                          <a:ln w="9525">
                            <a:noFill/>
                            <a:miter lim="800000"/>
                            <a:headEnd/>
                            <a:tailEnd/>
                          </a:ln>
                        </pic:spPr>
                      </pic:pic>
                    </a:graphicData>
                  </a:graphic>
                </wp:anchor>
              </w:drawing>
            </w:r>
            <w:r>
              <w:t>Appendix C</w:t>
            </w:r>
          </w:p>
          <w:p w:rsidR="00225952" w:rsidRDefault="00225952" w:rsidP="00225952"/>
          <w:p w:rsidR="00225952" w:rsidRDefault="00225952" w:rsidP="00225952"/>
          <w:p w:rsidR="00225952" w:rsidRDefault="00225952" w:rsidP="00255107">
            <w:pPr>
              <w:pStyle w:val="HeadSide20"/>
            </w:pPr>
          </w:p>
          <w:p w:rsidR="00225952" w:rsidRDefault="00225952" w:rsidP="00255107">
            <w:pPr>
              <w:pStyle w:val="HeadSide20"/>
            </w:pPr>
          </w:p>
          <w:p w:rsidR="00AB3325" w:rsidRDefault="00AB3325" w:rsidP="00255107">
            <w:pPr>
              <w:pStyle w:val="HeadSide20"/>
            </w:pPr>
          </w:p>
          <w:p w:rsidR="00AB3325" w:rsidRDefault="00AB3325" w:rsidP="00AB3325">
            <w:pPr>
              <w:pStyle w:val="HeadSide20"/>
              <w:spacing w:after="0"/>
            </w:pPr>
            <w:r>
              <w:rPr>
                <w:noProof/>
              </w:rPr>
              <w:drawing>
                <wp:inline distT="0" distB="0" distL="0" distR="0">
                  <wp:extent cx="1396365" cy="549275"/>
                  <wp:effectExtent l="19050" t="0" r="0" b="0"/>
                  <wp:docPr id="557" name="Picture 556" descr="button_web.png">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tton_web.png"/>
                          <pic:cNvPicPr/>
                        </pic:nvPicPr>
                        <pic:blipFill>
                          <a:blip r:embed="rId26" cstate="print"/>
                          <a:stretch>
                            <a:fillRect/>
                          </a:stretch>
                        </pic:blipFill>
                        <pic:spPr>
                          <a:xfrm>
                            <a:off x="0" y="0"/>
                            <a:ext cx="1396365" cy="549275"/>
                          </a:xfrm>
                          <a:prstGeom prst="rect">
                            <a:avLst/>
                          </a:prstGeom>
                        </pic:spPr>
                      </pic:pic>
                    </a:graphicData>
                  </a:graphic>
                </wp:inline>
              </w:drawing>
            </w:r>
          </w:p>
          <w:p w:rsidR="00AB3325" w:rsidRDefault="00AB3325" w:rsidP="00AB3325">
            <w:pPr>
              <w:pStyle w:val="HeadSide20"/>
              <w:jc w:val="center"/>
            </w:pPr>
            <w:r>
              <w:t>DULA</w:t>
            </w:r>
          </w:p>
        </w:tc>
        <w:tc>
          <w:tcPr>
            <w:tcW w:w="7922" w:type="dxa"/>
          </w:tcPr>
          <w:p w:rsidR="00225952" w:rsidRDefault="00225952">
            <w:r w:rsidRPr="00E84AE9">
              <w:t xml:space="preserve">During the Transportation Methodology meeting, technical discussions take place regarding the details of the applicant’s </w:t>
            </w:r>
            <w:r>
              <w:t>methodology</w:t>
            </w:r>
            <w:r w:rsidRPr="00E84AE9">
              <w:t xml:space="preserve"> to answer Question 21</w:t>
            </w:r>
            <w:r>
              <w:t xml:space="preserve"> of the </w:t>
            </w:r>
            <w:smartTag w:uri="urn:schemas-microsoft-com:office:smarttags" w:element="place">
              <w:smartTag w:uri="urn:schemas-microsoft-com:office:smarttags" w:element="City">
                <w:r>
                  <w:t>ADA</w:t>
                </w:r>
              </w:smartTag>
            </w:smartTag>
            <w:r w:rsidRPr="00E84AE9">
              <w:t>.</w:t>
            </w:r>
            <w:r>
              <w:t xml:space="preserve"> </w:t>
            </w:r>
            <w:r w:rsidRPr="00E84AE9">
              <w:t>Before the Transportation Methodology meeting, the applicant prepare</w:t>
            </w:r>
            <w:r>
              <w:t>s</w:t>
            </w:r>
            <w:r w:rsidRPr="00E84AE9">
              <w:t xml:space="preserve"> a detailed transportation methodology to be submitted to the reviewing agencies (this may be part of the overall Project Summary Nar</w:t>
            </w:r>
            <w:r>
              <w:t>rative, but often it is a stand-</w:t>
            </w:r>
            <w:r w:rsidRPr="00E84AE9">
              <w:t>alone document).</w:t>
            </w:r>
          </w:p>
          <w:p w:rsidR="00225952" w:rsidRDefault="00225952">
            <w:r>
              <w:t xml:space="preserve"> Some Districts provide the applicant with a format for the transportation methodology to adhere to.</w:t>
            </w:r>
            <w:r w:rsidRPr="00E84AE9">
              <w:t xml:space="preserve"> </w:t>
            </w:r>
            <w:r>
              <w:t xml:space="preserve">A sample used by District Two is listed in </w:t>
            </w:r>
            <w:hyperlink w:anchor="APXC" w:history="1">
              <w:r w:rsidRPr="008F6B1A">
                <w:rPr>
                  <w:rStyle w:val="Hyperlink"/>
                  <w:rFonts w:cstheme="minorBidi"/>
                </w:rPr>
                <w:t>Appendix C</w:t>
              </w:r>
            </w:hyperlink>
            <w:r>
              <w:t>. The</w:t>
            </w:r>
            <w:r w:rsidRPr="00E84AE9">
              <w:t xml:space="preserve"> methodology document </w:t>
            </w:r>
            <w:r>
              <w:t>should be</w:t>
            </w:r>
            <w:r w:rsidRPr="00E84AE9">
              <w:t xml:space="preserve"> received </w:t>
            </w:r>
            <w:r>
              <w:t xml:space="preserve">by the reviewer </w:t>
            </w:r>
            <w:r w:rsidRPr="00E84AE9">
              <w:t>10 working days prior to the transportation methodology meeting;</w:t>
            </w:r>
            <w:r>
              <w:t xml:space="preserve"> if for some reason this does not occur, </w:t>
            </w:r>
            <w:r w:rsidRPr="00E84AE9">
              <w:t>the FDOT should request it from the RPC and applicant</w:t>
            </w:r>
            <w:r>
              <w:t>.</w:t>
            </w:r>
            <w:r w:rsidRPr="00E84AE9">
              <w:t xml:space="preserve"> </w:t>
            </w:r>
          </w:p>
          <w:p w:rsidR="00225952" w:rsidRPr="00E84AE9" w:rsidRDefault="00225952" w:rsidP="00225952">
            <w:r w:rsidRPr="00E84AE9">
              <w:t>The reviewing agencies should come to the meeting having already reviewed the methodology and prepared to discuss key issues.</w:t>
            </w:r>
            <w:r>
              <w:t xml:space="preserve"> </w:t>
            </w:r>
            <w:r w:rsidRPr="00E84AE9">
              <w:t>The methodology meeting should focus on discussing key issues associated with the study such as phase dates, roadway service volumes and LOS designations, network assumptions, trip generation (internal capture, pass-by, mode reductions), and background growth assumptions.</w:t>
            </w:r>
            <w:r>
              <w:t xml:space="preserve"> In many cases, key issues will include multimodal and land use considerations. These considerations must be addressed in </w:t>
            </w:r>
            <w:r w:rsidR="00ED4F21">
              <w:t xml:space="preserve">any </w:t>
            </w:r>
            <w:r>
              <w:t>transportation concurrency exceptions</w:t>
            </w:r>
            <w:r w:rsidR="00ED4F21">
              <w:t>.</w:t>
            </w:r>
            <w:r>
              <w:t xml:space="preserve"> </w:t>
            </w:r>
            <w:r w:rsidR="00ED4F21">
              <w:t xml:space="preserve">These would include exceptions relating to </w:t>
            </w:r>
            <w:hyperlink r:id="rId286" w:history="1">
              <w:r w:rsidRPr="002A2B30">
                <w:rPr>
                  <w:rStyle w:val="Hyperlink"/>
                </w:rPr>
                <w:t>Dense Urban Land Areas</w:t>
              </w:r>
            </w:hyperlink>
            <w:r w:rsidR="00ED4F21">
              <w:t>.</w:t>
            </w:r>
            <w:r>
              <w:t xml:space="preserve"> </w:t>
            </w:r>
          </w:p>
          <w:p w:rsidR="00225952" w:rsidRPr="00E84AE9" w:rsidDel="004E44EC" w:rsidRDefault="00225952" w:rsidP="00D1578E">
            <w:r w:rsidRPr="00E84AE9">
              <w:t xml:space="preserve">The preliminary response by the applicant to the </w:t>
            </w:r>
            <w:r>
              <w:t>criteria</w:t>
            </w:r>
            <w:r w:rsidRPr="00E84AE9">
              <w:t xml:space="preserve"> in </w:t>
            </w:r>
            <w:hyperlink w:anchor="C1" w:history="1">
              <w:r w:rsidRPr="00D1578E">
                <w:rPr>
                  <w:rStyle w:val="Hyperlink"/>
                  <w:rFonts w:cstheme="minorBidi"/>
                </w:rPr>
                <w:t xml:space="preserve">DRI </w:t>
              </w:r>
              <w:r w:rsidRPr="00D1578E">
                <w:rPr>
                  <w:rStyle w:val="Hyperlink"/>
                </w:rPr>
                <w:t>Checklist 1</w:t>
              </w:r>
              <w:r w:rsidRPr="00D1578E">
                <w:rPr>
                  <w:rStyle w:val="Hyperlink"/>
                  <w:rFonts w:cstheme="minorBidi"/>
                </w:rPr>
                <w:t xml:space="preserve"> </w:t>
              </w:r>
            </w:hyperlink>
            <w:r w:rsidRPr="00E84AE9">
              <w:t xml:space="preserve"> should be contained in the applicant’s transportation methodology submittal</w:t>
            </w:r>
            <w:r>
              <w:t xml:space="preserve">. </w:t>
            </w:r>
            <w:r w:rsidRPr="00E84AE9">
              <w:t xml:space="preserve">The applicant should be made aware that the transportation methodology should be </w:t>
            </w:r>
            <w:r w:rsidRPr="00E84AE9">
              <w:lastRenderedPageBreak/>
              <w:t>received by the RPC 20 days prior to the transportation methodology meeting for distribution to reviewing agencies</w:t>
            </w:r>
            <w:r>
              <w:t xml:space="preserve">. </w:t>
            </w:r>
          </w:p>
        </w:tc>
      </w:tr>
      <w:tr w:rsidR="00225952" w:rsidRPr="00E84AE9" w:rsidTr="00784F8A">
        <w:tc>
          <w:tcPr>
            <w:tcW w:w="2429" w:type="dxa"/>
          </w:tcPr>
          <w:p w:rsidR="00225952" w:rsidRPr="00652B45" w:rsidRDefault="00225952" w:rsidP="00225952">
            <w:pPr>
              <w:pStyle w:val="Heading4"/>
            </w:pPr>
            <w:r w:rsidRPr="00652B45">
              <w:lastRenderedPageBreak/>
              <w:t>FDOT Reviewer Role</w:t>
            </w:r>
          </w:p>
          <w:p w:rsidR="00225952" w:rsidRDefault="00225952" w:rsidP="00225952">
            <w:pPr>
              <w:pStyle w:val="SidebarSentence"/>
            </w:pPr>
          </w:p>
          <w:p w:rsidR="00DB6AE5" w:rsidRDefault="00DB6AE5" w:rsidP="00225952">
            <w:pPr>
              <w:pStyle w:val="SidebarSentence"/>
            </w:pPr>
          </w:p>
          <w:p w:rsidR="005A4DAF" w:rsidRDefault="005A4DAF" w:rsidP="00225952">
            <w:pPr>
              <w:pStyle w:val="SidebarSentence"/>
            </w:pPr>
          </w:p>
          <w:p w:rsidR="00225952" w:rsidRDefault="00225952" w:rsidP="00225952">
            <w:pPr>
              <w:pStyle w:val="SidebarSentence"/>
            </w:pPr>
            <w:r w:rsidRPr="00E84AE9">
              <w:t>Clearly document and present the issues to the applicant and to the RPC</w:t>
            </w:r>
          </w:p>
          <w:p w:rsidR="00225952" w:rsidRDefault="00225952">
            <w:pPr>
              <w:pStyle w:val="HeadSideR"/>
            </w:pPr>
            <w:r>
              <w:rPr>
                <w:b/>
                <w:bCs/>
                <w:i/>
                <w:sz w:val="20"/>
              </w:rPr>
              <w:drawing>
                <wp:anchor distT="0" distB="0" distL="114300" distR="114300" simplePos="0" relativeHeight="251659264" behindDoc="1" locked="0" layoutInCell="1" allowOverlap="1">
                  <wp:simplePos x="0" y="0"/>
                  <wp:positionH relativeFrom="column">
                    <wp:posOffset>71755</wp:posOffset>
                  </wp:positionH>
                  <wp:positionV relativeFrom="paragraph">
                    <wp:align>bottom</wp:align>
                  </wp:positionV>
                  <wp:extent cx="1409700" cy="552450"/>
                  <wp:effectExtent l="19050" t="0" r="0" b="0"/>
                  <wp:wrapNone/>
                  <wp:docPr id="70" name="Picture 18" descr="button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uttonResource"/>
                          <pic:cNvPicPr>
                            <a:picLocks noChangeAspect="1" noChangeArrowheads="1"/>
                          </pic:cNvPicPr>
                        </pic:nvPicPr>
                        <pic:blipFill>
                          <a:blip r:embed="rId274" cstate="print"/>
                          <a:srcRect/>
                          <a:stretch>
                            <a:fillRect/>
                          </a:stretch>
                        </pic:blipFill>
                        <pic:spPr bwMode="auto">
                          <a:xfrm>
                            <a:off x="0" y="0"/>
                            <a:ext cx="1409700" cy="552450"/>
                          </a:xfrm>
                          <a:prstGeom prst="rect">
                            <a:avLst/>
                          </a:prstGeom>
                          <a:noFill/>
                          <a:ln w="9525">
                            <a:noFill/>
                            <a:miter lim="800000"/>
                            <a:headEnd/>
                            <a:tailEnd/>
                          </a:ln>
                        </pic:spPr>
                      </pic:pic>
                    </a:graphicData>
                  </a:graphic>
                </wp:anchor>
              </w:drawing>
            </w:r>
            <w:r w:rsidRPr="00E52C81">
              <w:t xml:space="preserve">DRI </w:t>
            </w:r>
            <w:r w:rsidRPr="003A59AA">
              <w:br/>
              <w:t>Checklist 1</w:t>
            </w:r>
          </w:p>
        </w:tc>
        <w:tc>
          <w:tcPr>
            <w:tcW w:w="7922" w:type="dxa"/>
          </w:tcPr>
          <w:p w:rsidR="00225952" w:rsidRPr="00E84AE9" w:rsidDel="004E44EC" w:rsidRDefault="00225952" w:rsidP="005324D7">
            <w:r w:rsidRPr="00E84AE9">
              <w:t>The Transpor</w:t>
            </w:r>
            <w:r>
              <w:t>tation Methodology Meeting is critical</w:t>
            </w:r>
            <w:r w:rsidRPr="00E84AE9">
              <w:t xml:space="preserve"> in the DRI process.</w:t>
            </w:r>
            <w:r>
              <w:t xml:space="preserve"> </w:t>
            </w:r>
            <w:r w:rsidRPr="00E84AE9">
              <w:t xml:space="preserve">It is the first opportunity for the FDOT to express its concerns </w:t>
            </w:r>
            <w:r>
              <w:t>about th</w:t>
            </w:r>
            <w:r w:rsidRPr="00E84AE9">
              <w:t>e project’s potential impact on the SIS/SHS and to provide significant input in the questions needing answers.</w:t>
            </w:r>
            <w:r>
              <w:t xml:space="preserve"> </w:t>
            </w:r>
            <w:r w:rsidRPr="00E84AE9">
              <w:t xml:space="preserve">The Transportation Methodology Meeting also provides an opportunity </w:t>
            </w:r>
            <w:r>
              <w:t xml:space="preserve">collaborate with other reviewing agencies and </w:t>
            </w:r>
            <w:r w:rsidRPr="00E84AE9">
              <w:t>identify information which may be useful in performing a thorough and accurate assessment of project impacts</w:t>
            </w:r>
            <w:r w:rsidRPr="0053113F">
              <w:t>.</w:t>
            </w:r>
            <w:r>
              <w:t xml:space="preserve"> </w:t>
            </w:r>
            <w:r w:rsidRPr="0053113F">
              <w:t>Checklists have been provided for each of these purposes.</w:t>
            </w:r>
            <w:r>
              <w:t xml:space="preserve"> </w:t>
            </w:r>
            <w:r w:rsidRPr="00E84AE9">
              <w:t xml:space="preserve">The checklists cover issues raised in a typical DRI review. The lists should be modified, as appropriate, to address specific project characteristics. </w:t>
            </w:r>
            <w:hyperlink w:anchor="C1" w:history="1">
              <w:r w:rsidRPr="004A4C36">
                <w:rPr>
                  <w:rStyle w:val="Hyperlink"/>
                </w:rPr>
                <w:t>DRI Checklist 1</w:t>
              </w:r>
            </w:hyperlink>
            <w:r w:rsidR="00D1578E">
              <w:t xml:space="preserve">, </w:t>
            </w:r>
            <w:r w:rsidRPr="00E84AE9">
              <w:t xml:space="preserve">should be used by the </w:t>
            </w:r>
            <w:r>
              <w:t xml:space="preserve">FDOT reviewer </w:t>
            </w:r>
            <w:r w:rsidRPr="00E84AE9">
              <w:t>during this stage of the DRI review process.</w:t>
            </w:r>
            <w:r>
              <w:t xml:space="preserve"> </w:t>
            </w:r>
            <w:r w:rsidRPr="00E84AE9">
              <w:t xml:space="preserve">As previously noted, the information provided in </w:t>
            </w:r>
            <w:hyperlink w:anchor="C1" w:history="1">
              <w:r w:rsidR="00305F9A" w:rsidRPr="00305F9A">
                <w:rPr>
                  <w:rStyle w:val="Hyperlink"/>
                  <w:rFonts w:cstheme="minorBidi"/>
                </w:rPr>
                <w:t xml:space="preserve">DRI Pre-Application </w:t>
              </w:r>
              <w:r w:rsidR="00D1578E" w:rsidRPr="00305F9A">
                <w:rPr>
                  <w:rStyle w:val="Hyperlink"/>
                  <w:rFonts w:cstheme="minorBidi"/>
                </w:rPr>
                <w:t>Checklist</w:t>
              </w:r>
            </w:hyperlink>
            <w:r w:rsidR="00D1578E" w:rsidRPr="00305F9A">
              <w:t xml:space="preserve"> </w:t>
            </w:r>
            <w:r>
              <w:t xml:space="preserve"> should be brought to the attention of the applicant</w:t>
            </w:r>
            <w:r w:rsidRPr="00E84AE9">
              <w:t>.</w:t>
            </w:r>
          </w:p>
        </w:tc>
      </w:tr>
      <w:tr w:rsidR="00225952" w:rsidRPr="00E84AE9" w:rsidTr="00784F8A">
        <w:tc>
          <w:tcPr>
            <w:tcW w:w="2429" w:type="dxa"/>
          </w:tcPr>
          <w:p w:rsidR="00225952" w:rsidRPr="00803378" w:rsidRDefault="00225952" w:rsidP="00225952">
            <w:pPr>
              <w:rPr>
                <w:rFonts w:ascii="Times New Roman" w:hAnsi="Times New Roman"/>
                <w:sz w:val="24"/>
                <w:szCs w:val="24"/>
              </w:rPr>
            </w:pPr>
          </w:p>
        </w:tc>
        <w:tc>
          <w:tcPr>
            <w:tcW w:w="7922" w:type="dxa"/>
          </w:tcPr>
          <w:p w:rsidR="00225952" w:rsidRPr="00E84AE9" w:rsidRDefault="00225952" w:rsidP="005324D7">
            <w:r w:rsidRPr="00E84AE9">
              <w:t xml:space="preserve">It is important for the </w:t>
            </w:r>
            <w:r>
              <w:t xml:space="preserve">FDOT reviewer </w:t>
            </w:r>
            <w:r w:rsidRPr="00E84AE9">
              <w:t xml:space="preserve">to clearly articulate </w:t>
            </w:r>
            <w:r w:rsidRPr="00E84AE9">
              <w:rPr>
                <w:b/>
                <w:bCs/>
                <w:i/>
              </w:rPr>
              <w:t>all</w:t>
            </w:r>
            <w:r w:rsidRPr="00E84AE9">
              <w:rPr>
                <w:b/>
                <w:bCs/>
              </w:rPr>
              <w:t xml:space="preserve"> </w:t>
            </w:r>
            <w:r w:rsidRPr="00E84AE9">
              <w:t xml:space="preserve">major issues and concerns at this meeting to minimize possible discrepancies or omissions during the review of the </w:t>
            </w:r>
            <w:smartTag w:uri="urn:schemas-microsoft-com:office:smarttags" w:element="place">
              <w:smartTag w:uri="urn:schemas-microsoft-com:office:smarttags" w:element="City">
                <w:r w:rsidRPr="00E84AE9">
                  <w:t>ADA</w:t>
                </w:r>
              </w:smartTag>
            </w:smartTag>
            <w:r w:rsidRPr="00E84AE9">
              <w:t>.</w:t>
            </w:r>
            <w:r>
              <w:t xml:space="preserve"> </w:t>
            </w:r>
            <w:r w:rsidRPr="00E84AE9">
              <w:t xml:space="preserve">The </w:t>
            </w:r>
            <w:r>
              <w:t xml:space="preserve">FDOT reviewer </w:t>
            </w:r>
            <w:r w:rsidRPr="00E84AE9">
              <w:t>needs to provide comments not only on the information that is submitted and discussed, but also request any information that has not been discussed or included that is necessary for the completion of the study. Potential topics of discussion include:</w:t>
            </w:r>
          </w:p>
        </w:tc>
      </w:tr>
      <w:tr w:rsidR="00225952" w:rsidRPr="00E84AE9" w:rsidTr="00784F8A">
        <w:tc>
          <w:tcPr>
            <w:tcW w:w="2429" w:type="dxa"/>
          </w:tcPr>
          <w:p w:rsidR="00225952" w:rsidRPr="00803378" w:rsidRDefault="00225952" w:rsidP="00225952">
            <w:pPr>
              <w:rPr>
                <w:rFonts w:ascii="Times New Roman" w:hAnsi="Times New Roman"/>
                <w:sz w:val="24"/>
                <w:szCs w:val="24"/>
              </w:rPr>
            </w:pPr>
          </w:p>
        </w:tc>
        <w:tc>
          <w:tcPr>
            <w:tcW w:w="7922" w:type="dxa"/>
          </w:tcPr>
          <w:p w:rsidR="00225952" w:rsidRPr="007D2C9C" w:rsidRDefault="00225952" w:rsidP="00482F7F">
            <w:pPr>
              <w:spacing w:after="120"/>
            </w:pPr>
            <w:r w:rsidRPr="005324D7">
              <w:rPr>
                <w:b/>
                <w:sz w:val="24"/>
              </w:rPr>
              <w:t>Internal Capture/Community Capture:</w:t>
            </w:r>
            <w:r w:rsidRPr="005324D7">
              <w:rPr>
                <w:sz w:val="24"/>
              </w:rPr>
              <w:t xml:space="preserve"> </w:t>
            </w:r>
            <w:r w:rsidRPr="007D2C9C">
              <w:t>The methodology for determining internal capture should be clearly documented and supported with sample calculations. If the DRI is eligible to use Community Capture, the applicant should state their intent to use the methodology to determine Community Capture and provide the supporting documentation needed. It is noted that the proposal of high capture percentages will need to include detailed documentation and discussion for support.</w:t>
            </w:r>
          </w:p>
          <w:p w:rsidR="00225952" w:rsidRPr="007D2C9C" w:rsidRDefault="00225952" w:rsidP="00482F7F">
            <w:pPr>
              <w:spacing w:after="120"/>
            </w:pPr>
            <w:r w:rsidRPr="005324D7">
              <w:rPr>
                <w:b/>
                <w:sz w:val="24"/>
                <w:szCs w:val="24"/>
              </w:rPr>
              <w:t>Interchange Impacts:</w:t>
            </w:r>
            <w:r w:rsidRPr="005324D7">
              <w:rPr>
                <w:sz w:val="28"/>
              </w:rPr>
              <w:t xml:space="preserve"> </w:t>
            </w:r>
            <w:r w:rsidRPr="007D2C9C">
              <w:t xml:space="preserve">Whenever traffic from a DRI impacts a freeway or interchange, the applicant should be made aware of the potential need to coordinate with the District Interchange Review Committee. The applicant will need to be provided and consider information from any ongoing interchange modification study efforts (IMR, IJR, IOAR, or SIMR). It is also noted that if a new interchange is being sought, the applicant should coordinate with the District Interchange Review Committee and that specific analysis procedures will be necessary. It is noted that this will be in addition to the standard requirements of the </w:t>
            </w:r>
            <w:smartTag w:uri="urn:schemas-microsoft-com:office:smarttags" w:element="place">
              <w:smartTag w:uri="urn:schemas-microsoft-com:office:smarttags" w:element="City">
                <w:r w:rsidRPr="007D2C9C">
                  <w:t>ADA</w:t>
                </w:r>
              </w:smartTag>
            </w:smartTag>
            <w:r w:rsidRPr="007D2C9C">
              <w:t xml:space="preserve">. Additional information regarding interchange justification can be found at the Department’s </w:t>
            </w:r>
            <w:hyperlink r:id="rId287" w:history="1">
              <w:r w:rsidRPr="007D2C9C">
                <w:t>Interchange Justification webpage</w:t>
              </w:r>
            </w:hyperlink>
            <w:r w:rsidRPr="007D2C9C">
              <w:t xml:space="preserve">. </w:t>
            </w:r>
          </w:p>
          <w:p w:rsidR="00225952" w:rsidRDefault="00225952" w:rsidP="00482F7F">
            <w:pPr>
              <w:spacing w:after="120"/>
            </w:pPr>
            <w:r w:rsidRPr="003A59AA">
              <w:rPr>
                <w:b/>
              </w:rPr>
              <w:lastRenderedPageBreak/>
              <w:t>Multimodal Considerations:</w:t>
            </w:r>
            <w:r w:rsidRPr="007D2C9C">
              <w:t xml:space="preserve"> </w:t>
            </w:r>
            <w:r w:rsidRPr="003A59AA">
              <w:t xml:space="preserve">The FDOT reviewer should make certain that existing multimodal guidance is made available to the applicant. The discussion of multimodal measures should occur as early as possible so that site designs and concepts can incorporate multimodal features and services. Mitigation measures should also consider multimodal alternatives in addition to traditional roadway capacity projects. In many cases, the applicant is required to submit the proposed transportation methodology in advance. This gives the reviewers the opportunity to provide early comment on the details of the proposed methodology. One example of such comments is provided in </w:t>
            </w:r>
            <w:hyperlink w:anchor="APXE" w:history="1">
              <w:r w:rsidRPr="008F6B1A">
                <w:rPr>
                  <w:rStyle w:val="Hyperlink"/>
                  <w:rFonts w:cstheme="minorBidi"/>
                </w:rPr>
                <w:t>Appendix E</w:t>
              </w:r>
            </w:hyperlink>
            <w:r w:rsidRPr="003A59AA">
              <w:t xml:space="preserve">. The example </w:t>
            </w:r>
            <w:r w:rsidR="00482F7F">
              <w:t xml:space="preserve">is from District 4 in which the </w:t>
            </w:r>
            <w:r w:rsidRPr="003A59AA">
              <w:t>applicant requests trip reductions based on multimodal use. The comments offer a conditional acceptance of the reductions based on additional information to be provided by the applicant.</w:t>
            </w:r>
          </w:p>
        </w:tc>
      </w:tr>
      <w:tr w:rsidR="00225952" w:rsidRPr="00E84AE9" w:rsidTr="00784F8A">
        <w:tc>
          <w:tcPr>
            <w:tcW w:w="2429" w:type="dxa"/>
          </w:tcPr>
          <w:p w:rsidR="00225952" w:rsidRPr="00803378" w:rsidRDefault="00225952" w:rsidP="00225952">
            <w:pPr>
              <w:pStyle w:val="SidebarSentence"/>
              <w:rPr>
                <w:rFonts w:ascii="Times New Roman" w:hAnsi="Times New Roman"/>
                <w:sz w:val="24"/>
                <w:szCs w:val="24"/>
              </w:rPr>
            </w:pPr>
            <w:r>
              <w:lastRenderedPageBreak/>
              <w:t>R</w:t>
            </w:r>
            <w:r w:rsidRPr="00E84AE9">
              <w:t>eview submittals prepared by the RPC</w:t>
            </w:r>
          </w:p>
        </w:tc>
        <w:tc>
          <w:tcPr>
            <w:tcW w:w="7922" w:type="dxa"/>
          </w:tcPr>
          <w:p w:rsidR="00225952" w:rsidRPr="00E84AE9" w:rsidDel="004E44EC" w:rsidRDefault="00225952" w:rsidP="00482F7F">
            <w:pPr>
              <w:spacing w:after="120"/>
            </w:pPr>
            <w:r w:rsidRPr="00E84AE9">
              <w:t xml:space="preserve">The </w:t>
            </w:r>
            <w:r>
              <w:t xml:space="preserve">FDOT reviewer </w:t>
            </w:r>
            <w:r w:rsidRPr="00E84AE9">
              <w:t xml:space="preserve">should request opportunities for review of submittals prepared by the RPC prior to their transmittal to the applicant and should also state its desire to be a reviewing agency for the biennial monitoring report, should the DRI achieve approval. </w:t>
            </w:r>
            <w:r w:rsidRPr="00103B23">
              <w:t>As</w:t>
            </w:r>
            <w:r>
              <w:t xml:space="preserve"> transportation or </w:t>
            </w:r>
            <w:r w:rsidRPr="00103B23">
              <w:t>traffic monitoring studies become more utilized over the life of a DRI, the FDOT reviewer should introduce the concept of monitoring and initiate the discussions about the potential need for future monitoring studies</w:t>
            </w:r>
            <w:r w:rsidRPr="00E84AE9">
              <w:t>.</w:t>
            </w:r>
          </w:p>
        </w:tc>
      </w:tr>
      <w:tr w:rsidR="00225952" w:rsidRPr="00E84AE9" w:rsidTr="00784F8A">
        <w:tc>
          <w:tcPr>
            <w:tcW w:w="2429" w:type="dxa"/>
          </w:tcPr>
          <w:p w:rsidR="00225952" w:rsidRDefault="00225952">
            <w:pPr>
              <w:pStyle w:val="SidebarSentence"/>
              <w:rPr>
                <w:rFonts w:ascii="Times New Roman" w:hAnsi="Times New Roman"/>
                <w:sz w:val="24"/>
                <w:szCs w:val="24"/>
              </w:rPr>
            </w:pPr>
            <w:r w:rsidRPr="00E84AE9">
              <w:t xml:space="preserve">Provide the applicant with a written summary </w:t>
            </w:r>
          </w:p>
        </w:tc>
        <w:tc>
          <w:tcPr>
            <w:tcW w:w="7922" w:type="dxa"/>
          </w:tcPr>
          <w:p w:rsidR="00225952" w:rsidRDefault="00225952" w:rsidP="00482F7F">
            <w:pPr>
              <w:spacing w:after="120"/>
            </w:pPr>
            <w:r>
              <w:t>T</w:t>
            </w:r>
            <w:r w:rsidRPr="003F1BEB">
              <w:t xml:space="preserve">he </w:t>
            </w:r>
            <w:r>
              <w:t xml:space="preserve">FDOT reviewer should </w:t>
            </w:r>
            <w:r w:rsidRPr="003F1BEB">
              <w:t xml:space="preserve">provide the applicant with a written summary of the FDOT comments shortly after the methodology meeting has been completed. The </w:t>
            </w:r>
            <w:r>
              <w:t xml:space="preserve">FDOT reviewer </w:t>
            </w:r>
            <w:r w:rsidRPr="003F1BEB">
              <w:t xml:space="preserve">should clearly explain to the applicant that interchange approvals and permits for driveways, median openings, and traffic signals require separate approvals outside of the DRI process. The </w:t>
            </w:r>
            <w:r>
              <w:t xml:space="preserve">FDOT reviewer </w:t>
            </w:r>
            <w:r w:rsidRPr="003F1BEB">
              <w:t>should document cases where assumptions clearly do not meet FDOT standards (such as closely spaced signals and median openings).</w:t>
            </w:r>
          </w:p>
          <w:p w:rsidR="00225952" w:rsidRPr="003F1BEB" w:rsidDel="004E44EC" w:rsidRDefault="00225952" w:rsidP="00482F7F">
            <w:pPr>
              <w:spacing w:after="120"/>
            </w:pPr>
            <w:r w:rsidRPr="003F1BEB">
              <w:t xml:space="preserve">Formal DRI-ADA requirements for review by the FDOT will include, at a minimum, Questions 21 and 22 (found within </w:t>
            </w:r>
            <w:hyperlink r:id="rId288" w:history="1">
              <w:r w:rsidRPr="00D5742E">
                <w:rPr>
                  <w:rStyle w:val="Hyperlink"/>
                </w:rPr>
                <w:t>Chapter</w:t>
              </w:r>
            </w:hyperlink>
            <w:r w:rsidRPr="00D5742E">
              <w:t xml:space="preserve"> 9J-2.045 FAC</w:t>
            </w:r>
            <w:r w:rsidRPr="003F1BEB">
              <w:t xml:space="preserve">, </w:t>
            </w:r>
            <w:hyperlink r:id="rId289" w:history="1">
              <w:r w:rsidRPr="0067283B">
                <w:rPr>
                  <w:rStyle w:val="Hyperlink"/>
                </w:rPr>
                <w:t>Chapter 9J-2.046 FAC</w:t>
              </w:r>
            </w:hyperlink>
            <w:r>
              <w:t xml:space="preserve"> </w:t>
            </w:r>
            <w:r w:rsidRPr="003F1BEB">
              <w:t xml:space="preserve">and DCA Form </w:t>
            </w:r>
            <w:hyperlink r:id="rId290" w:history="1">
              <w:r w:rsidRPr="00C761B5">
                <w:rPr>
                  <w:rStyle w:val="Hyperlink"/>
                </w:rPr>
                <w:t>RPM-BSP-ADA-1</w:t>
              </w:r>
            </w:hyperlink>
            <w:r>
              <w:t xml:space="preserve"> and Appendix A</w:t>
            </w:r>
            <w:r w:rsidRPr="003F1BEB">
              <w:t>) dealing with transportation and air quality impacts of the proposed development.</w:t>
            </w:r>
          </w:p>
        </w:tc>
      </w:tr>
      <w:tr w:rsidR="00225952" w:rsidRPr="00E84AE9" w:rsidTr="00784F8A">
        <w:tc>
          <w:tcPr>
            <w:tcW w:w="2429" w:type="dxa"/>
          </w:tcPr>
          <w:p w:rsidR="00225952" w:rsidRDefault="00225952" w:rsidP="00225952">
            <w:pPr>
              <w:rPr>
                <w:rFonts w:ascii="Times New Roman" w:hAnsi="Times New Roman"/>
                <w:sz w:val="24"/>
                <w:szCs w:val="24"/>
              </w:rPr>
            </w:pPr>
          </w:p>
          <w:p w:rsidR="00225952" w:rsidRDefault="00225952" w:rsidP="00225952">
            <w:pPr>
              <w:rPr>
                <w:rFonts w:ascii="Times New Roman" w:hAnsi="Times New Roman"/>
                <w:sz w:val="24"/>
                <w:szCs w:val="24"/>
              </w:rPr>
            </w:pPr>
          </w:p>
          <w:p w:rsidR="00225952" w:rsidRDefault="00225952" w:rsidP="00225952">
            <w:pPr>
              <w:pStyle w:val="SidebarSentence"/>
            </w:pPr>
          </w:p>
          <w:p w:rsidR="00225952" w:rsidRDefault="00225952" w:rsidP="00173C80">
            <w:pPr>
              <w:pStyle w:val="HeadSideR"/>
              <w:rPr>
                <w:rFonts w:ascii="Times New Roman" w:hAnsi="Times New Roman"/>
                <w:sz w:val="24"/>
                <w:szCs w:val="24"/>
              </w:rPr>
            </w:pPr>
            <w:r>
              <w:drawing>
                <wp:anchor distT="0" distB="0" distL="114300" distR="114300" simplePos="0" relativeHeight="251661312" behindDoc="1" locked="0" layoutInCell="1" allowOverlap="1">
                  <wp:simplePos x="0" y="0"/>
                  <wp:positionH relativeFrom="column">
                    <wp:posOffset>71755</wp:posOffset>
                  </wp:positionH>
                  <wp:positionV relativeFrom="paragraph">
                    <wp:align>bottom</wp:align>
                  </wp:positionV>
                  <wp:extent cx="1409700" cy="552450"/>
                  <wp:effectExtent l="19050" t="0" r="0" b="0"/>
                  <wp:wrapNone/>
                  <wp:docPr id="71" name="Picture 20" descr="button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uttonResource"/>
                          <pic:cNvPicPr>
                            <a:picLocks noChangeAspect="1" noChangeArrowheads="1"/>
                          </pic:cNvPicPr>
                        </pic:nvPicPr>
                        <pic:blipFill>
                          <a:blip r:embed="rId274" cstate="print"/>
                          <a:srcRect/>
                          <a:stretch>
                            <a:fillRect/>
                          </a:stretch>
                        </pic:blipFill>
                        <pic:spPr bwMode="auto">
                          <a:xfrm>
                            <a:off x="0" y="0"/>
                            <a:ext cx="1409700" cy="552450"/>
                          </a:xfrm>
                          <a:prstGeom prst="rect">
                            <a:avLst/>
                          </a:prstGeom>
                          <a:noFill/>
                          <a:ln w="9525">
                            <a:noFill/>
                            <a:miter lim="800000"/>
                            <a:headEnd/>
                            <a:tailEnd/>
                          </a:ln>
                        </pic:spPr>
                      </pic:pic>
                    </a:graphicData>
                  </a:graphic>
                </wp:anchor>
              </w:drawing>
            </w:r>
            <w:r w:rsidR="00173C80">
              <w:t xml:space="preserve">DRI </w:t>
            </w:r>
            <w:r w:rsidR="00173C80">
              <w:br/>
              <w:t>Checklists</w:t>
            </w:r>
          </w:p>
        </w:tc>
        <w:tc>
          <w:tcPr>
            <w:tcW w:w="7922" w:type="dxa"/>
          </w:tcPr>
          <w:p w:rsidR="00225952" w:rsidRPr="003F1BEB" w:rsidRDefault="00225952" w:rsidP="00173C80">
            <w:r>
              <w:t>T</w:t>
            </w:r>
            <w:r w:rsidRPr="003F1BEB">
              <w:t xml:space="preserve">he </w:t>
            </w:r>
            <w:r>
              <w:t>FD</w:t>
            </w:r>
            <w:r w:rsidRPr="00F77AA9">
              <w:rPr>
                <w:spacing w:val="-2"/>
              </w:rPr>
              <w:t xml:space="preserve">OT reviewer can take two actions to increase the likelihood of receiving complete and adequate information in all submittals. The first is to assure that the applicant is aware of resources available through the FDOT which will assist the preparation of plans and documentation which meet FDOT criteria. A list of these materials is provided in </w:t>
            </w:r>
            <w:hyperlink w:anchor="C1" w:history="1">
              <w:r w:rsidR="00173C80" w:rsidRPr="00F77AA9">
                <w:rPr>
                  <w:rStyle w:val="Hyperlink"/>
                  <w:rFonts w:cstheme="minorBidi"/>
                  <w:b/>
                  <w:spacing w:val="-2"/>
                </w:rPr>
                <w:t>DRI Pre-Application Checklist</w:t>
              </w:r>
            </w:hyperlink>
            <w:r w:rsidRPr="00F77AA9">
              <w:rPr>
                <w:rFonts w:cs="Arial"/>
                <w:b/>
                <w:spacing w:val="-2"/>
              </w:rPr>
              <w:t>.</w:t>
            </w:r>
            <w:r w:rsidRPr="00F77AA9">
              <w:rPr>
                <w:spacing w:val="-2"/>
              </w:rPr>
              <w:t xml:space="preserve"> The second action is to make copies of the FDOT’s review checklists (</w:t>
            </w:r>
            <w:r w:rsidR="00173C80" w:rsidRPr="00F77AA9">
              <w:rPr>
                <w:spacing w:val="-2"/>
              </w:rPr>
              <w:t>1-7</w:t>
            </w:r>
            <w:r w:rsidRPr="00F77AA9">
              <w:rPr>
                <w:spacing w:val="-2"/>
              </w:rPr>
              <w:t>) available to potential applicants and other reviewing agencies. This will clarify for all parties involved the general issues which the FDOT will bring to the table when performing a review.</w:t>
            </w:r>
          </w:p>
        </w:tc>
      </w:tr>
      <w:tr w:rsidR="00225952" w:rsidRPr="00E84AE9" w:rsidTr="00784F8A">
        <w:tc>
          <w:tcPr>
            <w:tcW w:w="2429" w:type="dxa"/>
          </w:tcPr>
          <w:p w:rsidR="00225952" w:rsidRPr="00803378" w:rsidRDefault="00225952" w:rsidP="00225952">
            <w:pPr>
              <w:rPr>
                <w:rFonts w:ascii="Times New Roman" w:hAnsi="Times New Roman"/>
                <w:sz w:val="24"/>
                <w:szCs w:val="24"/>
              </w:rPr>
            </w:pPr>
          </w:p>
        </w:tc>
        <w:tc>
          <w:tcPr>
            <w:tcW w:w="7922" w:type="dxa"/>
          </w:tcPr>
          <w:p w:rsidR="00225952" w:rsidRPr="003F1BEB" w:rsidRDefault="00225952" w:rsidP="00225952">
            <w:pPr>
              <w:rPr>
                <w:rFonts w:ascii="Times New Roman" w:hAnsi="Times New Roman"/>
                <w:sz w:val="24"/>
                <w:szCs w:val="24"/>
              </w:rPr>
            </w:pPr>
            <w:r w:rsidRPr="003F1BEB">
              <w:t xml:space="preserve">The applicant is required to revise the transportation methodology per discussions during the Transportation Methodology Meeting and comments received shortly after the meeting. The </w:t>
            </w:r>
            <w:r>
              <w:t xml:space="preserve">FDOT reviewer </w:t>
            </w:r>
            <w:r w:rsidRPr="003F1BEB">
              <w:t xml:space="preserve">should clearly document any issues that have not been resolved during the methodology development process and present the issues to the applicant and to the RPC. The </w:t>
            </w:r>
            <w:r>
              <w:t xml:space="preserve">FDOT reviewer </w:t>
            </w:r>
            <w:r w:rsidRPr="003F1BEB">
              <w:t>should also contact the RPC to understand the process used by the RPC to officially close the methodology period. The RPC, DCA or Applicant may request that another Pre-application Meeting be conducted if the DRI-ADA is not submitted within one year of the initial Pre-application Meeting.</w:t>
            </w:r>
            <w:r w:rsidR="00F77AA9">
              <w:tab/>
            </w:r>
          </w:p>
        </w:tc>
      </w:tr>
      <w:tr w:rsidR="00225952" w:rsidRPr="00E84AE9" w:rsidTr="00784F8A">
        <w:tc>
          <w:tcPr>
            <w:tcW w:w="10351" w:type="dxa"/>
            <w:gridSpan w:val="2"/>
          </w:tcPr>
          <w:p w:rsidR="00225952" w:rsidRPr="00652B45" w:rsidRDefault="00C460EE" w:rsidP="00225952">
            <w:pPr>
              <w:pStyle w:val="Heading3"/>
            </w:pPr>
            <w:bookmarkStart w:id="248" w:name="_Toc232912623"/>
            <w:bookmarkStart w:id="249" w:name="_Toc260316447"/>
            <w:bookmarkStart w:id="250" w:name="_Toc263521852"/>
            <w:bookmarkStart w:id="251" w:name="_Toc263596020"/>
            <w:bookmarkStart w:id="252" w:name="_Toc263613594"/>
            <w:bookmarkStart w:id="253" w:name="_Toc264274149"/>
            <w:r>
              <w:t xml:space="preserve">4.2.2   </w:t>
            </w:r>
            <w:r w:rsidR="00225952" w:rsidRPr="00652B45">
              <w:t>Pre-application Conference/Transportation Methodology</w:t>
            </w:r>
            <w:bookmarkEnd w:id="248"/>
            <w:bookmarkEnd w:id="249"/>
            <w:bookmarkEnd w:id="250"/>
            <w:bookmarkEnd w:id="251"/>
            <w:bookmarkEnd w:id="252"/>
            <w:bookmarkEnd w:id="253"/>
          </w:p>
        </w:tc>
      </w:tr>
      <w:tr w:rsidR="00225952" w:rsidRPr="00E84AE9" w:rsidTr="00784F8A">
        <w:tc>
          <w:tcPr>
            <w:tcW w:w="2429" w:type="dxa"/>
          </w:tcPr>
          <w:p w:rsidR="00225952" w:rsidRPr="00652B45" w:rsidRDefault="00225952" w:rsidP="00225952">
            <w:pPr>
              <w:pStyle w:val="Heading4"/>
            </w:pPr>
            <w:r w:rsidRPr="00652B45">
              <w:t>Meeting Documentation</w:t>
            </w:r>
          </w:p>
          <w:p w:rsidR="00225952" w:rsidRPr="00652B45" w:rsidRDefault="00225952" w:rsidP="00225952">
            <w:pPr>
              <w:pStyle w:val="Heading3"/>
            </w:pPr>
          </w:p>
          <w:p w:rsidR="00225952" w:rsidRDefault="00225952" w:rsidP="00225952"/>
          <w:p w:rsidR="00225952" w:rsidRDefault="00225952" w:rsidP="00225952"/>
          <w:p w:rsidR="00225952" w:rsidRDefault="00225952" w:rsidP="00225952"/>
          <w:p w:rsidR="00225952" w:rsidRDefault="00225952" w:rsidP="00225952">
            <w:pPr>
              <w:pStyle w:val="SidebarSentence"/>
            </w:pPr>
          </w:p>
          <w:p w:rsidR="00225952" w:rsidRDefault="00225952">
            <w:pPr>
              <w:pStyle w:val="HeadSideR"/>
            </w:pPr>
            <w:r>
              <w:drawing>
                <wp:anchor distT="0" distB="0" distL="114300" distR="114300" simplePos="0" relativeHeight="251663360" behindDoc="1" locked="0" layoutInCell="1" allowOverlap="1">
                  <wp:simplePos x="0" y="0"/>
                  <wp:positionH relativeFrom="column">
                    <wp:posOffset>71755</wp:posOffset>
                  </wp:positionH>
                  <wp:positionV relativeFrom="paragraph">
                    <wp:align>bottom</wp:align>
                  </wp:positionV>
                  <wp:extent cx="1409700" cy="552450"/>
                  <wp:effectExtent l="19050" t="0" r="0" b="0"/>
                  <wp:wrapNone/>
                  <wp:docPr id="74" name="Picture 22" descr="button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uttonResource"/>
                          <pic:cNvPicPr>
                            <a:picLocks noChangeAspect="1" noChangeArrowheads="1"/>
                          </pic:cNvPicPr>
                        </pic:nvPicPr>
                        <pic:blipFill>
                          <a:blip r:embed="rId274" cstate="print"/>
                          <a:srcRect/>
                          <a:stretch>
                            <a:fillRect/>
                          </a:stretch>
                        </pic:blipFill>
                        <pic:spPr bwMode="auto">
                          <a:xfrm>
                            <a:off x="0" y="0"/>
                            <a:ext cx="1409700" cy="552450"/>
                          </a:xfrm>
                          <a:prstGeom prst="rect">
                            <a:avLst/>
                          </a:prstGeom>
                          <a:noFill/>
                          <a:ln w="9525">
                            <a:noFill/>
                            <a:miter lim="800000"/>
                            <a:headEnd/>
                            <a:tailEnd/>
                          </a:ln>
                        </pic:spPr>
                      </pic:pic>
                    </a:graphicData>
                  </a:graphic>
                </wp:anchor>
              </w:drawing>
            </w:r>
            <w:r>
              <w:t xml:space="preserve">DRI </w:t>
            </w:r>
            <w:r>
              <w:br/>
              <w:t>Checklist 1</w:t>
            </w:r>
          </w:p>
        </w:tc>
        <w:tc>
          <w:tcPr>
            <w:tcW w:w="7922" w:type="dxa"/>
          </w:tcPr>
          <w:p w:rsidR="00225952" w:rsidRDefault="00225952">
            <w:r w:rsidRPr="00E84AE9">
              <w:t xml:space="preserve">The RPC will document the findings and agreements from the Pre-application Conference and Transportation Methodology Meeting within 35 days following the </w:t>
            </w:r>
            <w:r>
              <w:t>P</w:t>
            </w:r>
            <w:r w:rsidRPr="00E84AE9">
              <w:t>re</w:t>
            </w:r>
            <w:r>
              <w:t>-</w:t>
            </w:r>
            <w:r w:rsidRPr="00E84AE9">
              <w:t xml:space="preserve">application </w:t>
            </w:r>
            <w:r>
              <w:t>C</w:t>
            </w:r>
            <w:r w:rsidRPr="00E84AE9">
              <w:t>onference. The RPC Regional Issues List and Agency Comments may include the Transportation Methodology Meeting Letter of Understanding (MLOU). The MLOU summarizes the study area and data, data collection, analysis approaches and mechanisms, data presentation and mappings, and documentation requirements agreed to by the applicant and all agencies reviewing the transportation</w:t>
            </w:r>
            <w:r>
              <w:t xml:space="preserve"> question</w:t>
            </w:r>
            <w:r w:rsidRPr="00E84AE9">
              <w:t>.</w:t>
            </w:r>
            <w:r>
              <w:t xml:space="preserve">  This documented understanding helps ensure that the review occurs in a timely fashion. </w:t>
            </w:r>
            <w:r w:rsidRPr="00E84AE9">
              <w:t xml:space="preserve">The basis for the review of the MLOU should be a combination of two sets of documentation: the </w:t>
            </w:r>
            <w:r>
              <w:t>FDOT reviewer’s</w:t>
            </w:r>
            <w:r w:rsidRPr="00E84AE9">
              <w:t xml:space="preserve"> review of the Transportation Methodology Meeting Information Submittal and the </w:t>
            </w:r>
            <w:r>
              <w:t>FDOT reviewer’s</w:t>
            </w:r>
            <w:r w:rsidRPr="00E84AE9">
              <w:t xml:space="preserve"> notes from the meeting itself</w:t>
            </w:r>
            <w:r w:rsidRPr="00CD1150">
              <w:t xml:space="preserve">. </w:t>
            </w:r>
            <w:hyperlink w:anchor="Checklist1" w:history="1">
              <w:r w:rsidRPr="00CD1150">
                <w:rPr>
                  <w:rStyle w:val="Hyperlink"/>
                </w:rPr>
                <w:t>DRI Checklist 1</w:t>
              </w:r>
            </w:hyperlink>
            <w:r>
              <w:t xml:space="preserve"> (Resource 4.5.5)</w:t>
            </w:r>
            <w:r w:rsidRPr="00CD1150">
              <w:t>,</w:t>
            </w:r>
            <w:r w:rsidRPr="00E84AE9">
              <w:t xml:space="preserve"> should be used again by the </w:t>
            </w:r>
            <w:r>
              <w:t xml:space="preserve">FDOT reviewer </w:t>
            </w:r>
            <w:r w:rsidRPr="00E84AE9">
              <w:t>during this stage of the DRI review process.</w:t>
            </w:r>
          </w:p>
        </w:tc>
      </w:tr>
      <w:tr w:rsidR="00F77AA9" w:rsidRPr="00E84AE9" w:rsidTr="00784F8A">
        <w:tc>
          <w:tcPr>
            <w:tcW w:w="2429" w:type="dxa"/>
          </w:tcPr>
          <w:p w:rsidR="00F77AA9" w:rsidRPr="00652B45" w:rsidRDefault="00F77AA9" w:rsidP="00F77AA9">
            <w:pPr>
              <w:pStyle w:val="Heading4"/>
            </w:pPr>
            <w:r w:rsidRPr="00652B45">
              <w:t>FDOT Reviewer Role</w:t>
            </w:r>
          </w:p>
          <w:p w:rsidR="00F77AA9" w:rsidRPr="00652B45" w:rsidRDefault="00F77AA9" w:rsidP="00225952">
            <w:pPr>
              <w:pStyle w:val="Heading4"/>
            </w:pPr>
          </w:p>
        </w:tc>
        <w:tc>
          <w:tcPr>
            <w:tcW w:w="7922" w:type="dxa"/>
          </w:tcPr>
          <w:p w:rsidR="00F77AA9" w:rsidRPr="00E84AE9" w:rsidRDefault="00F77AA9" w:rsidP="00F77AA9">
            <w:r w:rsidRPr="00E84AE9">
              <w:t xml:space="preserve">The </w:t>
            </w:r>
            <w:r>
              <w:t>FDOT reviewer should</w:t>
            </w:r>
            <w:r w:rsidRPr="00E84AE9">
              <w:t xml:space="preserve"> recognize that the analysis conditions, restrictions and special conditions identified in these transmittals </w:t>
            </w:r>
            <w:r>
              <w:t xml:space="preserve">are binding. If FDOT has comments that state that it does not agree with or has concerns with the MLOU, these must be submitted in writing to the RPC. This puts them on record. If these comments are not agreed to by all parties, and FDOT objects later in the process, this can give standing later with DCA. </w:t>
            </w:r>
            <w:r w:rsidRPr="00E84AE9">
              <w:t xml:space="preserve">For this reason, FDOT </w:t>
            </w:r>
            <w:r>
              <w:t>should carefully review the documents</w:t>
            </w:r>
            <w:r w:rsidRPr="00E84AE9">
              <w:t xml:space="preserve">. </w:t>
            </w:r>
          </w:p>
          <w:p w:rsidR="00F77AA9" w:rsidRDefault="00F77AA9" w:rsidP="00225952"/>
          <w:p w:rsidR="00F77AA9" w:rsidRDefault="00F77AA9" w:rsidP="00225952"/>
          <w:p w:rsidR="00F77AA9" w:rsidRDefault="00F77AA9" w:rsidP="00225952"/>
          <w:p w:rsidR="00F77AA9" w:rsidRPr="00E84AE9" w:rsidRDefault="00F77AA9" w:rsidP="00225952"/>
        </w:tc>
      </w:tr>
      <w:tr w:rsidR="00225952" w:rsidRPr="00E84AE9" w:rsidTr="00784F8A">
        <w:tc>
          <w:tcPr>
            <w:tcW w:w="2429" w:type="dxa"/>
          </w:tcPr>
          <w:p w:rsidR="00225952" w:rsidRPr="00E84AE9" w:rsidRDefault="00225952" w:rsidP="00225952">
            <w:pPr>
              <w:pStyle w:val="SidebarSentence"/>
            </w:pPr>
          </w:p>
          <w:p w:rsidR="00225952" w:rsidRDefault="00225952" w:rsidP="00225952">
            <w:pPr>
              <w:pStyle w:val="SidebarSentence"/>
            </w:pPr>
          </w:p>
          <w:p w:rsidR="00F77AA9" w:rsidRPr="00E84AE9" w:rsidRDefault="00F77AA9" w:rsidP="00225952">
            <w:pPr>
              <w:pStyle w:val="SidebarSentence"/>
            </w:pPr>
          </w:p>
          <w:p w:rsidR="00225952" w:rsidRDefault="00225952" w:rsidP="00225952">
            <w:pPr>
              <w:pStyle w:val="SidebarSentence"/>
            </w:pPr>
          </w:p>
          <w:p w:rsidR="00225952" w:rsidRDefault="00225952">
            <w:pPr>
              <w:pStyle w:val="SidebarSentence"/>
            </w:pPr>
            <w:r>
              <w:t>R</w:t>
            </w:r>
            <w:r w:rsidRPr="00E84AE9">
              <w:t xml:space="preserve">eviewing agencies may </w:t>
            </w:r>
            <w:r w:rsidRPr="00E84AE9">
              <w:rPr>
                <w:b/>
              </w:rPr>
              <w:t>NOT</w:t>
            </w:r>
            <w:r w:rsidRPr="00E84AE9">
              <w:t xml:space="preserve"> object </w:t>
            </w:r>
            <w:r>
              <w:t>a</w:t>
            </w:r>
            <w:r w:rsidRPr="00E84AE9">
              <w:t>fter</w:t>
            </w:r>
            <w:r>
              <w:t xml:space="preserve"> agreement has been reached</w:t>
            </w:r>
            <w:r w:rsidRPr="00E84AE9">
              <w:t xml:space="preserve"> </w:t>
            </w:r>
          </w:p>
        </w:tc>
        <w:tc>
          <w:tcPr>
            <w:tcW w:w="7922" w:type="dxa"/>
          </w:tcPr>
          <w:p w:rsidR="00225952" w:rsidRDefault="00225952">
            <w:r w:rsidRPr="00E84AE9">
              <w:t xml:space="preserve">The </w:t>
            </w:r>
            <w:r>
              <w:t>P</w:t>
            </w:r>
            <w:r w:rsidRPr="00E84AE9">
              <w:t>re</w:t>
            </w:r>
            <w:r>
              <w:t>-</w:t>
            </w:r>
            <w:r w:rsidRPr="00E84AE9">
              <w:t xml:space="preserve">application </w:t>
            </w:r>
            <w:r>
              <w:t>C</w:t>
            </w:r>
            <w:r w:rsidRPr="00E84AE9">
              <w:t>onference attendees and state and regional agencies involved in the DRI review process have a review time period specified by the RPC (at least 14 days) to comment, agree or disagree in writing with t</w:t>
            </w:r>
            <w:r>
              <w:t xml:space="preserve">he summary of the methodology </w:t>
            </w:r>
            <w:hyperlink r:id="rId291" w:history="1">
              <w:r w:rsidRPr="00E1511B">
                <w:rPr>
                  <w:rStyle w:val="Hyperlink"/>
                </w:rPr>
                <w:t>9J-2.021(f)</w:t>
              </w:r>
            </w:hyperlink>
            <w:r>
              <w:t xml:space="preserve">. </w:t>
            </w:r>
          </w:p>
          <w:p w:rsidR="00225952" w:rsidRDefault="00225952">
            <w:r w:rsidRPr="00E84AE9">
              <w:t xml:space="preserve">After </w:t>
            </w:r>
            <w:r>
              <w:t xml:space="preserve">and if </w:t>
            </w:r>
            <w:r w:rsidRPr="00E84AE9">
              <w:t xml:space="preserve">agreement has been reached regarding assumptions and methodologies, the reviewing agencies, including the FDOT, may </w:t>
            </w:r>
            <w:r w:rsidRPr="00E84AE9">
              <w:rPr>
                <w:b/>
                <w:bCs/>
              </w:rPr>
              <w:t>NOT</w:t>
            </w:r>
            <w:r w:rsidRPr="00E84AE9">
              <w:t xml:space="preserve"> subsequently object, unless changes to the project or information occur which make said assumptions and methodologies inappropriate (</w:t>
            </w:r>
            <w:hyperlink r:id="rId292" w:history="1">
              <w:r w:rsidRPr="00700AE9">
                <w:rPr>
                  <w:rStyle w:val="Hyperlink"/>
                </w:rPr>
                <w:t>9J-2.021(f), FAC</w:t>
              </w:r>
            </w:hyperlink>
            <w:r w:rsidRPr="00E84AE9">
              <w:t xml:space="preserve"> and </w:t>
            </w:r>
            <w:hyperlink r:id="rId293" w:history="1">
              <w:r w:rsidRPr="00700AE9">
                <w:rPr>
                  <w:rStyle w:val="Hyperlink"/>
                </w:rPr>
                <w:t>9J-2.045(3)(e), FAC</w:t>
              </w:r>
            </w:hyperlink>
            <w:r w:rsidRPr="00E84AE9">
              <w:t>).</w:t>
            </w:r>
          </w:p>
        </w:tc>
      </w:tr>
      <w:tr w:rsidR="00225952" w:rsidRPr="00652B45" w:rsidTr="00784F8A">
        <w:tc>
          <w:tcPr>
            <w:tcW w:w="10351" w:type="dxa"/>
            <w:gridSpan w:val="2"/>
          </w:tcPr>
          <w:p w:rsidR="00225952" w:rsidRPr="00652B45" w:rsidRDefault="00C460EE" w:rsidP="00225952">
            <w:pPr>
              <w:pStyle w:val="Heading3"/>
            </w:pPr>
            <w:bookmarkStart w:id="254" w:name="_Toc260316448"/>
            <w:bookmarkStart w:id="255" w:name="_Toc264274150"/>
            <w:r>
              <w:t>4.2.3</w:t>
            </w:r>
            <w:r w:rsidR="00225952">
              <w:t xml:space="preserve">   </w:t>
            </w:r>
            <w:r w:rsidR="00225952" w:rsidRPr="00652B45">
              <w:t>Application for Development Approval (ADA) Process</w:t>
            </w:r>
            <w:bookmarkEnd w:id="254"/>
            <w:bookmarkEnd w:id="255"/>
          </w:p>
        </w:tc>
      </w:tr>
      <w:tr w:rsidR="00DB6AE5" w:rsidRPr="00E84AE9" w:rsidTr="00784F8A">
        <w:tc>
          <w:tcPr>
            <w:tcW w:w="2429" w:type="dxa"/>
            <w:vMerge w:val="restart"/>
          </w:tcPr>
          <w:p w:rsidR="00DB6AE5" w:rsidRDefault="00DB6AE5" w:rsidP="00225952">
            <w:pPr>
              <w:pStyle w:val="SidebarSentence"/>
            </w:pPr>
          </w:p>
          <w:p w:rsidR="00DB6AE5" w:rsidRDefault="00DB6AE5" w:rsidP="00225952">
            <w:pPr>
              <w:pStyle w:val="SidebarSentence"/>
            </w:pPr>
          </w:p>
          <w:p w:rsidR="00DB6AE5" w:rsidRDefault="00DB6AE5" w:rsidP="00225952">
            <w:pPr>
              <w:pStyle w:val="SidebarSentence"/>
            </w:pPr>
          </w:p>
          <w:p w:rsidR="00DB6AE5" w:rsidRDefault="00DB6AE5" w:rsidP="00225952">
            <w:pPr>
              <w:pStyle w:val="SidebarSentence"/>
            </w:pPr>
            <w:r w:rsidRPr="00E84AE9">
              <w:t xml:space="preserve">The RPC may </w:t>
            </w:r>
            <w:r w:rsidRPr="00E84AE9">
              <w:br/>
              <w:t>request additional information no more than twice</w:t>
            </w:r>
          </w:p>
          <w:p w:rsidR="00DB6AE5" w:rsidRDefault="00DB6AE5" w:rsidP="00225952">
            <w:pPr>
              <w:pStyle w:val="SidebarSentence"/>
            </w:pPr>
          </w:p>
          <w:p w:rsidR="00DB6AE5" w:rsidRDefault="00DB6AE5" w:rsidP="00225952">
            <w:pPr>
              <w:pStyle w:val="SidebarSentence"/>
            </w:pPr>
          </w:p>
          <w:p w:rsidR="00DB6AE5" w:rsidRDefault="00DB6AE5" w:rsidP="00225952">
            <w:pPr>
              <w:pStyle w:val="SidebarSentence"/>
            </w:pPr>
          </w:p>
          <w:p w:rsidR="00DB6AE5" w:rsidRDefault="00DB6AE5" w:rsidP="00225952">
            <w:pPr>
              <w:pStyle w:val="SidebarSentence"/>
            </w:pPr>
          </w:p>
          <w:p w:rsidR="00DB6AE5" w:rsidRDefault="00DB6AE5" w:rsidP="00225952">
            <w:pPr>
              <w:pStyle w:val="SidebarSentence"/>
            </w:pPr>
          </w:p>
          <w:p w:rsidR="00DB6AE5" w:rsidRDefault="00DB6AE5" w:rsidP="00225952">
            <w:pPr>
              <w:pStyle w:val="SidebarSentence"/>
            </w:pPr>
            <w:r>
              <w:t>County must receive LGCP Amendment prior to or concurrent with developer filing ADA</w:t>
            </w:r>
          </w:p>
          <w:p w:rsidR="00DB6AE5" w:rsidRDefault="00DB6AE5" w:rsidP="00225952">
            <w:pPr>
              <w:pStyle w:val="SidebarSentence"/>
            </w:pPr>
          </w:p>
          <w:p w:rsidR="00BF2A16" w:rsidRDefault="00BF2A16" w:rsidP="00225952">
            <w:pPr>
              <w:pStyle w:val="SidebarSentence"/>
            </w:pPr>
          </w:p>
          <w:p w:rsidR="00DB6AE5" w:rsidRPr="00652B45" w:rsidRDefault="00DB6AE5" w:rsidP="00784F8A">
            <w:pPr>
              <w:pStyle w:val="ExhibitTitle"/>
            </w:pPr>
          </w:p>
        </w:tc>
        <w:tc>
          <w:tcPr>
            <w:tcW w:w="7922" w:type="dxa"/>
          </w:tcPr>
          <w:p w:rsidR="00DB6AE5" w:rsidRPr="00E84AE9" w:rsidRDefault="00DB6AE5" w:rsidP="00225952">
            <w:r w:rsidRPr="00E84AE9">
              <w:t>The Application for Development Approval (ADA) process is where the applicant provides review agencies with the information needed to make a sufficiency determination. After reviewing the submittal, the agency can either determine that the submittal is sufficient (no additional information is needed) or</w:t>
            </w:r>
            <w:r>
              <w:t xml:space="preserve"> request additional information</w:t>
            </w:r>
            <w:r w:rsidRPr="00E84AE9">
              <w:t xml:space="preserve"> </w:t>
            </w:r>
            <w:hyperlink r:id="rId294" w:history="1">
              <w:r w:rsidRPr="00B25192">
                <w:rPr>
                  <w:rStyle w:val="Hyperlink"/>
                </w:rPr>
                <w:t>Rule 9J-2.022</w:t>
              </w:r>
            </w:hyperlink>
            <w:r>
              <w:t>.</w:t>
            </w:r>
          </w:p>
        </w:tc>
      </w:tr>
      <w:tr w:rsidR="00DB6AE5" w:rsidRPr="00E84AE9" w:rsidTr="00784F8A">
        <w:tc>
          <w:tcPr>
            <w:tcW w:w="2429" w:type="dxa"/>
            <w:vMerge/>
          </w:tcPr>
          <w:p w:rsidR="00DB6AE5" w:rsidRPr="006B265B" w:rsidRDefault="00DB6AE5" w:rsidP="00784F8A">
            <w:pPr>
              <w:pStyle w:val="ExhibitTitle"/>
              <w:rPr>
                <w:rStyle w:val="SubtleEmphasis"/>
                <w:i w:val="0"/>
                <w:iCs w:val="0"/>
              </w:rPr>
            </w:pPr>
          </w:p>
        </w:tc>
        <w:tc>
          <w:tcPr>
            <w:tcW w:w="7922" w:type="dxa"/>
          </w:tcPr>
          <w:p w:rsidR="00DB6AE5" w:rsidRPr="00E84AE9" w:rsidRDefault="00DB6AE5" w:rsidP="00225952">
            <w:r w:rsidRPr="00E84AE9">
              <w:t xml:space="preserve">The RPC may request additional information </w:t>
            </w:r>
            <w:r>
              <w:t xml:space="preserve">on behalf of reviewing agencies </w:t>
            </w:r>
            <w:r w:rsidRPr="00E84AE9">
              <w:t>no more than twice, unless an applicant waives this limitation (</w:t>
            </w:r>
            <w:hyperlink r:id="rId295" w:history="1">
              <w:r w:rsidRPr="009418FF">
                <w:rPr>
                  <w:rStyle w:val="Hyperlink"/>
                </w:rPr>
                <w:t>380.06(10), FS</w:t>
              </w:r>
            </w:hyperlink>
            <w:r w:rsidRPr="00E84AE9">
              <w:t xml:space="preserve">). Agency requests are in the form of comments on the </w:t>
            </w:r>
            <w:smartTag w:uri="urn:schemas-microsoft-com:office:smarttags" w:element="place">
              <w:smartTag w:uri="urn:schemas-microsoft-com:office:smarttags" w:element="City">
                <w:r w:rsidRPr="00E84AE9">
                  <w:t>ADA</w:t>
                </w:r>
              </w:smartTag>
            </w:smartTag>
            <w:r w:rsidRPr="00E84AE9">
              <w:t xml:space="preserve"> submittal (1</w:t>
            </w:r>
            <w:r w:rsidRPr="00E84AE9">
              <w:rPr>
                <w:vertAlign w:val="superscript"/>
              </w:rPr>
              <w:t>st</w:t>
            </w:r>
            <w:r w:rsidRPr="00E84AE9">
              <w:t xml:space="preserve"> Request for Additional Information) and comments on the applicant’s first response to agency comments (2</w:t>
            </w:r>
            <w:r w:rsidRPr="00E84AE9">
              <w:rPr>
                <w:vertAlign w:val="superscript"/>
              </w:rPr>
              <w:t>nd</w:t>
            </w:r>
            <w:r w:rsidRPr="00E84AE9">
              <w:t xml:space="preserve"> Request for Additional Information). While later coordination between the applicant and agencies is often needed and often occurs, every effort should be made to resolve issues during the required review process. </w:t>
            </w:r>
          </w:p>
          <w:p w:rsidR="00DB6AE5" w:rsidRDefault="00DB6AE5">
            <w:r w:rsidRPr="00E84AE9">
              <w:t xml:space="preserve">However, new information submitted by the applicant in the form of an amended or revised </w:t>
            </w:r>
            <w:smartTag w:uri="urn:schemas-microsoft-com:office:smarttags" w:element="place">
              <w:smartTag w:uri="urn:schemas-microsoft-com:office:smarttags" w:element="City">
                <w:r w:rsidRPr="00E84AE9">
                  <w:t>ADA</w:t>
                </w:r>
              </w:smartTag>
            </w:smartTag>
            <w:r w:rsidRPr="00E84AE9">
              <w:t xml:space="preserve"> is normally reviewed and commented upon by the reviewing agencies after the first DRI-ADA submittal.</w:t>
            </w:r>
          </w:p>
          <w:p w:rsidR="00DB6AE5" w:rsidRDefault="00DB6AE5" w:rsidP="00784F8A">
            <w:pPr>
              <w:rPr>
                <w:b/>
                <w:bCs/>
                <w:u w:val="single"/>
              </w:rPr>
            </w:pPr>
            <w:r w:rsidRPr="00E84AE9">
              <w:t>In addition, DRI-LGCP amendments are normally initiated at this point to ensure consistency with the proposed DRI</w:t>
            </w:r>
            <w:r>
              <w:t xml:space="preserve"> </w:t>
            </w:r>
            <w:r w:rsidRPr="00E84AE9">
              <w:t>(</w:t>
            </w:r>
            <w:hyperlink r:id="rId296" w:history="1">
              <w:r>
                <w:rPr>
                  <w:rStyle w:val="Hyperlink"/>
                </w:rPr>
                <w:t>380.06(6</w:t>
              </w:r>
              <w:r w:rsidRPr="009418FF">
                <w:rPr>
                  <w:rStyle w:val="Hyperlink"/>
                </w:rPr>
                <w:t>), FS</w:t>
              </w:r>
            </w:hyperlink>
            <w:r w:rsidRPr="00E84AE9">
              <w:t>).</w:t>
            </w:r>
            <w:r>
              <w:t xml:space="preserve"> Detailed information about the review requirements for LGCP amendments is found in Chapter 2.</w:t>
            </w:r>
            <w:r w:rsidR="002274C7">
              <w:t xml:space="preserve"> </w:t>
            </w:r>
            <w:r>
              <w:t xml:space="preserve">Exhibit 26 displays a chart showing the concurrent review and processing of the DRI and LGCP. Note that </w:t>
            </w:r>
            <w:hyperlink r:id="rId297" w:history="1">
              <w:r>
                <w:rPr>
                  <w:rStyle w:val="Hyperlink"/>
                </w:rPr>
                <w:t>380.06(6</w:t>
              </w:r>
              <w:r w:rsidRPr="009418FF">
                <w:rPr>
                  <w:rStyle w:val="Hyperlink"/>
                </w:rPr>
                <w:t>)</w:t>
              </w:r>
              <w:r>
                <w:rPr>
                  <w:rStyle w:val="Hyperlink"/>
                </w:rPr>
                <w:t>(b)6</w:t>
              </w:r>
              <w:r w:rsidRPr="009418FF">
                <w:rPr>
                  <w:rStyle w:val="Hyperlink"/>
                </w:rPr>
                <w:t>, FS</w:t>
              </w:r>
            </w:hyperlink>
            <w:r>
              <w:t xml:space="preserve"> requires the to county conduct a public hearing for both processes at the same time.</w:t>
            </w:r>
          </w:p>
        </w:tc>
      </w:tr>
      <w:tr w:rsidR="00F77AA9" w:rsidRPr="00E84AE9" w:rsidTr="00784F8A">
        <w:tc>
          <w:tcPr>
            <w:tcW w:w="2429" w:type="dxa"/>
          </w:tcPr>
          <w:p w:rsidR="00F77AA9" w:rsidRDefault="00F77AA9" w:rsidP="00F77AA9">
            <w:pPr>
              <w:pStyle w:val="Exhibit"/>
            </w:pPr>
            <w:r>
              <w:t>Exhibit 26</w:t>
            </w:r>
          </w:p>
          <w:p w:rsidR="00F77AA9" w:rsidRDefault="00F77AA9" w:rsidP="00F77AA9">
            <w:pPr>
              <w:pStyle w:val="ExhibitTitle"/>
            </w:pPr>
            <w:r>
              <w:t>DRI Process</w:t>
            </w:r>
          </w:p>
          <w:p w:rsidR="00F77AA9" w:rsidRPr="00F77AA9" w:rsidRDefault="00F77AA9" w:rsidP="00F77AA9">
            <w:pPr>
              <w:pStyle w:val="ExhibitTitle"/>
              <w:rPr>
                <w:rStyle w:val="SubtleEmphasis"/>
                <w:b w:val="0"/>
                <w:i w:val="0"/>
                <w:iCs w:val="0"/>
              </w:rPr>
            </w:pPr>
            <w:r w:rsidRPr="00F77AA9">
              <w:rPr>
                <w:b w:val="0"/>
                <w:sz w:val="20"/>
              </w:rPr>
              <w:t>(next page)</w:t>
            </w:r>
          </w:p>
        </w:tc>
        <w:tc>
          <w:tcPr>
            <w:tcW w:w="7922" w:type="dxa"/>
          </w:tcPr>
          <w:p w:rsidR="00F77AA9" w:rsidRPr="00E84AE9" w:rsidRDefault="00F77AA9" w:rsidP="00225952"/>
        </w:tc>
      </w:tr>
      <w:tr w:rsidR="00225952" w:rsidRPr="00E84AE9" w:rsidTr="00784F8A">
        <w:tc>
          <w:tcPr>
            <w:tcW w:w="10351" w:type="dxa"/>
            <w:gridSpan w:val="2"/>
          </w:tcPr>
          <w:p w:rsidR="00225952" w:rsidRPr="00E84AE9" w:rsidRDefault="00225952" w:rsidP="00225952">
            <w:r>
              <w:rPr>
                <w:noProof/>
              </w:rPr>
              <w:lastRenderedPageBreak/>
              <w:drawing>
                <wp:inline distT="0" distB="0" distL="0" distR="0">
                  <wp:extent cx="6498590" cy="4680585"/>
                  <wp:effectExtent l="19050" t="0" r="0" b="0"/>
                  <wp:docPr id="76" name="Picture 10" descr="DRIReview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RIReviewPlay"/>
                          <pic:cNvPicPr>
                            <a:picLocks noChangeAspect="1" noChangeArrowheads="1"/>
                          </pic:cNvPicPr>
                        </pic:nvPicPr>
                        <pic:blipFill>
                          <a:blip r:embed="rId298" cstate="print"/>
                          <a:srcRect/>
                          <a:stretch>
                            <a:fillRect/>
                          </a:stretch>
                        </pic:blipFill>
                        <pic:spPr bwMode="auto">
                          <a:xfrm>
                            <a:off x="0" y="0"/>
                            <a:ext cx="6498590" cy="4680585"/>
                          </a:xfrm>
                          <a:prstGeom prst="rect">
                            <a:avLst/>
                          </a:prstGeom>
                          <a:noFill/>
                          <a:ln w="9525">
                            <a:noFill/>
                            <a:miter lim="800000"/>
                            <a:headEnd/>
                            <a:tailEnd/>
                          </a:ln>
                        </pic:spPr>
                      </pic:pic>
                    </a:graphicData>
                  </a:graphic>
                </wp:inline>
              </w:drawing>
            </w:r>
          </w:p>
        </w:tc>
      </w:tr>
      <w:tr w:rsidR="00225952" w:rsidRPr="00E84AE9" w:rsidTr="00784F8A">
        <w:tc>
          <w:tcPr>
            <w:tcW w:w="2429" w:type="dxa"/>
          </w:tcPr>
          <w:p w:rsidR="00225952" w:rsidRPr="006B265B" w:rsidRDefault="00225952" w:rsidP="00225952">
            <w:pPr>
              <w:pStyle w:val="SidebarSentence"/>
              <w:rPr>
                <w:rStyle w:val="SubtleEmphasis"/>
                <w:i/>
                <w:iCs w:val="0"/>
              </w:rPr>
            </w:pPr>
          </w:p>
        </w:tc>
        <w:tc>
          <w:tcPr>
            <w:tcW w:w="7922" w:type="dxa"/>
          </w:tcPr>
          <w:p w:rsidR="00225952" w:rsidRDefault="00225952">
            <w:pPr>
              <w:spacing w:after="240"/>
            </w:pPr>
            <w:r w:rsidRPr="00E84AE9">
              <w:t>The RPCs have the responsibility to coordinate with all affected agencies with regard to both the notification and coordination of review</w:t>
            </w:r>
            <w:r>
              <w:t xml:space="preserve">. </w:t>
            </w:r>
            <w:r w:rsidRPr="00E84AE9">
              <w:t>This coordination requires FDOT comments/interests to be weighed against concerns of other agencies that may conflict with the interests of the FDOT</w:t>
            </w:r>
            <w:r>
              <w:t>. If this occurs the FDOT reviewer should work with the staff of partner agencies to reach a decision that is best for all parties involved. Even still, i</w:t>
            </w:r>
            <w:r w:rsidRPr="00E84AE9">
              <w:t xml:space="preserve">n such instances the RPC may carry forward a position which does not support the FDOT’s conclusions. </w:t>
            </w:r>
          </w:p>
        </w:tc>
      </w:tr>
    </w:tbl>
    <w:p w:rsidR="00F77AA9" w:rsidRDefault="00F77AA9">
      <w:bookmarkStart w:id="256" w:name="_Toc232912625"/>
      <w:bookmarkStart w:id="257" w:name="_Toc260316449"/>
      <w:bookmarkStart w:id="258" w:name="_Toc264274151"/>
      <w:r>
        <w:rPr>
          <w:b/>
          <w:bCs/>
        </w:rPr>
        <w:br w:type="page"/>
      </w:r>
    </w:p>
    <w:tbl>
      <w:tblPr>
        <w:tblW w:w="10351" w:type="dxa"/>
        <w:tblInd w:w="115" w:type="dxa"/>
        <w:tblLayout w:type="fixed"/>
        <w:tblCellMar>
          <w:left w:w="115" w:type="dxa"/>
          <w:right w:w="115" w:type="dxa"/>
        </w:tblCellMar>
        <w:tblLook w:val="0000"/>
      </w:tblPr>
      <w:tblGrid>
        <w:gridCol w:w="2429"/>
        <w:gridCol w:w="7922"/>
      </w:tblGrid>
      <w:tr w:rsidR="00225952" w:rsidRPr="00E84AE9" w:rsidTr="00784F8A">
        <w:tc>
          <w:tcPr>
            <w:tcW w:w="10351" w:type="dxa"/>
            <w:gridSpan w:val="2"/>
          </w:tcPr>
          <w:p w:rsidR="00225952" w:rsidRDefault="00225952" w:rsidP="00C460EE">
            <w:pPr>
              <w:pStyle w:val="Heading3"/>
            </w:pPr>
            <w:r>
              <w:lastRenderedPageBreak/>
              <w:t>4.2.</w:t>
            </w:r>
            <w:r w:rsidR="00C460EE">
              <w:t>4</w:t>
            </w:r>
            <w:r>
              <w:t xml:space="preserve">   </w:t>
            </w:r>
            <w:r w:rsidRPr="00652B45">
              <w:t>ADA Review/</w:t>
            </w:r>
            <w:r w:rsidR="008F6B1A">
              <w:br/>
            </w:r>
            <w:r w:rsidRPr="00652B45">
              <w:t>1</w:t>
            </w:r>
            <w:r w:rsidRPr="00652B45">
              <w:rPr>
                <w:vertAlign w:val="superscript"/>
              </w:rPr>
              <w:t>st</w:t>
            </w:r>
            <w:r w:rsidRPr="00652B45">
              <w:t xml:space="preserve"> Sufficiency Determination/1</w:t>
            </w:r>
            <w:r w:rsidRPr="00652B45">
              <w:rPr>
                <w:vertAlign w:val="superscript"/>
              </w:rPr>
              <w:t>st</w:t>
            </w:r>
            <w:r w:rsidRPr="00652B45">
              <w:t xml:space="preserve"> Request for Additional Information</w:t>
            </w:r>
            <w:bookmarkEnd w:id="256"/>
            <w:bookmarkEnd w:id="257"/>
            <w:bookmarkEnd w:id="258"/>
          </w:p>
        </w:tc>
      </w:tr>
      <w:tr w:rsidR="00225952" w:rsidRPr="00E84AE9" w:rsidTr="00784F8A">
        <w:tc>
          <w:tcPr>
            <w:tcW w:w="2429" w:type="dxa"/>
          </w:tcPr>
          <w:p w:rsidR="00225952" w:rsidRPr="00E84AE9" w:rsidRDefault="00225952" w:rsidP="00225952">
            <w:pPr>
              <w:pStyle w:val="Heading4"/>
              <w:rPr>
                <w:rStyle w:val="SubtleEmphasis"/>
                <w:i w:val="0"/>
                <w:iCs w:val="0"/>
                <w:color w:val="auto"/>
              </w:rPr>
            </w:pPr>
            <w:r w:rsidRPr="00652B45">
              <w:t>Applicant Requirements</w:t>
            </w:r>
          </w:p>
        </w:tc>
        <w:tc>
          <w:tcPr>
            <w:tcW w:w="7922" w:type="dxa"/>
          </w:tcPr>
          <w:p w:rsidR="00225952" w:rsidRDefault="00225952">
            <w:r w:rsidRPr="00E84AE9">
              <w:t xml:space="preserve">The applicant completes the </w:t>
            </w:r>
            <w:smartTag w:uri="urn:schemas-microsoft-com:office:smarttags" w:element="place">
              <w:smartTag w:uri="urn:schemas-microsoft-com:office:smarttags" w:element="City">
                <w:r w:rsidRPr="00E84AE9">
                  <w:t>ADA</w:t>
                </w:r>
              </w:smartTag>
            </w:smartTag>
            <w:r w:rsidRPr="00E84AE9">
              <w:t xml:space="preserve"> in accordance with the requirements agreed to during the Pre-application Conference.</w:t>
            </w:r>
            <w:r>
              <w:t xml:space="preserve"> </w:t>
            </w:r>
            <w:r w:rsidRPr="00E84AE9">
              <w:t xml:space="preserve">The </w:t>
            </w:r>
            <w:smartTag w:uri="urn:schemas-microsoft-com:office:smarttags" w:element="place">
              <w:smartTag w:uri="urn:schemas-microsoft-com:office:smarttags" w:element="City">
                <w:r w:rsidRPr="00E84AE9">
                  <w:t>ADA</w:t>
                </w:r>
              </w:smartTag>
            </w:smartTag>
            <w:r w:rsidRPr="00E84AE9">
              <w:t xml:space="preserve"> is then submitted to the RPC for distribution and review </w:t>
            </w:r>
            <w:r>
              <w:t>by</w:t>
            </w:r>
            <w:r w:rsidRPr="00E84AE9">
              <w:t xml:space="preserve"> the </w:t>
            </w:r>
            <w:r>
              <w:t xml:space="preserve">reviewing </w:t>
            </w:r>
            <w:r w:rsidRPr="00E84AE9">
              <w:t>agencies including the FDOT.</w:t>
            </w:r>
          </w:p>
        </w:tc>
      </w:tr>
      <w:tr w:rsidR="00225952" w:rsidRPr="00E84AE9" w:rsidTr="00784F8A">
        <w:tc>
          <w:tcPr>
            <w:tcW w:w="2429" w:type="dxa"/>
          </w:tcPr>
          <w:p w:rsidR="00225952" w:rsidRPr="00652B45" w:rsidRDefault="00225952" w:rsidP="00225952">
            <w:pPr>
              <w:pStyle w:val="Heading4"/>
            </w:pPr>
            <w:r w:rsidRPr="00652B45">
              <w:t>Sufficiency Determination</w:t>
            </w:r>
          </w:p>
          <w:p w:rsidR="00225952" w:rsidRPr="00E84AE9" w:rsidRDefault="00225952" w:rsidP="00225952">
            <w:pPr>
              <w:pStyle w:val="SidebarSentence"/>
            </w:pPr>
          </w:p>
          <w:p w:rsidR="00225952" w:rsidRPr="00E84AE9" w:rsidRDefault="00225952" w:rsidP="00225952">
            <w:pPr>
              <w:pStyle w:val="SidebarSentence"/>
            </w:pPr>
            <w:r w:rsidRPr="00E84AE9">
              <w:t>Sufficiency can either be declared by an applicant or by the reviewing agencies</w:t>
            </w:r>
          </w:p>
          <w:p w:rsidR="00225952" w:rsidRPr="00E84AE9" w:rsidRDefault="00225952" w:rsidP="00225952"/>
        </w:tc>
        <w:tc>
          <w:tcPr>
            <w:tcW w:w="7922" w:type="dxa"/>
          </w:tcPr>
          <w:p w:rsidR="00225952" w:rsidRDefault="00225952">
            <w:pPr>
              <w:spacing w:after="120"/>
            </w:pPr>
            <w:r w:rsidRPr="00E84AE9">
              <w:t>Sufficiency is the determination that the applicant has supplied all of the necessary information in order to assess the development's regional impacts. Sufficiency can either be declared by an applicant (after responding to two requests for additional information by the RPC) or by the reviewing agencies. Local government staff</w:t>
            </w:r>
            <w:r>
              <w:t xml:space="preserve"> members </w:t>
            </w:r>
            <w:r w:rsidRPr="00E84AE9">
              <w:t xml:space="preserve">are notified by RPC to set a public hearing date </w:t>
            </w:r>
            <w:r>
              <w:t>once</w:t>
            </w:r>
            <w:r w:rsidRPr="00E84AE9">
              <w:t xml:space="preserve"> sufficiency has been declared. The sufficiency review process is intended to yield agreement on the following main points among the RPC, all other agencies, including the FDOT, and the applicant:</w:t>
            </w:r>
          </w:p>
          <w:p w:rsidR="00225952" w:rsidRPr="008367DD" w:rsidRDefault="00225952" w:rsidP="00AD2D7A">
            <w:pPr>
              <w:pStyle w:val="BulletA"/>
              <w:numPr>
                <w:ilvl w:val="0"/>
                <w:numId w:val="124"/>
              </w:numPr>
            </w:pPr>
            <w:r w:rsidRPr="003A59AA">
              <w:t>Projected impacts of the proposed DRI development</w:t>
            </w:r>
          </w:p>
          <w:p w:rsidR="00225952" w:rsidRPr="008367DD" w:rsidRDefault="00225952" w:rsidP="00AD2D7A">
            <w:pPr>
              <w:pStyle w:val="BulletA"/>
              <w:numPr>
                <w:ilvl w:val="0"/>
                <w:numId w:val="124"/>
              </w:numPr>
            </w:pPr>
            <w:r w:rsidRPr="003A59AA">
              <w:t>Cost of necessary improvements</w:t>
            </w:r>
          </w:p>
          <w:p w:rsidR="00225952" w:rsidRDefault="00225952" w:rsidP="00AD2D7A">
            <w:pPr>
              <w:pStyle w:val="BulletA"/>
              <w:numPr>
                <w:ilvl w:val="0"/>
                <w:numId w:val="124"/>
              </w:numPr>
            </w:pPr>
            <w:r w:rsidRPr="003A59AA">
              <w:t>Mitigation plan detailing allocation and timing of mitigation funds</w:t>
            </w:r>
          </w:p>
        </w:tc>
      </w:tr>
      <w:tr w:rsidR="00225952" w:rsidRPr="00E84AE9" w:rsidTr="00784F8A">
        <w:tc>
          <w:tcPr>
            <w:tcW w:w="2429" w:type="dxa"/>
          </w:tcPr>
          <w:p w:rsidR="00225952" w:rsidRPr="006B265B" w:rsidRDefault="00225952" w:rsidP="00225952">
            <w:pPr>
              <w:pStyle w:val="SidebarSentence"/>
              <w:rPr>
                <w:rStyle w:val="SubtleEmphasis"/>
                <w:i/>
                <w:iCs w:val="0"/>
              </w:rPr>
            </w:pPr>
          </w:p>
        </w:tc>
        <w:tc>
          <w:tcPr>
            <w:tcW w:w="7922" w:type="dxa"/>
          </w:tcPr>
          <w:p w:rsidR="00225952" w:rsidRDefault="00225952">
            <w:r w:rsidRPr="00E84AE9">
              <w:t xml:space="preserve">When sufficiency is determined by the applicant, the </w:t>
            </w:r>
            <w:r>
              <w:t xml:space="preserve">FDOT reviewer </w:t>
            </w:r>
            <w:r w:rsidRPr="00E84AE9">
              <w:t xml:space="preserve">needs to coordinate with other agencies to make sure that all transportation issues have been resolved. If outstanding issues still exist, the </w:t>
            </w:r>
            <w:r>
              <w:t>FDOT reviewer,</w:t>
            </w:r>
            <w:r w:rsidRPr="00E84AE9">
              <w:t xml:space="preserve"> often through the RPC, should contact the applicant about whether additional information will be provided by the applicant so that issues can be resolved prior to the RPC Hearing.</w:t>
            </w:r>
          </w:p>
        </w:tc>
      </w:tr>
      <w:tr w:rsidR="00225952" w:rsidRPr="00E84AE9" w:rsidTr="00784F8A">
        <w:tc>
          <w:tcPr>
            <w:tcW w:w="2429" w:type="dxa"/>
          </w:tcPr>
          <w:p w:rsidR="00225952" w:rsidRPr="00E84AE9" w:rsidRDefault="00225952" w:rsidP="00225952">
            <w:pPr>
              <w:pStyle w:val="Heading4"/>
              <w:rPr>
                <w:rStyle w:val="SubtleEmphasis"/>
                <w:i w:val="0"/>
                <w:iCs w:val="0"/>
                <w:color w:val="auto"/>
              </w:rPr>
            </w:pPr>
            <w:r w:rsidRPr="00652B45">
              <w:t>FDOT Reviewer Role</w:t>
            </w:r>
          </w:p>
        </w:tc>
        <w:tc>
          <w:tcPr>
            <w:tcW w:w="7922" w:type="dxa"/>
          </w:tcPr>
          <w:p w:rsidR="00225952" w:rsidRDefault="00225952" w:rsidP="008F6B1A">
            <w:pPr>
              <w:spacing w:after="60"/>
            </w:pPr>
            <w:r w:rsidRPr="00E84AE9">
              <w:t xml:space="preserve">The </w:t>
            </w:r>
            <w:r>
              <w:t xml:space="preserve">FDOT reviewer </w:t>
            </w:r>
            <w:r w:rsidRPr="00E84AE9">
              <w:t xml:space="preserve">’s responsibility upon receipt of a </w:t>
            </w:r>
            <w:smartTag w:uri="urn:schemas-microsoft-com:office:smarttags" w:element="place">
              <w:smartTag w:uri="urn:schemas-microsoft-com:office:smarttags" w:element="City">
                <w:r w:rsidRPr="00E84AE9">
                  <w:t>ADA</w:t>
                </w:r>
              </w:smartTag>
            </w:smartTag>
            <w:r w:rsidRPr="00E84AE9">
              <w:t xml:space="preserve"> is to determine whether the applicant has: </w:t>
            </w:r>
          </w:p>
          <w:p w:rsidR="00225952" w:rsidRDefault="00225952" w:rsidP="00AD2D7A">
            <w:pPr>
              <w:pStyle w:val="BulletA"/>
              <w:numPr>
                <w:ilvl w:val="0"/>
                <w:numId w:val="125"/>
              </w:numPr>
            </w:pPr>
            <w:r w:rsidRPr="003A59AA">
              <w:t>Provided a complete submittal. Due to the time constraints associated with reviews, it is very important to check that the ADA submittal contains all pages (including technical appendices) and all requested supplemental information (such as analysis and model files) for a review to be completed.</w:t>
            </w:r>
          </w:p>
          <w:p w:rsidR="00225952" w:rsidRDefault="00225952" w:rsidP="00AD2D7A">
            <w:pPr>
              <w:pStyle w:val="BulletA"/>
              <w:numPr>
                <w:ilvl w:val="0"/>
                <w:numId w:val="125"/>
              </w:numPr>
            </w:pPr>
            <w:r w:rsidRPr="003A59AA">
              <w:t xml:space="preserve">Adhered to the conditions agreed upon during the methodology process and set forth in the MLOU. </w:t>
            </w:r>
          </w:p>
          <w:p w:rsidR="00225952" w:rsidRDefault="00225952" w:rsidP="00AD2D7A">
            <w:pPr>
              <w:pStyle w:val="BulletA"/>
              <w:numPr>
                <w:ilvl w:val="0"/>
                <w:numId w:val="125"/>
              </w:numPr>
            </w:pPr>
            <w:r w:rsidRPr="003A59AA">
              <w:t xml:space="preserve">Provided sufficient detail and support documentation to enable the FDOT reviewer to adequately assess project impacts on the SIS/SHS. </w:t>
            </w:r>
            <w:r w:rsidR="008F6B1A">
              <w:br/>
            </w:r>
          </w:p>
          <w:p w:rsidR="00225952" w:rsidRDefault="00225952" w:rsidP="00AD2D7A">
            <w:pPr>
              <w:pStyle w:val="BulletA"/>
              <w:numPr>
                <w:ilvl w:val="0"/>
                <w:numId w:val="125"/>
              </w:numPr>
            </w:pPr>
            <w:r w:rsidRPr="003A59AA">
              <w:t>Proposed impact mitigation measures which adequately protect LOS on SIS/SHS/FIHS facilities</w:t>
            </w:r>
          </w:p>
          <w:p w:rsidR="00225952" w:rsidRDefault="00225952">
            <w:pPr>
              <w:pStyle w:val="SidebarHead"/>
              <w:tabs>
                <w:tab w:val="clear" w:pos="720"/>
              </w:tabs>
              <w:ind w:left="0" w:firstLine="0"/>
              <w:jc w:val="left"/>
            </w:pPr>
            <w:r w:rsidRPr="003A59AA">
              <w:rPr>
                <w:rFonts w:ascii="Calibri" w:hAnsi="Calibri"/>
                <w:sz w:val="23"/>
                <w:szCs w:val="23"/>
              </w:rPr>
              <w:t>In addition, the FDOT reviewer should include specific recommendations to resolve any outstanding issues.</w:t>
            </w:r>
          </w:p>
        </w:tc>
      </w:tr>
      <w:tr w:rsidR="00225952" w:rsidRPr="00E84AE9" w:rsidTr="00784F8A">
        <w:tc>
          <w:tcPr>
            <w:tcW w:w="2429" w:type="dxa"/>
          </w:tcPr>
          <w:p w:rsidR="00225952" w:rsidRPr="006B265B" w:rsidRDefault="00225952" w:rsidP="00225952">
            <w:pPr>
              <w:pStyle w:val="SidebarSentence"/>
              <w:rPr>
                <w:rStyle w:val="SubtleEmphasis"/>
                <w:i/>
                <w:iCs w:val="0"/>
              </w:rPr>
            </w:pPr>
            <w:r w:rsidRPr="00E84AE9">
              <w:lastRenderedPageBreak/>
              <w:t xml:space="preserve">The </w:t>
            </w:r>
            <w:smartTag w:uri="urn:schemas-microsoft-com:office:smarttags" w:element="place">
              <w:smartTag w:uri="urn:schemas-microsoft-com:office:smarttags" w:element="City">
                <w:r w:rsidRPr="00E84AE9">
                  <w:t>ADA</w:t>
                </w:r>
              </w:smartTag>
            </w:smartTag>
            <w:r w:rsidRPr="00E84AE9">
              <w:t xml:space="preserve">  review is the opportunity to communicate </w:t>
            </w:r>
            <w:r>
              <w:t>FDOT</w:t>
            </w:r>
            <w:r w:rsidRPr="00E84AE9">
              <w:t xml:space="preserve"> concerns regarding the transportation impacts caused by development</w:t>
            </w:r>
          </w:p>
        </w:tc>
        <w:tc>
          <w:tcPr>
            <w:tcW w:w="7922" w:type="dxa"/>
          </w:tcPr>
          <w:p w:rsidR="00225952" w:rsidRDefault="00225952">
            <w:r w:rsidRPr="00E84AE9">
              <w:t xml:space="preserve">The </w:t>
            </w:r>
            <w:smartTag w:uri="urn:schemas-microsoft-com:office:smarttags" w:element="place">
              <w:smartTag w:uri="urn:schemas-microsoft-com:office:smarttags" w:element="City">
                <w:r w:rsidRPr="00E84AE9">
                  <w:t>ADA</w:t>
                </w:r>
              </w:smartTag>
            </w:smartTag>
            <w:r w:rsidRPr="00E84AE9">
              <w:t xml:space="preserve"> review is the first opportunity for the </w:t>
            </w:r>
            <w:r>
              <w:t xml:space="preserve">FDOT reviewer </w:t>
            </w:r>
            <w:r w:rsidRPr="00E84AE9">
              <w:t>to conduct a thorough review of the applicant’s estimate of transportation impacts anticipated by the proposed DRI.</w:t>
            </w:r>
            <w:r>
              <w:t xml:space="preserve"> </w:t>
            </w:r>
            <w:r w:rsidRPr="00E84AE9">
              <w:t xml:space="preserve">It also constitutes the most comprehensive opportunity for the </w:t>
            </w:r>
            <w:r>
              <w:t xml:space="preserve">FDOT reviewer </w:t>
            </w:r>
            <w:r w:rsidRPr="00E84AE9">
              <w:t xml:space="preserve">to </w:t>
            </w:r>
            <w:r>
              <w:t xml:space="preserve">let </w:t>
            </w:r>
            <w:r w:rsidRPr="00E84AE9">
              <w:t xml:space="preserve">other review agencies </w:t>
            </w:r>
            <w:r>
              <w:t xml:space="preserve">know about transportation concerns. </w:t>
            </w:r>
            <w:r w:rsidRPr="00E84AE9">
              <w:t xml:space="preserve"> The product of the review will be a determination that the applicant is sufficient (i.e. no additional information is needed) or a written set of comments requesting the applicant to provide additional information. This is often referred to as either the </w:t>
            </w:r>
            <w:r w:rsidRPr="00E84AE9">
              <w:rPr>
                <w:i/>
              </w:rPr>
              <w:t>ADA Review</w:t>
            </w:r>
            <w:r w:rsidRPr="00E84AE9">
              <w:t xml:space="preserve"> or </w:t>
            </w:r>
            <w:r w:rsidRPr="00E84AE9">
              <w:rPr>
                <w:i/>
              </w:rPr>
              <w:t>1</w:t>
            </w:r>
            <w:r w:rsidRPr="00E84AE9">
              <w:rPr>
                <w:i/>
                <w:vertAlign w:val="superscript"/>
              </w:rPr>
              <w:t>st</w:t>
            </w:r>
            <w:r w:rsidRPr="00E84AE9">
              <w:rPr>
                <w:i/>
              </w:rPr>
              <w:t xml:space="preserve"> Sufficiency Determination </w:t>
            </w:r>
            <w:r w:rsidRPr="00E84AE9">
              <w:t xml:space="preserve">or </w:t>
            </w:r>
            <w:r w:rsidRPr="00E84AE9">
              <w:rPr>
                <w:i/>
              </w:rPr>
              <w:t>1</w:t>
            </w:r>
            <w:r w:rsidRPr="00E84AE9">
              <w:rPr>
                <w:i/>
                <w:vertAlign w:val="superscript"/>
              </w:rPr>
              <w:t>st</w:t>
            </w:r>
            <w:r w:rsidRPr="00E84AE9">
              <w:rPr>
                <w:i/>
              </w:rPr>
              <w:t xml:space="preserve"> Request for Additional Information</w:t>
            </w:r>
            <w:r w:rsidRPr="00E84AE9">
              <w:t xml:space="preserve">. </w:t>
            </w:r>
            <w:r>
              <w:t>A</w:t>
            </w:r>
            <w:r w:rsidRPr="00E84AE9">
              <w:t xml:space="preserve"> determination of sufficiency based on the initial </w:t>
            </w:r>
            <w:smartTag w:uri="urn:schemas-microsoft-com:office:smarttags" w:element="place">
              <w:smartTag w:uri="urn:schemas-microsoft-com:office:smarttags" w:element="City">
                <w:r w:rsidRPr="00E84AE9">
                  <w:t>ADA</w:t>
                </w:r>
              </w:smartTag>
            </w:smartTag>
            <w:r w:rsidRPr="00E84AE9">
              <w:t xml:space="preserve"> submittal does not occur very often. </w:t>
            </w:r>
            <w:r>
              <w:t>A</w:t>
            </w:r>
            <w:r w:rsidRPr="00E84AE9">
              <w:t>lso</w:t>
            </w:r>
            <w:r>
              <w:t>,</w:t>
            </w:r>
            <w:r w:rsidRPr="00E84AE9">
              <w:t xml:space="preserve"> the </w:t>
            </w:r>
            <w:r>
              <w:t xml:space="preserve">FDOT reviewer </w:t>
            </w:r>
            <w:r w:rsidRPr="00E84AE9">
              <w:t xml:space="preserve">should identify the need for traffic monitoring studies (if necessary) to the applicant if the issue has not been agreed </w:t>
            </w:r>
            <w:r>
              <w:t>upon</w:t>
            </w:r>
            <w:r w:rsidRPr="00E84AE9">
              <w:t xml:space="preserve"> during the methodology development process.</w:t>
            </w:r>
          </w:p>
        </w:tc>
      </w:tr>
      <w:tr w:rsidR="00225952" w:rsidRPr="00E84AE9" w:rsidTr="00784F8A">
        <w:tc>
          <w:tcPr>
            <w:tcW w:w="2429" w:type="dxa"/>
          </w:tcPr>
          <w:p w:rsidR="00225952" w:rsidRDefault="00225952" w:rsidP="00225952">
            <w:pPr>
              <w:pStyle w:val="SidebarSentence"/>
              <w:rPr>
                <w:rStyle w:val="SubtleEmphasis"/>
                <w:i/>
                <w:iCs w:val="0"/>
              </w:rPr>
            </w:pPr>
          </w:p>
          <w:p w:rsidR="00225952" w:rsidRDefault="00225952" w:rsidP="00225952">
            <w:pPr>
              <w:pStyle w:val="SidebarSentence"/>
              <w:rPr>
                <w:rStyle w:val="SubtleEmphasis"/>
                <w:i/>
                <w:iCs w:val="0"/>
              </w:rPr>
            </w:pPr>
          </w:p>
          <w:p w:rsidR="00225952" w:rsidRDefault="00225952" w:rsidP="00225952">
            <w:pPr>
              <w:pStyle w:val="SidebarSentence"/>
              <w:rPr>
                <w:rStyle w:val="SubtleEmphasis"/>
                <w:i/>
                <w:iCs w:val="0"/>
              </w:rPr>
            </w:pPr>
          </w:p>
          <w:p w:rsidR="00225952" w:rsidRDefault="00225952" w:rsidP="00225952">
            <w:pPr>
              <w:pStyle w:val="SidebarSentence"/>
              <w:rPr>
                <w:rStyle w:val="SubtleEmphasis"/>
                <w:i/>
                <w:iCs w:val="0"/>
              </w:rPr>
            </w:pPr>
          </w:p>
          <w:p w:rsidR="00225952" w:rsidRDefault="00225952" w:rsidP="00225952">
            <w:pPr>
              <w:pStyle w:val="SidebarSentence"/>
              <w:rPr>
                <w:rStyle w:val="SubtleEmphasis"/>
                <w:i/>
                <w:iCs w:val="0"/>
              </w:rPr>
            </w:pPr>
          </w:p>
          <w:p w:rsidR="00225952" w:rsidRDefault="00225952" w:rsidP="00225952">
            <w:pPr>
              <w:pStyle w:val="SidebarSentence"/>
              <w:rPr>
                <w:rStyle w:val="SubtleEmphasis"/>
                <w:i/>
                <w:iCs w:val="0"/>
              </w:rPr>
            </w:pPr>
          </w:p>
          <w:p w:rsidR="00225952" w:rsidRDefault="00225952" w:rsidP="00225952">
            <w:pPr>
              <w:pStyle w:val="SidebarSentence"/>
              <w:rPr>
                <w:rStyle w:val="SubtleEmphasis"/>
                <w:i/>
                <w:iCs w:val="0"/>
              </w:rPr>
            </w:pPr>
          </w:p>
          <w:p w:rsidR="00225952" w:rsidRDefault="00225952" w:rsidP="00225952">
            <w:pPr>
              <w:pStyle w:val="SidebarSentence"/>
            </w:pPr>
          </w:p>
          <w:p w:rsidR="00225952" w:rsidRDefault="00225952">
            <w:pPr>
              <w:pStyle w:val="HeadSideR"/>
              <w:rPr>
                <w:rStyle w:val="SubtleEmphasis"/>
                <w:bCs/>
                <w:iCs w:val="0"/>
                <w:color w:val="404040"/>
              </w:rPr>
            </w:pPr>
            <w:r>
              <w:drawing>
                <wp:anchor distT="0" distB="0" distL="114300" distR="114300" simplePos="0" relativeHeight="251664384" behindDoc="1" locked="0" layoutInCell="1" allowOverlap="1">
                  <wp:simplePos x="0" y="0"/>
                  <wp:positionH relativeFrom="column">
                    <wp:posOffset>71755</wp:posOffset>
                  </wp:positionH>
                  <wp:positionV relativeFrom="paragraph">
                    <wp:align>bottom</wp:align>
                  </wp:positionV>
                  <wp:extent cx="1409700" cy="552450"/>
                  <wp:effectExtent l="19050" t="0" r="0" b="0"/>
                  <wp:wrapNone/>
                  <wp:docPr id="77" name="Picture 23" descr="button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uttonResource"/>
                          <pic:cNvPicPr>
                            <a:picLocks noChangeAspect="1" noChangeArrowheads="1"/>
                          </pic:cNvPicPr>
                        </pic:nvPicPr>
                        <pic:blipFill>
                          <a:blip r:embed="rId274" cstate="print"/>
                          <a:srcRect/>
                          <a:stretch>
                            <a:fillRect/>
                          </a:stretch>
                        </pic:blipFill>
                        <pic:spPr bwMode="auto">
                          <a:xfrm>
                            <a:off x="0" y="0"/>
                            <a:ext cx="1409700" cy="552450"/>
                          </a:xfrm>
                          <a:prstGeom prst="rect">
                            <a:avLst/>
                          </a:prstGeom>
                          <a:noFill/>
                          <a:ln w="9525">
                            <a:noFill/>
                            <a:miter lim="800000"/>
                            <a:headEnd/>
                            <a:tailEnd/>
                          </a:ln>
                        </pic:spPr>
                      </pic:pic>
                    </a:graphicData>
                  </a:graphic>
                </wp:anchor>
              </w:drawing>
            </w:r>
            <w:r>
              <w:t xml:space="preserve">DRI </w:t>
            </w:r>
            <w:r>
              <w:br/>
              <w:t>Checklist 2</w:t>
            </w:r>
          </w:p>
          <w:p w:rsidR="00225952" w:rsidRPr="006B265B" w:rsidRDefault="00225952" w:rsidP="00225952">
            <w:pPr>
              <w:pStyle w:val="SidebarSentence"/>
              <w:rPr>
                <w:rStyle w:val="SubtleEmphasis"/>
                <w:i/>
                <w:iCs w:val="0"/>
              </w:rPr>
            </w:pPr>
          </w:p>
        </w:tc>
        <w:tc>
          <w:tcPr>
            <w:tcW w:w="7922" w:type="dxa"/>
          </w:tcPr>
          <w:p w:rsidR="00225952" w:rsidRDefault="00225952">
            <w:pPr>
              <w:spacing w:after="120"/>
            </w:pPr>
            <w:r w:rsidRPr="00E84AE9">
              <w:t xml:space="preserve">The </w:t>
            </w:r>
            <w:r>
              <w:t>FDOT reviewer should</w:t>
            </w:r>
            <w:r w:rsidRPr="00E84AE9">
              <w:t xml:space="preserve"> be familiar with the deadline</w:t>
            </w:r>
            <w:r>
              <w:t>s for review and comment of the RPC</w:t>
            </w:r>
            <w:r w:rsidRPr="00E84AE9">
              <w:t xml:space="preserve">. </w:t>
            </w:r>
            <w:r>
              <w:t xml:space="preserve"> Pursuant to </w:t>
            </w:r>
            <w:hyperlink r:id="rId299" w:history="1">
              <w:r w:rsidRPr="0024007F">
                <w:rPr>
                  <w:rStyle w:val="Hyperlink"/>
                </w:rPr>
                <w:t>Rule 9J-2.022(</w:t>
              </w:r>
              <w:r>
                <w:rPr>
                  <w:rStyle w:val="Hyperlink"/>
                </w:rPr>
                <w:t>3</w:t>
              </w:r>
              <w:r w:rsidRPr="0024007F">
                <w:rPr>
                  <w:rStyle w:val="Hyperlink"/>
                </w:rPr>
                <w:t>)(c)FAC</w:t>
              </w:r>
            </w:hyperlink>
            <w:r>
              <w:t>, t</w:t>
            </w:r>
            <w:r w:rsidRPr="00E84AE9">
              <w:t xml:space="preserve">he </w:t>
            </w:r>
            <w:smartTag w:uri="urn:schemas-microsoft-com:office:smarttags" w:element="place">
              <w:smartTag w:uri="urn:schemas-microsoft-com:office:smarttags" w:element="City">
                <w:r w:rsidRPr="00E84AE9">
                  <w:t>ADA</w:t>
                </w:r>
              </w:smartTag>
            </w:smartTag>
            <w:r w:rsidRPr="00E84AE9">
              <w:t xml:space="preserve"> review period is 30 calendar days.</w:t>
            </w:r>
            <w:r>
              <w:t xml:space="preserve"> </w:t>
            </w:r>
            <w:r w:rsidRPr="00E84AE9">
              <w:t xml:space="preserve">A comment by the FDOT after the legal deadline of 30 calendar days, which starts from the RPC’s receipt of the </w:t>
            </w:r>
            <w:smartTag w:uri="urn:schemas-microsoft-com:office:smarttags" w:element="place">
              <w:smartTag w:uri="urn:schemas-microsoft-com:office:smarttags" w:element="City">
                <w:r w:rsidRPr="00E84AE9">
                  <w:t>ADA</w:t>
                </w:r>
              </w:smartTag>
            </w:smartTag>
            <w:r w:rsidRPr="00E84AE9">
              <w:t>, can technically be ignored by the applicant.</w:t>
            </w:r>
            <w:r>
              <w:t xml:space="preserve"> </w:t>
            </w:r>
            <w:r w:rsidRPr="00E84AE9">
              <w:t xml:space="preserve">Although there is usually some flexibility in this area, it is limited and should not be assumed. </w:t>
            </w:r>
            <w:r>
              <w:t>T</w:t>
            </w:r>
            <w:r w:rsidRPr="00E84AE9">
              <w:t xml:space="preserve">he </w:t>
            </w:r>
            <w:r>
              <w:t xml:space="preserve">FDOT reviewer should not </w:t>
            </w:r>
            <w:r w:rsidRPr="00E84AE9">
              <w:t>assume more than 30 days for review.</w:t>
            </w:r>
            <w:r>
              <w:t xml:space="preserve"> </w:t>
            </w:r>
            <w:r w:rsidRPr="00E84AE9">
              <w:t xml:space="preserve">Close coordination with the RPC is encouraged to ascertain whether or not flexibility in the schedule exists. </w:t>
            </w:r>
          </w:p>
          <w:p w:rsidR="00225952" w:rsidRDefault="00225952" w:rsidP="00D1578E">
            <w:pPr>
              <w:spacing w:after="120"/>
            </w:pPr>
            <w:r w:rsidRPr="00E84AE9">
              <w:t xml:space="preserve">Different RPCs have different policies and procedures for summarizing and transmitting comments to the applicant. For that reason and to ensure comments are distributed to all parties, it is suggested that </w:t>
            </w:r>
            <w:r>
              <w:t xml:space="preserve">the reviewer find out and follow the procedure established by the RPC in charge of the review. </w:t>
            </w:r>
            <w:hyperlink w:anchor="C2" w:history="1">
              <w:r w:rsidRPr="00D1578E">
                <w:rPr>
                  <w:rStyle w:val="Hyperlink"/>
                  <w:rFonts w:cstheme="minorBidi"/>
                </w:rPr>
                <w:t>DRI Checklist 2</w:t>
              </w:r>
            </w:hyperlink>
            <w:r>
              <w:t xml:space="preserve"> </w:t>
            </w:r>
            <w:r w:rsidRPr="0053113F">
              <w:t>prepared</w:t>
            </w:r>
            <w:r w:rsidRPr="00E84AE9">
              <w:t xml:space="preserve"> to correspond to the format of Question 21, summarizes both formal and informal areas of review for the ADA. The </w:t>
            </w:r>
            <w:r>
              <w:t xml:space="preserve">FDOT reviewer </w:t>
            </w:r>
            <w:r w:rsidRPr="00E84AE9">
              <w:t>should use this list as a general guide in the DRI review process.</w:t>
            </w:r>
          </w:p>
        </w:tc>
      </w:tr>
      <w:tr w:rsidR="00225952" w:rsidRPr="00E84AE9" w:rsidTr="00784F8A">
        <w:tc>
          <w:tcPr>
            <w:tcW w:w="2429" w:type="dxa"/>
          </w:tcPr>
          <w:p w:rsidR="00225952" w:rsidRDefault="00225952" w:rsidP="00225952">
            <w:pPr>
              <w:pStyle w:val="Heading4"/>
            </w:pPr>
            <w:r w:rsidRPr="00652B45">
              <w:t>Guidelines for FDOT Reviewer</w:t>
            </w:r>
            <w:r>
              <w:t>s</w:t>
            </w:r>
          </w:p>
          <w:p w:rsidR="00225952" w:rsidRDefault="00225952"/>
          <w:p w:rsidR="00225952" w:rsidRDefault="00225952"/>
          <w:p w:rsidR="00225952" w:rsidRDefault="00225952"/>
          <w:p w:rsidR="00225952" w:rsidRDefault="00225952"/>
          <w:p w:rsidR="00225952" w:rsidRDefault="00225952" w:rsidP="00225952">
            <w:pPr>
              <w:pStyle w:val="SidebarSentence"/>
            </w:pPr>
          </w:p>
          <w:p w:rsidR="00225952" w:rsidRDefault="00225952" w:rsidP="00225952">
            <w:pPr>
              <w:pStyle w:val="SidebarSentence"/>
            </w:pPr>
          </w:p>
          <w:p w:rsidR="00225952" w:rsidRDefault="00225952" w:rsidP="00225952">
            <w:pPr>
              <w:pStyle w:val="SidebarSentence"/>
            </w:pPr>
          </w:p>
          <w:p w:rsidR="00225952" w:rsidRDefault="00225952">
            <w:pPr>
              <w:pStyle w:val="HeadSideR"/>
            </w:pPr>
            <w:r>
              <w:lastRenderedPageBreak/>
              <w:br/>
            </w:r>
            <w:r>
              <w:drawing>
                <wp:anchor distT="0" distB="0" distL="114300" distR="114300" simplePos="0" relativeHeight="251665408" behindDoc="1" locked="0" layoutInCell="1" allowOverlap="1">
                  <wp:simplePos x="0" y="0"/>
                  <wp:positionH relativeFrom="column">
                    <wp:posOffset>71755</wp:posOffset>
                  </wp:positionH>
                  <wp:positionV relativeFrom="paragraph">
                    <wp:align>bottom</wp:align>
                  </wp:positionV>
                  <wp:extent cx="1409700" cy="552450"/>
                  <wp:effectExtent l="19050" t="0" r="0" b="0"/>
                  <wp:wrapNone/>
                  <wp:docPr id="80" name="Picture 24" descr="button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uttonResource"/>
                          <pic:cNvPicPr>
                            <a:picLocks noChangeAspect="1" noChangeArrowheads="1"/>
                          </pic:cNvPicPr>
                        </pic:nvPicPr>
                        <pic:blipFill>
                          <a:blip r:embed="rId274" cstate="print"/>
                          <a:srcRect/>
                          <a:stretch>
                            <a:fillRect/>
                          </a:stretch>
                        </pic:blipFill>
                        <pic:spPr bwMode="auto">
                          <a:xfrm>
                            <a:off x="0" y="0"/>
                            <a:ext cx="1409700" cy="552450"/>
                          </a:xfrm>
                          <a:prstGeom prst="rect">
                            <a:avLst/>
                          </a:prstGeom>
                          <a:noFill/>
                          <a:ln w="9525">
                            <a:noFill/>
                            <a:miter lim="800000"/>
                            <a:headEnd/>
                            <a:tailEnd/>
                          </a:ln>
                        </pic:spPr>
                      </pic:pic>
                    </a:graphicData>
                  </a:graphic>
                </wp:anchor>
              </w:drawing>
            </w:r>
            <w:r>
              <w:t>Appendix D</w:t>
            </w:r>
          </w:p>
          <w:p w:rsidR="00225952" w:rsidRDefault="00225952">
            <w:pPr>
              <w:pStyle w:val="HeadSideR"/>
              <w:rPr>
                <w:rStyle w:val="SubtleEmphasis"/>
                <w:i w:val="0"/>
                <w:iCs w:val="0"/>
                <w:color w:val="404040"/>
              </w:rPr>
            </w:pPr>
            <w:r>
              <w:drawing>
                <wp:anchor distT="0" distB="0" distL="114300" distR="114300" simplePos="0" relativeHeight="251666432" behindDoc="1" locked="0" layoutInCell="1" allowOverlap="1">
                  <wp:simplePos x="0" y="0"/>
                  <wp:positionH relativeFrom="column">
                    <wp:posOffset>71755</wp:posOffset>
                  </wp:positionH>
                  <wp:positionV relativeFrom="paragraph">
                    <wp:align>bottom</wp:align>
                  </wp:positionV>
                  <wp:extent cx="1409700" cy="552450"/>
                  <wp:effectExtent l="19050" t="0" r="0" b="0"/>
                  <wp:wrapNone/>
                  <wp:docPr id="81" name="Picture 25" descr="button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uttonResource"/>
                          <pic:cNvPicPr>
                            <a:picLocks noChangeAspect="1" noChangeArrowheads="1"/>
                          </pic:cNvPicPr>
                        </pic:nvPicPr>
                        <pic:blipFill>
                          <a:blip r:embed="rId274" cstate="print"/>
                          <a:srcRect/>
                          <a:stretch>
                            <a:fillRect/>
                          </a:stretch>
                        </pic:blipFill>
                        <pic:spPr bwMode="auto">
                          <a:xfrm>
                            <a:off x="0" y="0"/>
                            <a:ext cx="1409700" cy="552450"/>
                          </a:xfrm>
                          <a:prstGeom prst="rect">
                            <a:avLst/>
                          </a:prstGeom>
                          <a:noFill/>
                          <a:ln w="9525">
                            <a:noFill/>
                            <a:miter lim="800000"/>
                            <a:headEnd/>
                            <a:tailEnd/>
                          </a:ln>
                        </pic:spPr>
                      </pic:pic>
                    </a:graphicData>
                  </a:graphic>
                </wp:anchor>
              </w:drawing>
            </w:r>
            <w:r>
              <w:t xml:space="preserve"> </w:t>
            </w:r>
            <w:r>
              <w:br/>
              <w:t>Appendix F</w:t>
            </w:r>
          </w:p>
          <w:p w:rsidR="00225952" w:rsidRDefault="00225952"/>
        </w:tc>
        <w:tc>
          <w:tcPr>
            <w:tcW w:w="7922" w:type="dxa"/>
          </w:tcPr>
          <w:p w:rsidR="00225952" w:rsidRDefault="00225952">
            <w:pPr>
              <w:spacing w:after="120"/>
            </w:pPr>
            <w:r w:rsidRPr="00E84AE9">
              <w:lastRenderedPageBreak/>
              <w:t xml:space="preserve">The </w:t>
            </w:r>
            <w:r>
              <w:t xml:space="preserve">FDOT reviewer </w:t>
            </w:r>
            <w:r w:rsidRPr="00E84AE9">
              <w:t xml:space="preserve">is encouraged to first browse the ADA document to gain an overall understanding of the project and how transportation relates to other proposed development considerations. In general, the </w:t>
            </w:r>
            <w:r>
              <w:t xml:space="preserve">FDOT reviewer </w:t>
            </w:r>
            <w:r w:rsidRPr="00E84AE9">
              <w:t xml:space="preserve">should not try to review any area beyond his/her technical capability. Based on the initial reading, if additional expertise is needed to complete a thorough submittal review, it should be sought immediately. </w:t>
            </w:r>
            <w:r>
              <w:t>I</w:t>
            </w:r>
            <w:r w:rsidRPr="00E84AE9">
              <w:t xml:space="preserve">t is not unusual to request comments from FDOT </w:t>
            </w:r>
            <w:r>
              <w:t>s</w:t>
            </w:r>
            <w:r w:rsidRPr="00E84AE9">
              <w:t xml:space="preserve">taff in </w:t>
            </w:r>
            <w:r>
              <w:t xml:space="preserve">the areas of </w:t>
            </w:r>
            <w:r w:rsidRPr="00E84AE9">
              <w:t xml:space="preserve">traffic operations, permitting, right-of-way, design, </w:t>
            </w:r>
            <w:r>
              <w:t xml:space="preserve">public transit, bicycle/pedestrian </w:t>
            </w:r>
            <w:r w:rsidRPr="00E84AE9">
              <w:t>and estimating.</w:t>
            </w:r>
          </w:p>
          <w:p w:rsidR="00225952" w:rsidRDefault="00225952">
            <w:pPr>
              <w:spacing w:after="120"/>
            </w:pPr>
            <w:r w:rsidRPr="004F29D8">
              <w:t xml:space="preserve">FDOT District staff should provide thorough comments regarding whether or not the information provided in the ADA is sufficient to analyze project impacts on the transportation system. This includes multimodal concerns such as existing </w:t>
            </w:r>
            <w:r w:rsidRPr="004F29D8">
              <w:lastRenderedPageBreak/>
              <w:t>conditions, trip generation, land use and site design, and modal facilities among others</w:t>
            </w:r>
            <w:r>
              <w:t>. Sample</w:t>
            </w:r>
            <w:r w:rsidRPr="004F29D8">
              <w:t xml:space="preserve"> comments taken verbatim from sufficiency review letters may serve as guidance</w:t>
            </w:r>
            <w:r>
              <w:t xml:space="preserve"> for particularly for multimodal concerns. These comments are found in </w:t>
            </w:r>
            <w:r w:rsidRPr="008F6B1A">
              <w:t>Appendix D. In addition, District 4 uses a compilation of ADA review comments taken from several DRI developments and grouped by category as guidance for developing comments (See Appendix F.)</w:t>
            </w:r>
          </w:p>
          <w:p w:rsidR="00225952" w:rsidRDefault="00225952">
            <w:r w:rsidRPr="00E84AE9">
              <w:t xml:space="preserve">In order to sustain a professional and constructive review process, </w:t>
            </w:r>
            <w:r>
              <w:t xml:space="preserve">FDOT reviewer </w:t>
            </w:r>
            <w:r w:rsidRPr="00E84AE9">
              <w:t>comments should</w:t>
            </w:r>
            <w:r>
              <w:t xml:space="preserve"> be professional and concise.  The FDOT reviewer should also p</w:t>
            </w:r>
            <w:r w:rsidRPr="00E84AE9">
              <w:t>rovide suggested action by the applicant to address specific comments, and</w:t>
            </w:r>
            <w:r>
              <w:t xml:space="preserve"> r</w:t>
            </w:r>
            <w:r w:rsidRPr="004969F7">
              <w:t>eference FDOT procedures, manuals and handbooks in the methodology agreement, where applicable, including any District procedures</w:t>
            </w:r>
            <w:r>
              <w:t xml:space="preserve">, </w:t>
            </w:r>
            <w:r w:rsidRPr="00E84AE9">
              <w:t xml:space="preserve">Florida </w:t>
            </w:r>
            <w:r>
              <w:t>S</w:t>
            </w:r>
            <w:r w:rsidRPr="00E84AE9">
              <w:t xml:space="preserve">tatutes </w:t>
            </w:r>
            <w:r>
              <w:t>and Administrative Rules.</w:t>
            </w:r>
          </w:p>
        </w:tc>
      </w:tr>
      <w:tr w:rsidR="00225952" w:rsidRPr="00E84AE9" w:rsidTr="00784F8A">
        <w:tc>
          <w:tcPr>
            <w:tcW w:w="10351" w:type="dxa"/>
            <w:gridSpan w:val="2"/>
          </w:tcPr>
          <w:p w:rsidR="00225952" w:rsidRDefault="00C460EE">
            <w:pPr>
              <w:pStyle w:val="Heading3"/>
            </w:pPr>
            <w:bookmarkStart w:id="259" w:name="SufficiencyDetermination2"/>
            <w:bookmarkStart w:id="260" w:name="_Toc232912626"/>
            <w:bookmarkStart w:id="261" w:name="_Toc260316450"/>
            <w:bookmarkStart w:id="262" w:name="_Toc264274152"/>
            <w:bookmarkEnd w:id="259"/>
            <w:r>
              <w:lastRenderedPageBreak/>
              <w:t>4.2.5</w:t>
            </w:r>
            <w:r w:rsidR="00225952">
              <w:t xml:space="preserve">   </w:t>
            </w:r>
            <w:r w:rsidR="00225952" w:rsidRPr="00652B45">
              <w:t>2</w:t>
            </w:r>
            <w:r w:rsidR="00225952" w:rsidRPr="00652B45">
              <w:rPr>
                <w:vertAlign w:val="superscript"/>
              </w:rPr>
              <w:t>nd</w:t>
            </w:r>
            <w:r w:rsidR="00225952" w:rsidRPr="00652B45">
              <w:t xml:space="preserve"> Sufficiency Determination/2</w:t>
            </w:r>
            <w:r w:rsidR="00225952" w:rsidRPr="00652B45">
              <w:rPr>
                <w:vertAlign w:val="superscript"/>
              </w:rPr>
              <w:t>nd</w:t>
            </w:r>
            <w:r w:rsidR="00225952" w:rsidRPr="00652B45">
              <w:t xml:space="preserve"> Request for Additional Information</w:t>
            </w:r>
            <w:bookmarkEnd w:id="260"/>
            <w:bookmarkEnd w:id="261"/>
            <w:bookmarkEnd w:id="262"/>
          </w:p>
        </w:tc>
      </w:tr>
      <w:tr w:rsidR="00225952" w:rsidRPr="00E84AE9" w:rsidTr="00784F8A">
        <w:tc>
          <w:tcPr>
            <w:tcW w:w="2429" w:type="dxa"/>
          </w:tcPr>
          <w:p w:rsidR="00225952" w:rsidRPr="00652B45" w:rsidRDefault="00225952" w:rsidP="00225952">
            <w:pPr>
              <w:pStyle w:val="Heading4"/>
            </w:pPr>
            <w:r w:rsidRPr="00652B45">
              <w:t>Applicant Requirements</w:t>
            </w:r>
          </w:p>
          <w:p w:rsidR="00225952" w:rsidRDefault="00225952">
            <w:pPr>
              <w:pStyle w:val="SidebarSentence"/>
            </w:pPr>
            <w:r w:rsidRPr="00E84AE9">
              <w:t>Make sure the information needed to make decisions has been provided by the applicant</w:t>
            </w:r>
          </w:p>
        </w:tc>
        <w:tc>
          <w:tcPr>
            <w:tcW w:w="7922" w:type="dxa"/>
          </w:tcPr>
          <w:p w:rsidR="00225952" w:rsidRDefault="00225952">
            <w:r w:rsidRPr="00E84AE9">
              <w:t>The applicant will provide written responses to agency comments (the agency’s 1</w:t>
            </w:r>
            <w:r w:rsidRPr="00E84AE9">
              <w:rPr>
                <w:vertAlign w:val="superscript"/>
              </w:rPr>
              <w:t>st</w:t>
            </w:r>
            <w:r w:rsidRPr="00E84AE9">
              <w:t xml:space="preserve"> Request for Additional Information) and provide the responses for agency review. Age</w:t>
            </w:r>
            <w:r>
              <w:t>ncies will then have no more tha</w:t>
            </w:r>
            <w:r w:rsidRPr="00E84AE9">
              <w:t>n 30 days to provide comments on the responses (2</w:t>
            </w:r>
            <w:r w:rsidRPr="00E84AE9">
              <w:rPr>
                <w:vertAlign w:val="superscript"/>
              </w:rPr>
              <w:t>nd</w:t>
            </w:r>
            <w:r w:rsidRPr="00E84AE9">
              <w:t xml:space="preserve"> Sufficiency Determination/2</w:t>
            </w:r>
            <w:r w:rsidRPr="00E84AE9">
              <w:rPr>
                <w:vertAlign w:val="superscript"/>
              </w:rPr>
              <w:t>nd</w:t>
            </w:r>
            <w:r w:rsidRPr="00E84AE9">
              <w:t xml:space="preserve"> Request for Additional Information)</w:t>
            </w:r>
            <w:r>
              <w:t xml:space="preserve">. </w:t>
            </w:r>
            <w:r w:rsidRPr="00E84AE9">
              <w:t>Similar to the ADA Review/1</w:t>
            </w:r>
            <w:r w:rsidRPr="00E84AE9">
              <w:rPr>
                <w:vertAlign w:val="superscript"/>
              </w:rPr>
              <w:t>st</w:t>
            </w:r>
            <w:r w:rsidRPr="00E84AE9">
              <w:t xml:space="preserve"> Request for Additional Information, the RPCs have the responsibility to coordinate with all affected agencies with regard to both the notification and coordination of the review</w:t>
            </w:r>
            <w:r>
              <w:t xml:space="preserve">. </w:t>
            </w:r>
          </w:p>
        </w:tc>
      </w:tr>
      <w:tr w:rsidR="00225952" w:rsidRPr="00E84AE9" w:rsidTr="00784F8A">
        <w:tc>
          <w:tcPr>
            <w:tcW w:w="2429" w:type="dxa"/>
          </w:tcPr>
          <w:p w:rsidR="00225952" w:rsidRPr="00E84AE9" w:rsidRDefault="00225952" w:rsidP="00225952">
            <w:pPr>
              <w:pStyle w:val="Heading4"/>
              <w:rPr>
                <w:rStyle w:val="SubtleEmphasis"/>
                <w:i w:val="0"/>
                <w:iCs w:val="0"/>
                <w:color w:val="auto"/>
              </w:rPr>
            </w:pPr>
            <w:r w:rsidRPr="00652B45">
              <w:t>FDOT Reviewer Role</w:t>
            </w:r>
          </w:p>
        </w:tc>
        <w:tc>
          <w:tcPr>
            <w:tcW w:w="7922" w:type="dxa"/>
          </w:tcPr>
          <w:p w:rsidR="00225952" w:rsidRDefault="00225952">
            <w:pPr>
              <w:spacing w:after="120"/>
            </w:pPr>
            <w:r w:rsidRPr="00E84AE9">
              <w:t xml:space="preserve">The </w:t>
            </w:r>
            <w:r>
              <w:t>FDOT reviewer</w:t>
            </w:r>
            <w:r w:rsidRPr="00E84AE9">
              <w:t xml:space="preserve">’s responsibility upon receipt of the applicant’s responses is to determine whether the applicant has: </w:t>
            </w:r>
          </w:p>
          <w:p w:rsidR="00225952" w:rsidRDefault="00225952" w:rsidP="008D2D1A">
            <w:pPr>
              <w:pStyle w:val="SidebarHead"/>
              <w:numPr>
                <w:ilvl w:val="0"/>
                <w:numId w:val="27"/>
              </w:numPr>
              <w:tabs>
                <w:tab w:val="clear" w:pos="1440"/>
              </w:tabs>
              <w:spacing w:after="60"/>
              <w:jc w:val="left"/>
              <w:rPr>
                <w:rFonts w:ascii="Calibri" w:hAnsi="Calibri"/>
                <w:sz w:val="22"/>
                <w:szCs w:val="22"/>
              </w:rPr>
            </w:pPr>
            <w:r w:rsidRPr="0053113F">
              <w:rPr>
                <w:rFonts w:ascii="Calibri" w:hAnsi="Calibri"/>
                <w:sz w:val="22"/>
                <w:szCs w:val="22"/>
              </w:rPr>
              <w:t>Provided a complete submittal. Due to the time constraints associated with reviews, it is very important to check that the submittal contains all pages (including technical appendices) and all requested supplemental information (such as analysis and model files) for a review to be completed.</w:t>
            </w:r>
          </w:p>
          <w:p w:rsidR="00225952" w:rsidRDefault="00225952" w:rsidP="008D2D1A">
            <w:pPr>
              <w:pStyle w:val="SidebarHead"/>
              <w:numPr>
                <w:ilvl w:val="0"/>
                <w:numId w:val="27"/>
              </w:numPr>
              <w:tabs>
                <w:tab w:val="clear" w:pos="1440"/>
              </w:tabs>
              <w:spacing w:after="60"/>
              <w:jc w:val="left"/>
              <w:rPr>
                <w:rFonts w:ascii="Calibri" w:hAnsi="Calibri"/>
                <w:sz w:val="22"/>
                <w:szCs w:val="22"/>
              </w:rPr>
            </w:pPr>
            <w:r w:rsidRPr="0053113F">
              <w:rPr>
                <w:rFonts w:ascii="Calibri" w:hAnsi="Calibri"/>
                <w:sz w:val="22"/>
                <w:szCs w:val="22"/>
              </w:rPr>
              <w:t>Addressed the comments made in the 1</w:t>
            </w:r>
            <w:r w:rsidRPr="0053113F">
              <w:rPr>
                <w:rFonts w:ascii="Calibri" w:hAnsi="Calibri"/>
                <w:sz w:val="22"/>
                <w:szCs w:val="22"/>
                <w:vertAlign w:val="superscript"/>
              </w:rPr>
              <w:t>st</w:t>
            </w:r>
            <w:r w:rsidRPr="0053113F">
              <w:rPr>
                <w:rFonts w:ascii="Calibri" w:hAnsi="Calibri"/>
                <w:sz w:val="22"/>
                <w:szCs w:val="22"/>
              </w:rPr>
              <w:t xml:space="preserve"> Request for Additional Information. </w:t>
            </w:r>
          </w:p>
          <w:p w:rsidR="00225952" w:rsidRDefault="00225952" w:rsidP="008D2D1A">
            <w:pPr>
              <w:pStyle w:val="SidebarHead"/>
              <w:numPr>
                <w:ilvl w:val="0"/>
                <w:numId w:val="27"/>
              </w:numPr>
              <w:tabs>
                <w:tab w:val="clear" w:pos="1440"/>
              </w:tabs>
              <w:spacing w:after="60"/>
              <w:jc w:val="left"/>
              <w:rPr>
                <w:rFonts w:ascii="Calibri" w:hAnsi="Calibri"/>
                <w:sz w:val="22"/>
                <w:szCs w:val="22"/>
              </w:rPr>
            </w:pPr>
            <w:r w:rsidRPr="0053113F">
              <w:rPr>
                <w:rFonts w:ascii="Calibri" w:hAnsi="Calibri"/>
                <w:sz w:val="22"/>
                <w:szCs w:val="22"/>
              </w:rPr>
              <w:t xml:space="preserve">Made any changes that were not requested as part of the agency comments. If changes were made, the </w:t>
            </w:r>
            <w:r>
              <w:rPr>
                <w:rFonts w:ascii="Calibri" w:hAnsi="Calibri"/>
                <w:sz w:val="22"/>
                <w:szCs w:val="22"/>
              </w:rPr>
              <w:t xml:space="preserve">FDOT reviewer </w:t>
            </w:r>
            <w:r w:rsidRPr="0053113F">
              <w:rPr>
                <w:rFonts w:ascii="Calibri" w:hAnsi="Calibri"/>
                <w:sz w:val="22"/>
                <w:szCs w:val="22"/>
              </w:rPr>
              <w:t>needs to review the changes for accuracy and impacts the changes may have to conclusions.</w:t>
            </w:r>
          </w:p>
          <w:p w:rsidR="00225952" w:rsidRDefault="00225952" w:rsidP="008D2D1A">
            <w:pPr>
              <w:pStyle w:val="SidebarHead"/>
              <w:numPr>
                <w:ilvl w:val="0"/>
                <w:numId w:val="27"/>
              </w:numPr>
              <w:tabs>
                <w:tab w:val="clear" w:pos="1440"/>
              </w:tabs>
              <w:spacing w:after="60"/>
              <w:jc w:val="left"/>
              <w:rPr>
                <w:rFonts w:ascii="Calibri" w:hAnsi="Calibri"/>
                <w:sz w:val="22"/>
                <w:szCs w:val="22"/>
              </w:rPr>
            </w:pPr>
            <w:r w:rsidRPr="0053113F">
              <w:rPr>
                <w:rFonts w:ascii="Calibri" w:hAnsi="Calibri"/>
                <w:sz w:val="22"/>
                <w:szCs w:val="22"/>
              </w:rPr>
              <w:t xml:space="preserve">Provided sufficient detail and support documentation to enable the </w:t>
            </w:r>
            <w:r>
              <w:rPr>
                <w:rFonts w:ascii="Calibri" w:hAnsi="Calibri"/>
                <w:sz w:val="22"/>
                <w:szCs w:val="22"/>
              </w:rPr>
              <w:t xml:space="preserve">FDOT reviewer </w:t>
            </w:r>
            <w:r w:rsidRPr="0053113F">
              <w:rPr>
                <w:rFonts w:ascii="Calibri" w:hAnsi="Calibri"/>
                <w:sz w:val="22"/>
                <w:szCs w:val="22"/>
              </w:rPr>
              <w:t xml:space="preserve">to adequately assess project impacts on the SIS/SHS. </w:t>
            </w:r>
          </w:p>
          <w:p w:rsidR="00225952" w:rsidRDefault="00225952" w:rsidP="00F77AA9">
            <w:pPr>
              <w:pStyle w:val="SidebarHead"/>
              <w:numPr>
                <w:ilvl w:val="0"/>
                <w:numId w:val="27"/>
              </w:numPr>
              <w:tabs>
                <w:tab w:val="clear" w:pos="1440"/>
              </w:tabs>
              <w:spacing w:after="600"/>
              <w:jc w:val="left"/>
            </w:pPr>
            <w:r w:rsidRPr="0053113F">
              <w:rPr>
                <w:rFonts w:ascii="Calibri" w:hAnsi="Calibri"/>
                <w:sz w:val="22"/>
                <w:szCs w:val="22"/>
              </w:rPr>
              <w:t>Proposed impact mitigation measures which adequately protect LOS on SIS/SHS/FIHS facilities.</w:t>
            </w:r>
          </w:p>
        </w:tc>
      </w:tr>
      <w:tr w:rsidR="00225952" w:rsidRPr="00E84AE9" w:rsidTr="00784F8A">
        <w:tc>
          <w:tcPr>
            <w:tcW w:w="2429" w:type="dxa"/>
          </w:tcPr>
          <w:p w:rsidR="00225952" w:rsidRDefault="00225952" w:rsidP="00255107">
            <w:pPr>
              <w:pStyle w:val="HeadSide20"/>
            </w:pPr>
          </w:p>
          <w:p w:rsidR="00225952" w:rsidRDefault="00225952" w:rsidP="00225952">
            <w:pPr>
              <w:pStyle w:val="HeadSideR"/>
              <w:rPr>
                <w:rStyle w:val="SubtleEmphasis"/>
                <w:i w:val="0"/>
                <w:iCs w:val="0"/>
                <w:color w:val="404040"/>
              </w:rPr>
            </w:pPr>
            <w:r>
              <w:drawing>
                <wp:anchor distT="0" distB="0" distL="114300" distR="114300" simplePos="0" relativeHeight="251667456" behindDoc="1" locked="0" layoutInCell="1" allowOverlap="1">
                  <wp:simplePos x="0" y="0"/>
                  <wp:positionH relativeFrom="column">
                    <wp:posOffset>71755</wp:posOffset>
                  </wp:positionH>
                  <wp:positionV relativeFrom="paragraph">
                    <wp:align>bottom</wp:align>
                  </wp:positionV>
                  <wp:extent cx="1409700" cy="552450"/>
                  <wp:effectExtent l="19050" t="0" r="0" b="0"/>
                  <wp:wrapNone/>
                  <wp:docPr id="84" name="Picture 26" descr="button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buttonResource"/>
                          <pic:cNvPicPr>
                            <a:picLocks noChangeAspect="1" noChangeArrowheads="1"/>
                          </pic:cNvPicPr>
                        </pic:nvPicPr>
                        <pic:blipFill>
                          <a:blip r:embed="rId274" cstate="print"/>
                          <a:srcRect/>
                          <a:stretch>
                            <a:fillRect/>
                          </a:stretch>
                        </pic:blipFill>
                        <pic:spPr bwMode="auto">
                          <a:xfrm>
                            <a:off x="0" y="0"/>
                            <a:ext cx="1409700" cy="552450"/>
                          </a:xfrm>
                          <a:prstGeom prst="rect">
                            <a:avLst/>
                          </a:prstGeom>
                          <a:noFill/>
                          <a:ln w="9525">
                            <a:noFill/>
                            <a:miter lim="800000"/>
                            <a:headEnd/>
                            <a:tailEnd/>
                          </a:ln>
                        </pic:spPr>
                      </pic:pic>
                    </a:graphicData>
                  </a:graphic>
                </wp:anchor>
              </w:drawing>
            </w:r>
            <w:r>
              <w:t xml:space="preserve">DRI </w:t>
            </w:r>
            <w:r>
              <w:br/>
              <w:t>Checklist 3</w:t>
            </w:r>
          </w:p>
          <w:p w:rsidR="00225952" w:rsidRPr="006B265B" w:rsidRDefault="00225952" w:rsidP="00225952">
            <w:pPr>
              <w:pStyle w:val="SidebarSentence"/>
              <w:rPr>
                <w:rStyle w:val="SubtleEmphasis"/>
                <w:i/>
                <w:iCs w:val="0"/>
              </w:rPr>
            </w:pPr>
          </w:p>
        </w:tc>
        <w:tc>
          <w:tcPr>
            <w:tcW w:w="7922" w:type="dxa"/>
          </w:tcPr>
          <w:p w:rsidR="00225952" w:rsidRDefault="00745389" w:rsidP="00F77AA9">
            <w:hyperlink w:anchor="C3" w:history="1">
              <w:r w:rsidR="00225952" w:rsidRPr="00D1578E">
                <w:rPr>
                  <w:rStyle w:val="Hyperlink"/>
                  <w:rFonts w:cstheme="minorBidi"/>
                </w:rPr>
                <w:t>DRI Checklist 3</w:t>
              </w:r>
              <w:bookmarkStart w:id="263" w:name="current"/>
              <w:bookmarkEnd w:id="263"/>
              <w:r w:rsidR="00225952" w:rsidRPr="00D1578E">
                <w:rPr>
                  <w:rStyle w:val="Hyperlink"/>
                  <w:rFonts w:cstheme="minorBidi"/>
                </w:rPr>
                <w:t xml:space="preserve"> </w:t>
              </w:r>
            </w:hyperlink>
            <w:r w:rsidR="00225952">
              <w:t xml:space="preserve"> </w:t>
            </w:r>
            <w:r>
              <w:fldChar w:fldCharType="begin" w:fldLock="1"/>
            </w:r>
            <w:r w:rsidR="00225952">
              <w:instrText xml:space="preserve"> REF _Ref220582649 \r \h  \* MERGEFORMAT </w:instrText>
            </w:r>
            <w:r>
              <w:fldChar w:fldCharType="end"/>
            </w:r>
            <w:r w:rsidR="00225952" w:rsidRPr="0053113F">
              <w:t>provides</w:t>
            </w:r>
            <w:r w:rsidR="00225952" w:rsidRPr="00E84AE9">
              <w:t xml:space="preserve"> guidance for the review. </w:t>
            </w:r>
            <w:r w:rsidR="00225952">
              <w:t xml:space="preserve">It is modeled on DRI Question 21 (F). </w:t>
            </w:r>
            <w:r w:rsidR="00225952" w:rsidRPr="00E84AE9">
              <w:t xml:space="preserve">The checklist questions assume the </w:t>
            </w:r>
            <w:r w:rsidR="00225952">
              <w:t xml:space="preserve">FDOT reviewer </w:t>
            </w:r>
            <w:r w:rsidR="00225952" w:rsidRPr="00E84AE9">
              <w:t>has performed thorough and timely reviews of all earlier submittals and therefore, focuses on the substance of the applicant’s responses.</w:t>
            </w:r>
          </w:p>
          <w:p w:rsidR="00225952" w:rsidRDefault="00225952" w:rsidP="00F77AA9">
            <w:r>
              <w:t>In DRI Question 21 (F), a</w:t>
            </w:r>
            <w:r w:rsidRPr="003F71AE">
              <w:t xml:space="preserve">pplicants are asked to identify improvements to the highway network needed to accommodate impacts of the proposed DRI that cause facility </w:t>
            </w:r>
            <w:r>
              <w:t>LOS</w:t>
            </w:r>
            <w:r w:rsidRPr="003F71AE">
              <w:t xml:space="preserve"> to fall below adopted standards. </w:t>
            </w:r>
            <w:r>
              <w:t xml:space="preserve"> As an alternative to only focusing on roadway capacity, the applicant may consider proposing multimodal solutions as mitigation for DRI impacts. </w:t>
            </w:r>
          </w:p>
          <w:p w:rsidR="00225952" w:rsidRDefault="00225952" w:rsidP="00F77AA9">
            <w:r>
              <w:t>Elements of the checklist pertaining to sufficient densities and intensities to support transit refer the reviewer to applicable local or regional regulatory mechanisms for specific parameters; however, if these parameters are not available, the applicant should be asked to justify proposed densities and intensities if transit is a proposed mode of accommodating person trips generated by the DRI.</w:t>
            </w:r>
            <w:r w:rsidRPr="00E84AE9">
              <w:t xml:space="preserve"> </w:t>
            </w:r>
          </w:p>
          <w:p w:rsidR="00225952" w:rsidRDefault="00225952" w:rsidP="00F77AA9">
            <w:r w:rsidRPr="00E84AE9">
              <w:t xml:space="preserve">At this point in the review many of the technical issues should be resolved and focus should be on the critical issues that may </w:t>
            </w:r>
            <w:r>
              <w:t>affect project approval</w:t>
            </w:r>
            <w:r w:rsidRPr="00E84AE9">
              <w:t xml:space="preserve">. </w:t>
            </w:r>
            <w:r>
              <w:t xml:space="preserve">The reviewer </w:t>
            </w:r>
            <w:r w:rsidRPr="00E84AE9">
              <w:t>should mak</w:t>
            </w:r>
            <w:r>
              <w:t>e</w:t>
            </w:r>
            <w:r w:rsidRPr="00E84AE9">
              <w:t xml:space="preserve"> sure that the information needed to make decisions regarding the need and type of mitigation has been provided by the applicant. If the </w:t>
            </w:r>
            <w:r>
              <w:t xml:space="preserve">FDOT reviewer </w:t>
            </w:r>
            <w:r w:rsidRPr="00E84AE9">
              <w:t>anticipates issues associated with making a sufficiency determination (i.e. methodology issues such as trip generation and background growth are still unresolved), the</w:t>
            </w:r>
            <w:r>
              <w:t xml:space="preserve">y </w:t>
            </w:r>
            <w:r w:rsidRPr="00E84AE9">
              <w:t xml:space="preserve">should contact the RPC and request a meeting with the applicant </w:t>
            </w:r>
            <w:r>
              <w:t>before</w:t>
            </w:r>
            <w:r w:rsidRPr="00E84AE9">
              <w:t xml:space="preserve"> submitting written comments. The product of the review will be a written set of comments requesting the applicant to provide additional information. This is often referred to as either the </w:t>
            </w:r>
            <w:r w:rsidRPr="00E84AE9">
              <w:rPr>
                <w:i/>
              </w:rPr>
              <w:t>2</w:t>
            </w:r>
            <w:r w:rsidRPr="00E84AE9">
              <w:rPr>
                <w:i/>
                <w:vertAlign w:val="superscript"/>
              </w:rPr>
              <w:t>nd</w:t>
            </w:r>
            <w:r w:rsidRPr="00E84AE9">
              <w:rPr>
                <w:i/>
              </w:rPr>
              <w:t xml:space="preserve"> Sufficiency Determination </w:t>
            </w:r>
            <w:r w:rsidRPr="00E84AE9">
              <w:t xml:space="preserve">or </w:t>
            </w:r>
            <w:r w:rsidRPr="00E84AE9">
              <w:rPr>
                <w:i/>
              </w:rPr>
              <w:t>2</w:t>
            </w:r>
            <w:r w:rsidRPr="00E84AE9">
              <w:rPr>
                <w:i/>
                <w:vertAlign w:val="superscript"/>
              </w:rPr>
              <w:t>nd</w:t>
            </w:r>
            <w:r w:rsidRPr="00E84AE9">
              <w:rPr>
                <w:i/>
              </w:rPr>
              <w:t xml:space="preserve"> Request for Additional Information.</w:t>
            </w:r>
          </w:p>
        </w:tc>
      </w:tr>
      <w:tr w:rsidR="00225952" w:rsidRPr="00E84AE9" w:rsidTr="00784F8A">
        <w:tc>
          <w:tcPr>
            <w:tcW w:w="10351" w:type="dxa"/>
            <w:gridSpan w:val="2"/>
          </w:tcPr>
          <w:p w:rsidR="00225952" w:rsidRDefault="00225952" w:rsidP="00C460EE">
            <w:pPr>
              <w:pStyle w:val="Heading3"/>
            </w:pPr>
            <w:bookmarkStart w:id="264" w:name="_Toc232912627"/>
            <w:bookmarkStart w:id="265" w:name="_Toc260316451"/>
            <w:bookmarkStart w:id="266" w:name="_Toc264274153"/>
            <w:r>
              <w:t>4.2.</w:t>
            </w:r>
            <w:r w:rsidR="00C460EE">
              <w:t>6</w:t>
            </w:r>
            <w:r>
              <w:t xml:space="preserve">   </w:t>
            </w:r>
            <w:r w:rsidRPr="00652B45">
              <w:t>Review of Applicant Response to 2</w:t>
            </w:r>
            <w:r w:rsidRPr="00652B45">
              <w:rPr>
                <w:vertAlign w:val="superscript"/>
              </w:rPr>
              <w:t>nd</w:t>
            </w:r>
            <w:r w:rsidRPr="00652B45">
              <w:t xml:space="preserve"> Request for Additional Information</w:t>
            </w:r>
            <w:bookmarkEnd w:id="264"/>
            <w:bookmarkEnd w:id="265"/>
            <w:bookmarkEnd w:id="266"/>
          </w:p>
        </w:tc>
      </w:tr>
      <w:tr w:rsidR="00225952" w:rsidRPr="00E84AE9" w:rsidTr="00784F8A">
        <w:tc>
          <w:tcPr>
            <w:tcW w:w="2429" w:type="dxa"/>
          </w:tcPr>
          <w:p w:rsidR="00225952" w:rsidRPr="00E84AE9" w:rsidRDefault="00225952" w:rsidP="00225952">
            <w:pPr>
              <w:pStyle w:val="Heading4"/>
              <w:rPr>
                <w:rStyle w:val="SubtleEmphasis"/>
                <w:i w:val="0"/>
                <w:iCs w:val="0"/>
                <w:color w:val="auto"/>
              </w:rPr>
            </w:pPr>
            <w:r w:rsidRPr="00652B45">
              <w:t>Applicant Requirements</w:t>
            </w:r>
          </w:p>
        </w:tc>
        <w:tc>
          <w:tcPr>
            <w:tcW w:w="7922" w:type="dxa"/>
          </w:tcPr>
          <w:p w:rsidR="00225952" w:rsidRDefault="00225952">
            <w:pPr>
              <w:spacing w:after="360"/>
            </w:pPr>
            <w:r w:rsidRPr="00E84AE9">
              <w:t>The applicant will provide written responses to agency comments (the agency’s 2</w:t>
            </w:r>
            <w:r w:rsidRPr="00E84AE9">
              <w:rPr>
                <w:vertAlign w:val="superscript"/>
              </w:rPr>
              <w:t>nd</w:t>
            </w:r>
            <w:r w:rsidRPr="00E84AE9">
              <w:t xml:space="preserve"> Request for Additional Information) and provide the responses for agency review</w:t>
            </w:r>
            <w:r>
              <w:t xml:space="preserve">. </w:t>
            </w:r>
            <w:r w:rsidRPr="00E84AE9">
              <w:t xml:space="preserve">After responding to the second request for additional information from the RPC, the applicant has satisfied the statutory requirements for an </w:t>
            </w:r>
            <w:smartTag w:uri="urn:schemas-microsoft-com:office:smarttags" w:element="place">
              <w:smartTag w:uri="urn:schemas-microsoft-com:office:smarttags" w:element="City">
                <w:r w:rsidRPr="00E84AE9">
                  <w:t>ADA</w:t>
                </w:r>
              </w:smartTag>
            </w:smartTag>
            <w:r w:rsidRPr="00E84AE9">
              <w:t xml:space="preserve"> submittal </w:t>
            </w:r>
            <w:hyperlink r:id="rId300" w:history="1">
              <w:r w:rsidRPr="007C09EC">
                <w:rPr>
                  <w:rStyle w:val="Hyperlink"/>
                </w:rPr>
                <w:t>(380.06(10)(b))FS</w:t>
              </w:r>
            </w:hyperlink>
            <w:r w:rsidRPr="00E84AE9">
              <w:t xml:space="preserve"> and has the ability to declare themselves sufficient (most frequent occurrence). Other options for the applicant </w:t>
            </w:r>
            <w:r>
              <w:t xml:space="preserve">may </w:t>
            </w:r>
            <w:r w:rsidRPr="00E84AE9">
              <w:t xml:space="preserve">include indicating that they will participate in an additional round of sufficiency review and seeking additional feedback from the review agencies outside of the formal sufficiency process. </w:t>
            </w:r>
          </w:p>
        </w:tc>
      </w:tr>
      <w:tr w:rsidR="00225952" w:rsidRPr="00E84AE9" w:rsidTr="00784F8A">
        <w:tc>
          <w:tcPr>
            <w:tcW w:w="2429" w:type="dxa"/>
          </w:tcPr>
          <w:p w:rsidR="00225952" w:rsidRPr="00652B45" w:rsidRDefault="00225952" w:rsidP="00225952">
            <w:pPr>
              <w:pStyle w:val="Heading4"/>
            </w:pPr>
            <w:r w:rsidRPr="00652B45">
              <w:lastRenderedPageBreak/>
              <w:t>FDOT Reviewer Role</w:t>
            </w:r>
          </w:p>
          <w:p w:rsidR="00225952" w:rsidRDefault="00225952" w:rsidP="00225952"/>
          <w:p w:rsidR="00BF2A16" w:rsidRPr="00E84AE9" w:rsidRDefault="00BF2A16" w:rsidP="00225952"/>
          <w:p w:rsidR="00225952" w:rsidRPr="00E84AE9" w:rsidRDefault="00225952" w:rsidP="00BF2A16">
            <w:pPr>
              <w:pStyle w:val="SidebarSentence"/>
            </w:pPr>
            <w:r w:rsidRPr="00E84AE9">
              <w:t xml:space="preserve">If applicant declares sufficiency but the </w:t>
            </w:r>
            <w:r>
              <w:t>FDOT</w:t>
            </w:r>
            <w:r w:rsidRPr="00E84AE9">
              <w:t xml:space="preserve"> disagrees, prepare written comments clearly outlining the unresolved issues</w:t>
            </w:r>
          </w:p>
        </w:tc>
        <w:tc>
          <w:tcPr>
            <w:tcW w:w="7922" w:type="dxa"/>
          </w:tcPr>
          <w:p w:rsidR="00225952" w:rsidRDefault="00225952">
            <w:r w:rsidRPr="00E84AE9">
              <w:t xml:space="preserve">If the applicant has allowed an additional round of sufficiency review, the </w:t>
            </w:r>
            <w:r>
              <w:t xml:space="preserve">FDOT reviewer </w:t>
            </w:r>
            <w:r w:rsidRPr="00E84AE9">
              <w:t xml:space="preserve">should follow the guidance in </w:t>
            </w:r>
            <w:r w:rsidR="00C460EE">
              <w:t>CH</w:t>
            </w:r>
            <w:r w:rsidRPr="00E84AE9">
              <w:t xml:space="preserve"> </w:t>
            </w:r>
            <w:r>
              <w:t>4</w:t>
            </w:r>
            <w:r w:rsidRPr="00E84AE9">
              <w:t>.2.</w:t>
            </w:r>
            <w:r w:rsidR="00C460EE">
              <w:t>5</w:t>
            </w:r>
            <w:r w:rsidRPr="00E84AE9">
              <w:t>. Focus should remain on the critical issues that impact study conclusions and close coordination should be maintained with the applicant, the RPC, and the local government.</w:t>
            </w:r>
            <w:r>
              <w:t xml:space="preserve"> </w:t>
            </w:r>
            <w:r w:rsidRPr="00E84AE9">
              <w:t>The product of the review will be a written set of comments requesting the applicant to provide additional information.</w:t>
            </w:r>
          </w:p>
          <w:p w:rsidR="00225952" w:rsidRDefault="00225952">
            <w:r w:rsidRPr="00E84AE9">
              <w:t>In cases where the applicant declares sufficiency but the FDOT disagrees, it is recommended that the FDOT prepare written comments clearly outlining the unresolved issues.</w:t>
            </w:r>
            <w:r>
              <w:t xml:space="preserve"> </w:t>
            </w:r>
            <w:r w:rsidRPr="00E84AE9">
              <w:t>The FDOT should quickly notify the RPC and local government and communicate that the FDOT does not find the study sufficient and inform the agencies of the FDOT’s planned next steps. Next steps should include:</w:t>
            </w:r>
          </w:p>
        </w:tc>
      </w:tr>
      <w:tr w:rsidR="00225952" w:rsidRPr="00E84AE9" w:rsidTr="00784F8A">
        <w:tc>
          <w:tcPr>
            <w:tcW w:w="2429" w:type="dxa"/>
          </w:tcPr>
          <w:p w:rsidR="00225952" w:rsidRPr="006B265B" w:rsidRDefault="00225952" w:rsidP="00225952">
            <w:pPr>
              <w:pStyle w:val="SidebarSentence"/>
              <w:rPr>
                <w:rStyle w:val="SubtleEmphasis"/>
                <w:i/>
                <w:iCs w:val="0"/>
              </w:rPr>
            </w:pPr>
          </w:p>
        </w:tc>
        <w:tc>
          <w:tcPr>
            <w:tcW w:w="7922" w:type="dxa"/>
          </w:tcPr>
          <w:p w:rsidR="00225952" w:rsidRDefault="00225952" w:rsidP="00AD2D7A">
            <w:pPr>
              <w:pStyle w:val="BulletA"/>
              <w:numPr>
                <w:ilvl w:val="0"/>
                <w:numId w:val="162"/>
              </w:numPr>
            </w:pPr>
            <w:r w:rsidRPr="004969F7">
              <w:t>Coordinat</w:t>
            </w:r>
            <w:r>
              <w:t>ing</w:t>
            </w:r>
            <w:r w:rsidRPr="004969F7">
              <w:t xml:space="preserve"> with other reviewing agencies , particularly DCA and the RPC and continu</w:t>
            </w:r>
            <w:r>
              <w:t>ing</w:t>
            </w:r>
            <w:r w:rsidRPr="004969F7">
              <w:t xml:space="preserve"> to keep them appraised of the situation</w:t>
            </w:r>
          </w:p>
          <w:p w:rsidR="00225952" w:rsidRDefault="00225952" w:rsidP="00AD2D7A">
            <w:pPr>
              <w:pStyle w:val="BulletA"/>
              <w:numPr>
                <w:ilvl w:val="0"/>
                <w:numId w:val="162"/>
              </w:numPr>
            </w:pPr>
            <w:r w:rsidRPr="002B1E74">
              <w:t xml:space="preserve">Contacting the applicant to see whether the applicant is willing to provide additional information to resolve the outstanding issues. If the applicant is willing to provide additional information, the </w:t>
            </w:r>
            <w:r>
              <w:t xml:space="preserve">FDOT reviewer </w:t>
            </w:r>
            <w:r w:rsidRPr="002B1E74">
              <w:t xml:space="preserve">should follow the guidance in Section </w:t>
            </w:r>
            <w:r>
              <w:t>4</w:t>
            </w:r>
            <w:r w:rsidRPr="002B1E74">
              <w:t>.2.</w:t>
            </w:r>
            <w:r w:rsidR="00C460EE">
              <w:t>5</w:t>
            </w:r>
            <w:r w:rsidRPr="002B1E74">
              <w:t>.</w:t>
            </w:r>
          </w:p>
          <w:p w:rsidR="00225952" w:rsidRDefault="00225952" w:rsidP="00AD2D7A">
            <w:pPr>
              <w:pStyle w:val="BulletA"/>
              <w:numPr>
                <w:ilvl w:val="0"/>
                <w:numId w:val="162"/>
              </w:numPr>
            </w:pPr>
            <w:r>
              <w:t>In instances</w:t>
            </w:r>
            <w:r w:rsidRPr="002B1E74">
              <w:t xml:space="preserve"> where the applicant will not provide additional information, the </w:t>
            </w:r>
            <w:r>
              <w:t xml:space="preserve">FDOT reviewer </w:t>
            </w:r>
            <w:r w:rsidRPr="002B1E74">
              <w:t>may need to conduct specific analysis procedures to determine the impacts to the study conclusions if the requested changes were made.</w:t>
            </w:r>
          </w:p>
          <w:p w:rsidR="00225952" w:rsidRDefault="00225952" w:rsidP="00AD2D7A">
            <w:pPr>
              <w:pStyle w:val="BulletA"/>
              <w:numPr>
                <w:ilvl w:val="1"/>
                <w:numId w:val="162"/>
              </w:numPr>
            </w:pPr>
            <w:r w:rsidRPr="002B1E74">
              <w:t xml:space="preserve">It is recommended that the </w:t>
            </w:r>
            <w:r>
              <w:t xml:space="preserve">FDOT reviewer </w:t>
            </w:r>
            <w:r w:rsidRPr="002B1E74">
              <w:t xml:space="preserve">meet with FDOT management to clearly outline the issues and the anticipated effort needed in conducting the specific analysis before initiating the work. </w:t>
            </w:r>
          </w:p>
          <w:p w:rsidR="00225952" w:rsidRDefault="00225952" w:rsidP="00AD2D7A">
            <w:pPr>
              <w:pStyle w:val="BulletA"/>
              <w:numPr>
                <w:ilvl w:val="1"/>
                <w:numId w:val="162"/>
              </w:numPr>
            </w:pPr>
            <w:r w:rsidRPr="002B1E74">
              <w:t xml:space="preserve">If it is found that the study conclusions would change, the </w:t>
            </w:r>
            <w:r>
              <w:t xml:space="preserve">FDOT reviewer </w:t>
            </w:r>
            <w:r w:rsidRPr="002B1E74">
              <w:t xml:space="preserve">should summarize the results of the additional analysis and present the different conclusions to the RPC and local government for inclusion in the RPC Assessment Report and the Local Government Development Order. </w:t>
            </w:r>
          </w:p>
          <w:p w:rsidR="00225952" w:rsidRDefault="00225952" w:rsidP="00AD2D7A">
            <w:pPr>
              <w:pStyle w:val="BulletA"/>
              <w:numPr>
                <w:ilvl w:val="1"/>
                <w:numId w:val="162"/>
              </w:numPr>
            </w:pPr>
            <w:r w:rsidRPr="002B1E74">
              <w:t xml:space="preserve">The </w:t>
            </w:r>
            <w:r>
              <w:t xml:space="preserve">FDOT reviewer </w:t>
            </w:r>
            <w:r w:rsidRPr="002B1E74">
              <w:t>should also be prepared to present the results of the analysis at the RPC Hearing and at the Local Government Public Hearings.</w:t>
            </w:r>
          </w:p>
        </w:tc>
      </w:tr>
    </w:tbl>
    <w:p w:rsidR="00F77AA9" w:rsidRDefault="00F77AA9">
      <w:bookmarkStart w:id="267" w:name="_Toc232912628"/>
      <w:bookmarkStart w:id="268" w:name="_Toc260316452"/>
      <w:bookmarkStart w:id="269" w:name="_Toc264274154"/>
      <w:r>
        <w:rPr>
          <w:b/>
          <w:bCs/>
        </w:rPr>
        <w:br w:type="page"/>
      </w:r>
    </w:p>
    <w:tbl>
      <w:tblPr>
        <w:tblW w:w="10351" w:type="dxa"/>
        <w:tblInd w:w="115" w:type="dxa"/>
        <w:tblLayout w:type="fixed"/>
        <w:tblCellMar>
          <w:left w:w="115" w:type="dxa"/>
          <w:right w:w="115" w:type="dxa"/>
        </w:tblCellMar>
        <w:tblLook w:val="0000"/>
      </w:tblPr>
      <w:tblGrid>
        <w:gridCol w:w="2429"/>
        <w:gridCol w:w="7922"/>
      </w:tblGrid>
      <w:tr w:rsidR="00225952" w:rsidRPr="00E84AE9" w:rsidTr="00784F8A">
        <w:tc>
          <w:tcPr>
            <w:tcW w:w="10351" w:type="dxa"/>
            <w:gridSpan w:val="2"/>
          </w:tcPr>
          <w:p w:rsidR="00225952" w:rsidRPr="00652B45" w:rsidRDefault="00C460EE" w:rsidP="00225952">
            <w:pPr>
              <w:pStyle w:val="Heading3"/>
            </w:pPr>
            <w:r>
              <w:lastRenderedPageBreak/>
              <w:t>4.2.7</w:t>
            </w:r>
            <w:r w:rsidR="00225952">
              <w:t xml:space="preserve">   </w:t>
            </w:r>
            <w:r w:rsidR="00225952" w:rsidRPr="00652B45">
              <w:t>Recommendations and Conditions Development</w:t>
            </w:r>
            <w:bookmarkEnd w:id="267"/>
            <w:bookmarkEnd w:id="268"/>
            <w:bookmarkEnd w:id="269"/>
          </w:p>
        </w:tc>
      </w:tr>
      <w:tr w:rsidR="00225952" w:rsidRPr="00E84AE9" w:rsidTr="00784F8A">
        <w:tc>
          <w:tcPr>
            <w:tcW w:w="2429" w:type="dxa"/>
          </w:tcPr>
          <w:p w:rsidR="00225952" w:rsidRDefault="00225952" w:rsidP="00225952">
            <w:pPr>
              <w:pStyle w:val="SidebarSentence"/>
              <w:rPr>
                <w:rStyle w:val="SubtleEmphasis"/>
                <w:i/>
                <w:iCs w:val="0"/>
              </w:rPr>
            </w:pPr>
          </w:p>
          <w:p w:rsidR="00225952" w:rsidRDefault="00225952" w:rsidP="00225952">
            <w:pPr>
              <w:pStyle w:val="SidebarSentence"/>
              <w:rPr>
                <w:rStyle w:val="SubtleEmphasis"/>
                <w:i/>
                <w:iCs w:val="0"/>
              </w:rPr>
            </w:pPr>
          </w:p>
          <w:p w:rsidR="00225952" w:rsidRDefault="00225952" w:rsidP="00255107">
            <w:pPr>
              <w:pStyle w:val="HeadSide20"/>
              <w:rPr>
                <w:rStyle w:val="SubtleEmphasis"/>
                <w:i/>
                <w:iCs w:val="0"/>
              </w:rPr>
            </w:pPr>
          </w:p>
          <w:p w:rsidR="00225952" w:rsidRDefault="00225952" w:rsidP="00255107">
            <w:pPr>
              <w:pStyle w:val="HeadSide20"/>
              <w:rPr>
                <w:rStyle w:val="SubtleEmphasis"/>
                <w:i/>
                <w:iCs w:val="0"/>
              </w:rPr>
            </w:pPr>
          </w:p>
          <w:p w:rsidR="00225952" w:rsidRDefault="00225952" w:rsidP="00255107">
            <w:pPr>
              <w:pStyle w:val="HeadSide20"/>
              <w:rPr>
                <w:rStyle w:val="SubtleEmphasis"/>
                <w:i/>
                <w:iCs w:val="0"/>
              </w:rPr>
            </w:pPr>
          </w:p>
          <w:p w:rsidR="00225952" w:rsidRDefault="00225952" w:rsidP="00255107">
            <w:pPr>
              <w:pStyle w:val="HeadSide20"/>
              <w:rPr>
                <w:rStyle w:val="SubtleEmphasis"/>
              </w:rPr>
            </w:pPr>
          </w:p>
          <w:p w:rsidR="00225952" w:rsidRDefault="00225952" w:rsidP="00255107">
            <w:pPr>
              <w:pStyle w:val="HeadSide20"/>
              <w:rPr>
                <w:rStyle w:val="SubtleEmphasis"/>
              </w:rPr>
            </w:pPr>
          </w:p>
          <w:p w:rsidR="00225952" w:rsidRDefault="00225952" w:rsidP="00255107">
            <w:pPr>
              <w:pStyle w:val="HeadSide20"/>
            </w:pPr>
          </w:p>
          <w:p w:rsidR="00225952" w:rsidRDefault="00225952">
            <w:pPr>
              <w:pStyle w:val="HeadSideR"/>
              <w:rPr>
                <w:rStyle w:val="SubtleEmphasis"/>
                <w:b/>
                <w:iCs w:val="0"/>
                <w:color w:val="404040"/>
                <w:sz w:val="28"/>
              </w:rPr>
            </w:pPr>
            <w:r>
              <w:drawing>
                <wp:anchor distT="0" distB="0" distL="114300" distR="114300" simplePos="0" relativeHeight="251668480" behindDoc="1" locked="0" layoutInCell="1" allowOverlap="1">
                  <wp:simplePos x="0" y="0"/>
                  <wp:positionH relativeFrom="column">
                    <wp:posOffset>71755</wp:posOffset>
                  </wp:positionH>
                  <wp:positionV relativeFrom="paragraph">
                    <wp:align>bottom</wp:align>
                  </wp:positionV>
                  <wp:extent cx="1409700" cy="552450"/>
                  <wp:effectExtent l="19050" t="0" r="0" b="0"/>
                  <wp:wrapNone/>
                  <wp:docPr id="85" name="Picture 27" descr="button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buttonResource"/>
                          <pic:cNvPicPr>
                            <a:picLocks noChangeAspect="1" noChangeArrowheads="1"/>
                          </pic:cNvPicPr>
                        </pic:nvPicPr>
                        <pic:blipFill>
                          <a:blip r:embed="rId274" cstate="print"/>
                          <a:srcRect/>
                          <a:stretch>
                            <a:fillRect/>
                          </a:stretch>
                        </pic:blipFill>
                        <pic:spPr bwMode="auto">
                          <a:xfrm>
                            <a:off x="0" y="0"/>
                            <a:ext cx="1409700" cy="552450"/>
                          </a:xfrm>
                          <a:prstGeom prst="rect">
                            <a:avLst/>
                          </a:prstGeom>
                          <a:noFill/>
                          <a:ln w="9525">
                            <a:noFill/>
                            <a:miter lim="800000"/>
                            <a:headEnd/>
                            <a:tailEnd/>
                          </a:ln>
                        </pic:spPr>
                      </pic:pic>
                    </a:graphicData>
                  </a:graphic>
                </wp:anchor>
              </w:drawing>
            </w:r>
            <w:r>
              <w:t>Multimodal</w:t>
            </w:r>
            <w:r>
              <w:br/>
              <w:t>Examples</w:t>
            </w:r>
          </w:p>
        </w:tc>
        <w:tc>
          <w:tcPr>
            <w:tcW w:w="7922" w:type="dxa"/>
          </w:tcPr>
          <w:p w:rsidR="00225952" w:rsidRDefault="00225952">
            <w:r w:rsidRPr="00C7317A">
              <w:t>Upon completion of the DRI ADA review, the FDOT reviewer should develop recommendations to ensure the developer mitigates the impact of the DRI on the transportation system.</w:t>
            </w:r>
            <w:r>
              <w:t xml:space="preserve"> Chapter 5 of this document is devoted entirely to mitigation. </w:t>
            </w:r>
          </w:p>
          <w:p w:rsidR="00225952" w:rsidRDefault="00225952">
            <w:r w:rsidRPr="00E84AE9">
              <w:t xml:space="preserve">The development of recommendations and conditions is intended to document the agreements discussed during the </w:t>
            </w:r>
            <w:smartTag w:uri="urn:schemas-microsoft-com:office:smarttags" w:element="place">
              <w:smartTag w:uri="urn:schemas-microsoft-com:office:smarttags" w:element="City">
                <w:r w:rsidRPr="00E84AE9">
                  <w:t>ADA</w:t>
                </w:r>
              </w:smartTag>
            </w:smartTag>
            <w:r w:rsidRPr="00E84AE9">
              <w:t xml:space="preserve"> review process.</w:t>
            </w:r>
            <w:r>
              <w:t xml:space="preserve"> </w:t>
            </w:r>
            <w:r w:rsidRPr="00E84AE9">
              <w:t xml:space="preserve">For example, if </w:t>
            </w:r>
            <w:r>
              <w:t xml:space="preserve">transportation or </w:t>
            </w:r>
            <w:r w:rsidRPr="00E84AE9">
              <w:t xml:space="preserve">traffic monitoring studies were agreed to during the study process, the requirement that the applicant conduct those studies needs to be documented and included in the RPC Assessment Report and as conditions in the local government’s </w:t>
            </w:r>
            <w:r>
              <w:t xml:space="preserve">draft </w:t>
            </w:r>
            <w:r w:rsidRPr="00E84AE9">
              <w:t>D</w:t>
            </w:r>
            <w:r>
              <w:t xml:space="preserve">evelopment </w:t>
            </w:r>
            <w:r w:rsidRPr="00E84AE9">
              <w:t>O</w:t>
            </w:r>
            <w:r>
              <w:t>rder</w:t>
            </w:r>
            <w:r w:rsidRPr="00E84AE9">
              <w:t>. This document may also be used to present FDOT concerns that remain after the sufficiency iterations which may change the conclusion of project impacts.</w:t>
            </w:r>
          </w:p>
          <w:p w:rsidR="00225952" w:rsidRDefault="00225952">
            <w:r w:rsidRPr="003C758E">
              <w:t xml:space="preserve">Examples of FDOT </w:t>
            </w:r>
            <w:r>
              <w:t xml:space="preserve">multimodal </w:t>
            </w:r>
            <w:r w:rsidRPr="003C758E">
              <w:t xml:space="preserve">recommendations can be found in </w:t>
            </w:r>
            <w:hyperlink w:anchor="APXD" w:history="1">
              <w:r w:rsidR="00BF5238" w:rsidRPr="00107F14">
                <w:rPr>
                  <w:rStyle w:val="Hyperlink"/>
                  <w:rFonts w:cstheme="minorBidi"/>
                </w:rPr>
                <w:t>Appendix D</w:t>
              </w:r>
            </w:hyperlink>
            <w:r w:rsidRPr="003C758E">
              <w:t xml:space="preserve"> </w:t>
            </w:r>
            <w:r w:rsidR="00BF5238">
              <w:rPr>
                <w:b/>
              </w:rPr>
              <w:t>Sample Proposed Transportation Methodology Comments (Orchard Park)</w:t>
            </w:r>
            <w:r w:rsidRPr="003C758E">
              <w:t xml:space="preserve">. </w:t>
            </w:r>
          </w:p>
          <w:p w:rsidR="00225952" w:rsidRDefault="00225952"/>
        </w:tc>
      </w:tr>
      <w:tr w:rsidR="00225952" w:rsidRPr="00E84AE9" w:rsidTr="00784F8A">
        <w:tc>
          <w:tcPr>
            <w:tcW w:w="2429" w:type="dxa"/>
          </w:tcPr>
          <w:p w:rsidR="00225952" w:rsidRPr="00E84AE9" w:rsidRDefault="00225952" w:rsidP="00225952">
            <w:pPr>
              <w:pStyle w:val="Heading4"/>
              <w:rPr>
                <w:rStyle w:val="SubtleEmphasis"/>
                <w:i w:val="0"/>
                <w:iCs w:val="0"/>
                <w:color w:val="auto"/>
              </w:rPr>
            </w:pPr>
            <w:r w:rsidRPr="00652B45">
              <w:t>FDOT Reviewer Role</w:t>
            </w:r>
          </w:p>
        </w:tc>
        <w:tc>
          <w:tcPr>
            <w:tcW w:w="7922" w:type="dxa"/>
          </w:tcPr>
          <w:p w:rsidR="00225952" w:rsidRDefault="00225952">
            <w:pPr>
              <w:spacing w:after="120"/>
            </w:pPr>
            <w:r w:rsidRPr="00E84AE9">
              <w:t xml:space="preserve">The </w:t>
            </w:r>
            <w:r>
              <w:t xml:space="preserve">FDOT reviewer </w:t>
            </w:r>
            <w:r w:rsidRPr="00E84AE9">
              <w:t>should work closely with the RPC</w:t>
            </w:r>
            <w:r>
              <w:t>, DCA, and local government</w:t>
            </w:r>
            <w:r w:rsidRPr="00E84AE9">
              <w:t xml:space="preserve"> to ensure that FDOT concerns are incorporated into the RPC Assessment Report and as conditions in the local government’s DO. The </w:t>
            </w:r>
            <w:r>
              <w:t xml:space="preserve">FDOT reviewer </w:t>
            </w:r>
            <w:r w:rsidRPr="00E84AE9">
              <w:t>should also work toward having a</w:t>
            </w:r>
            <w:r>
              <w:t xml:space="preserve">n agreed upon </w:t>
            </w:r>
            <w:r w:rsidRPr="00E84AE9">
              <w:t xml:space="preserve">mitigation package in the RPC Assessment Report. </w:t>
            </w:r>
          </w:p>
          <w:p w:rsidR="00225952" w:rsidRDefault="00225952">
            <w:pPr>
              <w:spacing w:after="120"/>
            </w:pPr>
            <w:r w:rsidRPr="00E84AE9">
              <w:t xml:space="preserve">If the </w:t>
            </w:r>
            <w:r>
              <w:t xml:space="preserve">FDOT reviewer </w:t>
            </w:r>
            <w:r w:rsidRPr="00E84AE9">
              <w:t xml:space="preserve">believes </w:t>
            </w:r>
            <w:r>
              <w:t>that the agreements made during the ADA Review process fail</w:t>
            </w:r>
            <w:r w:rsidRPr="00E84AE9">
              <w:t xml:space="preserve"> to adequately ensure the integrity of the SIS/SHS, the District Secretary or Designee should be notified</w:t>
            </w:r>
            <w:r>
              <w:t xml:space="preserve"> </w:t>
            </w:r>
            <w:r w:rsidRPr="00E84AE9">
              <w:t>immediately</w:t>
            </w:r>
            <w:r>
              <w:t>.</w:t>
            </w:r>
          </w:p>
          <w:p w:rsidR="00225952" w:rsidRDefault="00225952">
            <w:r w:rsidRPr="00E84AE9">
              <w:t xml:space="preserve">The </w:t>
            </w:r>
            <w:r>
              <w:t xml:space="preserve">FDOT reviewer </w:t>
            </w:r>
            <w:r w:rsidRPr="00E84AE9">
              <w:t>is encouraged to contact the RPC and local government to determine the format, delivery, and time frame of FDOT comments. At a minimum, a letter to the RPC containing a list of key issues, a summary of the commitments agreed to by the Applicant, and a listing of general DO conditions should be issued.</w:t>
            </w:r>
            <w:r>
              <w:t xml:space="preserve"> </w:t>
            </w:r>
            <w:r w:rsidRPr="00E84AE9">
              <w:t>Depending on the RPC and local government, detailed recommendations in language ready to be included in the DO may be requested.</w:t>
            </w:r>
          </w:p>
        </w:tc>
      </w:tr>
    </w:tbl>
    <w:p w:rsidR="00F77AA9" w:rsidRDefault="00F77AA9">
      <w:bookmarkStart w:id="270" w:name="_Toc232912629"/>
      <w:bookmarkStart w:id="271" w:name="_Toc260316453"/>
      <w:bookmarkStart w:id="272" w:name="_Toc264274155"/>
      <w:r>
        <w:rPr>
          <w:b/>
          <w:bCs/>
        </w:rPr>
        <w:br w:type="page"/>
      </w:r>
    </w:p>
    <w:tbl>
      <w:tblPr>
        <w:tblW w:w="10466" w:type="dxa"/>
        <w:tblLayout w:type="fixed"/>
        <w:tblCellMar>
          <w:left w:w="115" w:type="dxa"/>
          <w:right w:w="115" w:type="dxa"/>
        </w:tblCellMar>
        <w:tblLook w:val="0000"/>
      </w:tblPr>
      <w:tblGrid>
        <w:gridCol w:w="115"/>
        <w:gridCol w:w="2340"/>
        <w:gridCol w:w="89"/>
        <w:gridCol w:w="7922"/>
      </w:tblGrid>
      <w:tr w:rsidR="00225952" w:rsidRPr="00E84AE9" w:rsidTr="00F77AA9">
        <w:trPr>
          <w:gridBefore w:val="1"/>
          <w:wBefore w:w="115" w:type="dxa"/>
        </w:trPr>
        <w:tc>
          <w:tcPr>
            <w:tcW w:w="10351" w:type="dxa"/>
            <w:gridSpan w:val="3"/>
          </w:tcPr>
          <w:p w:rsidR="00225952" w:rsidRDefault="00C460EE" w:rsidP="00305F9A">
            <w:pPr>
              <w:pStyle w:val="Heading3"/>
            </w:pPr>
            <w:r>
              <w:lastRenderedPageBreak/>
              <w:t>4.2.8</w:t>
            </w:r>
            <w:r w:rsidR="00225952">
              <w:t xml:space="preserve">   </w:t>
            </w:r>
            <w:r w:rsidR="00225952" w:rsidRPr="00652B45">
              <w:t>RPC Assessment Report</w:t>
            </w:r>
            <w:bookmarkEnd w:id="270"/>
            <w:r w:rsidR="00225952">
              <w:t xml:space="preserve"> </w:t>
            </w:r>
            <w:r w:rsidR="00225952" w:rsidRPr="003A59AA">
              <w:rPr>
                <w:sz w:val="22"/>
              </w:rPr>
              <w:t>(Also referred to as Regional Report and Recommendation</w:t>
            </w:r>
            <w:r w:rsidR="00446B07">
              <w:rPr>
                <w:sz w:val="22"/>
              </w:rPr>
              <w:t xml:space="preserve">s </w:t>
            </w:r>
            <w:r w:rsidR="00305F9A" w:rsidRPr="00D40977">
              <w:rPr>
                <w:sz w:val="22"/>
              </w:rPr>
              <w:t>9J-2.024</w:t>
            </w:r>
            <w:r w:rsidR="00225952" w:rsidRPr="003A59AA">
              <w:rPr>
                <w:sz w:val="22"/>
              </w:rPr>
              <w:t>)</w:t>
            </w:r>
            <w:bookmarkEnd w:id="271"/>
            <w:bookmarkEnd w:id="272"/>
            <w:r w:rsidR="00225952" w:rsidRPr="003A59AA">
              <w:rPr>
                <w:sz w:val="22"/>
              </w:rPr>
              <w:t xml:space="preserve"> </w:t>
            </w:r>
          </w:p>
        </w:tc>
      </w:tr>
      <w:tr w:rsidR="00225952" w:rsidRPr="00E84AE9" w:rsidTr="00F77AA9">
        <w:trPr>
          <w:gridBefore w:val="1"/>
          <w:wBefore w:w="115" w:type="dxa"/>
        </w:trPr>
        <w:tc>
          <w:tcPr>
            <w:tcW w:w="2429" w:type="dxa"/>
            <w:gridSpan w:val="2"/>
          </w:tcPr>
          <w:p w:rsidR="00225952" w:rsidRPr="006B265B" w:rsidRDefault="00225952" w:rsidP="00225952">
            <w:pPr>
              <w:pStyle w:val="SidebarSentence"/>
              <w:rPr>
                <w:rStyle w:val="SubtleEmphasis"/>
                <w:i/>
                <w:iCs w:val="0"/>
              </w:rPr>
            </w:pPr>
          </w:p>
        </w:tc>
        <w:tc>
          <w:tcPr>
            <w:tcW w:w="7922" w:type="dxa"/>
          </w:tcPr>
          <w:p w:rsidR="00225952" w:rsidRDefault="00225952">
            <w:r w:rsidRPr="00E84AE9">
              <w:t>The RPC has 50 days after receipt of the notice of public hearing (</w:t>
            </w:r>
            <w:hyperlink r:id="rId301" w:history="1">
              <w:r w:rsidRPr="00E25D41">
                <w:rPr>
                  <w:rStyle w:val="Hyperlink"/>
                </w:rPr>
                <w:t>9J-2.024</w:t>
              </w:r>
            </w:hyperlink>
            <w:r w:rsidRPr="00E84AE9">
              <w:t>)</w:t>
            </w:r>
            <w:r>
              <w:t xml:space="preserve"> </w:t>
            </w:r>
            <w:hyperlink r:id="rId302" w:history="1">
              <w:r w:rsidRPr="003D42AD">
                <w:rPr>
                  <w:rStyle w:val="Hyperlink"/>
                </w:rPr>
                <w:t>380.06(12), Florida Statutes</w:t>
              </w:r>
            </w:hyperlink>
            <w:r w:rsidRPr="00E84AE9">
              <w:t xml:space="preserve">, to prepare and submit a formal </w:t>
            </w:r>
            <w:r w:rsidRPr="00E84AE9">
              <w:rPr>
                <w:b/>
                <w:bCs/>
              </w:rPr>
              <w:t xml:space="preserve">Assessment Report </w:t>
            </w:r>
            <w:r w:rsidRPr="00E84AE9">
              <w:t>detailing recommendations to the local government</w:t>
            </w:r>
            <w:r>
              <w:t xml:space="preserve">, </w:t>
            </w:r>
            <w:r w:rsidRPr="00E84AE9">
              <w:t xml:space="preserve">the </w:t>
            </w:r>
            <w:r>
              <w:t>Developer, and DCA</w:t>
            </w:r>
            <w:r w:rsidRPr="00E84AE9">
              <w:t xml:space="preserve"> on the regional impact of the proposed development</w:t>
            </w:r>
            <w:r>
              <w:t>. Ideally, though not required, t</w:t>
            </w:r>
            <w:r w:rsidRPr="00E84AE9">
              <w:t xml:space="preserve">he RPC makes the necessary review modifications and submits the adopted report to the local government and applicant at least 10 days in advance of the public hearing. </w:t>
            </w:r>
          </w:p>
        </w:tc>
      </w:tr>
      <w:tr w:rsidR="00225952" w:rsidRPr="00E84AE9" w:rsidTr="00F77AA9">
        <w:trPr>
          <w:gridBefore w:val="1"/>
          <w:wBefore w:w="115" w:type="dxa"/>
        </w:trPr>
        <w:tc>
          <w:tcPr>
            <w:tcW w:w="2429" w:type="dxa"/>
            <w:gridSpan w:val="2"/>
          </w:tcPr>
          <w:p w:rsidR="00225952" w:rsidRPr="00652B45" w:rsidRDefault="00225952" w:rsidP="004426D7">
            <w:pPr>
              <w:pStyle w:val="Heading4"/>
              <w:spacing w:after="120"/>
            </w:pPr>
            <w:r w:rsidRPr="00652B45">
              <w:t>FDOT Reviewer Role</w:t>
            </w:r>
          </w:p>
          <w:p w:rsidR="00225952" w:rsidRPr="00E84AE9" w:rsidRDefault="00225952" w:rsidP="00225952">
            <w:pPr>
              <w:pStyle w:val="SidebarSentence"/>
            </w:pPr>
            <w:r w:rsidRPr="00E84AE9">
              <w:t xml:space="preserve">Make sure </w:t>
            </w:r>
            <w:r>
              <w:t>FDOT</w:t>
            </w:r>
            <w:r w:rsidRPr="00E84AE9">
              <w:t xml:space="preserve"> recommendations and conditions are properly documented</w:t>
            </w:r>
          </w:p>
        </w:tc>
        <w:tc>
          <w:tcPr>
            <w:tcW w:w="7922" w:type="dxa"/>
          </w:tcPr>
          <w:p w:rsidR="00225952" w:rsidRDefault="00225952">
            <w:r w:rsidRPr="00E84AE9">
              <w:t xml:space="preserve">The </w:t>
            </w:r>
            <w:r>
              <w:t xml:space="preserve">FDOT reviewer </w:t>
            </w:r>
            <w:r w:rsidRPr="00E84AE9">
              <w:t>should review this report to make sure FDOT recommendations and conditions are properly documented. This is important since this report will often be used to develop and subsequently adopt the binding DO between the applicant and the local government.</w:t>
            </w:r>
            <w:r>
              <w:t xml:space="preserve"> </w:t>
            </w:r>
            <w:r w:rsidRPr="00E84AE9">
              <w:t xml:space="preserve">The FDOT’s review will be solicited by the RPC for incorporation into the </w:t>
            </w:r>
            <w:r w:rsidRPr="00E84AE9">
              <w:rPr>
                <w:b/>
                <w:bCs/>
              </w:rPr>
              <w:t>RPC Assessment Report</w:t>
            </w:r>
            <w:r w:rsidRPr="00E84AE9">
              <w:t xml:space="preserve"> typically allowing less than 30 days for response</w:t>
            </w:r>
            <w:r>
              <w:t xml:space="preserve">. </w:t>
            </w:r>
          </w:p>
        </w:tc>
      </w:tr>
      <w:tr w:rsidR="00225952" w:rsidRPr="00E84AE9" w:rsidTr="00F77AA9">
        <w:tc>
          <w:tcPr>
            <w:tcW w:w="10466" w:type="dxa"/>
            <w:gridSpan w:val="4"/>
          </w:tcPr>
          <w:p w:rsidR="00225952" w:rsidRDefault="00225952" w:rsidP="00C460EE">
            <w:pPr>
              <w:pStyle w:val="Heading3"/>
            </w:pPr>
            <w:bookmarkStart w:id="273" w:name="_Toc232912630"/>
            <w:bookmarkStart w:id="274" w:name="_Toc260316454"/>
            <w:r>
              <w:rPr>
                <w:b w:val="0"/>
                <w:bCs w:val="0"/>
              </w:rPr>
              <w:br w:type="page"/>
            </w:r>
            <w:bookmarkStart w:id="275" w:name="_Toc264274156"/>
            <w:r>
              <w:t>4.2.</w:t>
            </w:r>
            <w:r w:rsidR="00C460EE">
              <w:t>9</w:t>
            </w:r>
            <w:r>
              <w:t xml:space="preserve">   </w:t>
            </w:r>
            <w:r w:rsidRPr="00652B45">
              <w:t>Local Government Draft Development Order Review</w:t>
            </w:r>
            <w:bookmarkEnd w:id="273"/>
            <w:bookmarkEnd w:id="274"/>
            <w:bookmarkEnd w:id="275"/>
            <w:r w:rsidRPr="00E84AE9">
              <w:rPr>
                <w:color w:val="FF0000"/>
              </w:rPr>
              <w:t xml:space="preserve"> </w:t>
            </w:r>
          </w:p>
        </w:tc>
      </w:tr>
      <w:tr w:rsidR="00225952" w:rsidRPr="00E84AE9" w:rsidTr="00F77AA9">
        <w:tc>
          <w:tcPr>
            <w:tcW w:w="2455" w:type="dxa"/>
            <w:gridSpan w:val="2"/>
          </w:tcPr>
          <w:p w:rsidR="00225952" w:rsidRPr="006B265B" w:rsidRDefault="00225952" w:rsidP="00225952">
            <w:pPr>
              <w:pStyle w:val="SidebarSentence"/>
              <w:rPr>
                <w:rStyle w:val="SubtleEmphasis"/>
                <w:i/>
                <w:iCs w:val="0"/>
              </w:rPr>
            </w:pPr>
          </w:p>
        </w:tc>
        <w:tc>
          <w:tcPr>
            <w:tcW w:w="8011" w:type="dxa"/>
            <w:gridSpan w:val="2"/>
          </w:tcPr>
          <w:p w:rsidR="00225952" w:rsidRDefault="00225952">
            <w:r w:rsidRPr="00E84AE9">
              <w:t xml:space="preserve">The Local Government Development Order (LGDO) is issued a maximum of 30 calendar days from the day of the public hearing. </w:t>
            </w:r>
          </w:p>
        </w:tc>
      </w:tr>
      <w:tr w:rsidR="00225952" w:rsidRPr="00E84AE9" w:rsidTr="00F77AA9">
        <w:tc>
          <w:tcPr>
            <w:tcW w:w="2455" w:type="dxa"/>
            <w:gridSpan w:val="2"/>
          </w:tcPr>
          <w:p w:rsidR="00225952" w:rsidRPr="00652B45" w:rsidRDefault="00225952" w:rsidP="00225952">
            <w:pPr>
              <w:pStyle w:val="Heading4"/>
            </w:pPr>
            <w:r w:rsidRPr="00652B45">
              <w:t>FDOT Reviewer Role</w:t>
            </w:r>
          </w:p>
          <w:p w:rsidR="00225952" w:rsidRPr="00E84AE9" w:rsidRDefault="00225952" w:rsidP="00225952">
            <w:pPr>
              <w:pStyle w:val="SidebarSentence"/>
            </w:pPr>
          </w:p>
          <w:p w:rsidR="00225952" w:rsidRPr="00E84AE9" w:rsidRDefault="00225952" w:rsidP="00225952">
            <w:pPr>
              <w:pStyle w:val="SidebarSentence"/>
            </w:pPr>
            <w:r w:rsidRPr="00E84AE9">
              <w:t xml:space="preserve">Ensure that </w:t>
            </w:r>
            <w:r>
              <w:t>mobility</w:t>
            </w:r>
            <w:r w:rsidRPr="00E84AE9">
              <w:t xml:space="preserve"> on SIS/SHS segments </w:t>
            </w:r>
            <w:r>
              <w:t xml:space="preserve">has been </w:t>
            </w:r>
            <w:r w:rsidRPr="00E84AE9">
              <w:t xml:space="preserve">adequately </w:t>
            </w:r>
            <w:r>
              <w:t>addressed</w:t>
            </w:r>
          </w:p>
          <w:p w:rsidR="00225952" w:rsidRDefault="00225952" w:rsidP="00255107">
            <w:pPr>
              <w:pStyle w:val="HeadSide20"/>
            </w:pPr>
          </w:p>
          <w:p w:rsidR="00225952" w:rsidRDefault="00225952" w:rsidP="00225952">
            <w:pPr>
              <w:pStyle w:val="HeadSideR"/>
              <w:rPr>
                <w:rStyle w:val="SubtleEmphasis"/>
                <w:i w:val="0"/>
                <w:iCs w:val="0"/>
                <w:color w:val="404040"/>
              </w:rPr>
            </w:pPr>
            <w:r>
              <w:drawing>
                <wp:anchor distT="0" distB="0" distL="114300" distR="114300" simplePos="0" relativeHeight="251669504" behindDoc="1" locked="0" layoutInCell="1" allowOverlap="1">
                  <wp:simplePos x="0" y="0"/>
                  <wp:positionH relativeFrom="column">
                    <wp:posOffset>71755</wp:posOffset>
                  </wp:positionH>
                  <wp:positionV relativeFrom="paragraph">
                    <wp:align>bottom</wp:align>
                  </wp:positionV>
                  <wp:extent cx="1409700" cy="552450"/>
                  <wp:effectExtent l="19050" t="0" r="0" b="0"/>
                  <wp:wrapNone/>
                  <wp:docPr id="87" name="Picture 28" descr="button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buttonResource"/>
                          <pic:cNvPicPr>
                            <a:picLocks noChangeAspect="1" noChangeArrowheads="1"/>
                          </pic:cNvPicPr>
                        </pic:nvPicPr>
                        <pic:blipFill>
                          <a:blip r:embed="rId274" cstate="print"/>
                          <a:srcRect/>
                          <a:stretch>
                            <a:fillRect/>
                          </a:stretch>
                        </pic:blipFill>
                        <pic:spPr bwMode="auto">
                          <a:xfrm>
                            <a:off x="0" y="0"/>
                            <a:ext cx="1409700" cy="552450"/>
                          </a:xfrm>
                          <a:prstGeom prst="rect">
                            <a:avLst/>
                          </a:prstGeom>
                          <a:noFill/>
                          <a:ln w="9525">
                            <a:noFill/>
                            <a:miter lim="800000"/>
                            <a:headEnd/>
                            <a:tailEnd/>
                          </a:ln>
                        </pic:spPr>
                      </pic:pic>
                    </a:graphicData>
                  </a:graphic>
                </wp:anchor>
              </w:drawing>
            </w:r>
            <w:r>
              <w:t>LGDO Review</w:t>
            </w:r>
            <w:r>
              <w:br/>
              <w:t>Checklist 4</w:t>
            </w:r>
          </w:p>
          <w:p w:rsidR="00225952" w:rsidRPr="00E84AE9" w:rsidRDefault="00225952" w:rsidP="00225952"/>
          <w:p w:rsidR="00225952" w:rsidRPr="00E84AE9" w:rsidRDefault="00225952" w:rsidP="00225952"/>
        </w:tc>
        <w:tc>
          <w:tcPr>
            <w:tcW w:w="8011" w:type="dxa"/>
            <w:gridSpan w:val="2"/>
          </w:tcPr>
          <w:p w:rsidR="00225952" w:rsidRDefault="00225952">
            <w:r w:rsidRPr="00E84AE9">
              <w:t xml:space="preserve">The LGDO Review is the FDOT’s final opportunity to ensure that </w:t>
            </w:r>
            <w:r>
              <w:t>mobility</w:t>
            </w:r>
            <w:r w:rsidRPr="00E84AE9">
              <w:t xml:space="preserve"> on SIS/SHS segments located in the project impact area </w:t>
            </w:r>
            <w:r>
              <w:t>has been</w:t>
            </w:r>
            <w:r w:rsidRPr="00E84AE9">
              <w:t xml:space="preserve"> adequately </w:t>
            </w:r>
            <w:r>
              <w:t>addressed</w:t>
            </w:r>
            <w:r w:rsidRPr="00E84AE9">
              <w:t>.</w:t>
            </w:r>
            <w:r>
              <w:t xml:space="preserve"> </w:t>
            </w:r>
            <w:r w:rsidRPr="00E84AE9">
              <w:t>The reviewer should work to obtain a draft DO from t</w:t>
            </w:r>
            <w:r>
              <w:t>he local government no later tha</w:t>
            </w:r>
            <w:r w:rsidRPr="00E84AE9">
              <w:t xml:space="preserve">n 15 days </w:t>
            </w:r>
            <w:r>
              <w:t>before</w:t>
            </w:r>
            <w:r w:rsidRPr="00E84AE9">
              <w:t xml:space="preserve"> the hearing date. The purpose is to resolve any outstanding issues before the DO is rendered, minimizing the chance of an appeal to the DO once it is issued.</w:t>
            </w:r>
          </w:p>
          <w:p w:rsidR="00225952" w:rsidRDefault="00225952" w:rsidP="004426D7">
            <w:pPr>
              <w:spacing w:after="0"/>
            </w:pPr>
            <w:r w:rsidRPr="00E84AE9">
              <w:t xml:space="preserve">The LGDO Review </w:t>
            </w:r>
            <w:r w:rsidRPr="0053113F">
              <w:t>checklist (</w:t>
            </w:r>
            <w:hyperlink w:anchor="C4" w:history="1">
              <w:r w:rsidRPr="004426D7">
                <w:rPr>
                  <w:rStyle w:val="Hyperlink"/>
                  <w:rFonts w:cstheme="minorBidi"/>
                </w:rPr>
                <w:t>DRI Checklist 4</w:t>
              </w:r>
            </w:hyperlink>
            <w:r w:rsidRPr="0053113F">
              <w:t>)</w:t>
            </w:r>
            <w:r w:rsidRPr="00E84AE9">
              <w:t xml:space="preserve"> has been designed to address these points: </w:t>
            </w:r>
          </w:p>
          <w:p w:rsidR="00225952" w:rsidRDefault="00225952" w:rsidP="008D2D1A">
            <w:pPr>
              <w:numPr>
                <w:ilvl w:val="0"/>
                <w:numId w:val="25"/>
              </w:numPr>
              <w:spacing w:after="0"/>
            </w:pPr>
            <w:r w:rsidRPr="00E84AE9">
              <w:t xml:space="preserve">preservation of </w:t>
            </w:r>
            <w:r>
              <w:t>mobility on</w:t>
            </w:r>
            <w:r w:rsidRPr="00E84AE9">
              <w:t xml:space="preserve"> FDOT’s SIS/SHS</w:t>
            </w:r>
          </w:p>
          <w:p w:rsidR="00225952" w:rsidRDefault="00225952" w:rsidP="008D2D1A">
            <w:pPr>
              <w:numPr>
                <w:ilvl w:val="0"/>
                <w:numId w:val="25"/>
              </w:numPr>
              <w:spacing w:after="0"/>
            </w:pPr>
            <w:r w:rsidRPr="00E84AE9">
              <w:t>the transportation implications of land use densities</w:t>
            </w:r>
          </w:p>
          <w:p w:rsidR="00225952" w:rsidRDefault="00225952" w:rsidP="008D2D1A">
            <w:pPr>
              <w:numPr>
                <w:ilvl w:val="0"/>
                <w:numId w:val="25"/>
              </w:numPr>
              <w:spacing w:after="0"/>
            </w:pPr>
            <w:r w:rsidRPr="00E84AE9">
              <w:t>the continued involvement of the FDOT in the annual/biennial reporting</w:t>
            </w:r>
          </w:p>
          <w:p w:rsidR="00225952" w:rsidRDefault="00225952" w:rsidP="008D2D1A">
            <w:pPr>
              <w:numPr>
                <w:ilvl w:val="0"/>
                <w:numId w:val="25"/>
              </w:numPr>
              <w:spacing w:after="120"/>
            </w:pPr>
            <w:r w:rsidRPr="00E84AE9">
              <w:t xml:space="preserve">the review of project implementation </w:t>
            </w:r>
          </w:p>
          <w:p w:rsidR="00225952" w:rsidRDefault="00225952" w:rsidP="004426D7">
            <w:r w:rsidRPr="00E84AE9">
              <w:t xml:space="preserve">The </w:t>
            </w:r>
            <w:r>
              <w:t>FDOT reviewer should</w:t>
            </w:r>
            <w:r w:rsidRPr="00E84AE9">
              <w:t xml:space="preserve"> also assure that the </w:t>
            </w:r>
            <w:r>
              <w:t xml:space="preserve">agency </w:t>
            </w:r>
            <w:r w:rsidRPr="00E84AE9">
              <w:t>remains informed about the status of the project as it is implemented.</w:t>
            </w:r>
            <w:r>
              <w:t xml:space="preserve"> Using the biennial report,</w:t>
            </w:r>
            <w:r w:rsidRPr="00E84AE9">
              <w:t xml:space="preserve"> the FDOT has a </w:t>
            </w:r>
            <w:r>
              <w:t>continuing</w:t>
            </w:r>
            <w:r w:rsidRPr="007A4D41">
              <w:rPr>
                <w:spacing w:val="-6"/>
              </w:rPr>
              <w:t xml:space="preserve"> opportunity to require periodic monitoring of the project’s impacts on the SIS/SHS.</w:t>
            </w:r>
          </w:p>
        </w:tc>
      </w:tr>
    </w:tbl>
    <w:p w:rsidR="00F77AA9" w:rsidRDefault="00F77AA9">
      <w:bookmarkStart w:id="276" w:name="_Toc232912631"/>
      <w:bookmarkStart w:id="277" w:name="_Toc260316455"/>
      <w:bookmarkStart w:id="278" w:name="_Toc264274157"/>
      <w:r>
        <w:rPr>
          <w:b/>
          <w:bCs/>
        </w:rPr>
        <w:br w:type="page"/>
      </w:r>
    </w:p>
    <w:tbl>
      <w:tblPr>
        <w:tblW w:w="10466" w:type="dxa"/>
        <w:tblLayout w:type="fixed"/>
        <w:tblCellMar>
          <w:left w:w="115" w:type="dxa"/>
          <w:right w:w="115" w:type="dxa"/>
        </w:tblCellMar>
        <w:tblLook w:val="0000"/>
      </w:tblPr>
      <w:tblGrid>
        <w:gridCol w:w="2455"/>
        <w:gridCol w:w="8011"/>
      </w:tblGrid>
      <w:tr w:rsidR="00225952" w:rsidRPr="00E84AE9" w:rsidTr="00F77AA9">
        <w:tc>
          <w:tcPr>
            <w:tcW w:w="10466" w:type="dxa"/>
            <w:gridSpan w:val="2"/>
          </w:tcPr>
          <w:p w:rsidR="00225952" w:rsidRDefault="00C460EE">
            <w:pPr>
              <w:pStyle w:val="Heading3"/>
            </w:pPr>
            <w:r>
              <w:lastRenderedPageBreak/>
              <w:t>4.2.10</w:t>
            </w:r>
            <w:r w:rsidR="00225952">
              <w:t xml:space="preserve">   </w:t>
            </w:r>
            <w:r w:rsidR="00225952" w:rsidRPr="00652B45">
              <w:t>Rendered Development Order Review</w:t>
            </w:r>
            <w:bookmarkEnd w:id="276"/>
            <w:bookmarkEnd w:id="277"/>
            <w:bookmarkEnd w:id="278"/>
          </w:p>
        </w:tc>
      </w:tr>
      <w:tr w:rsidR="00225952" w:rsidRPr="00E84AE9" w:rsidTr="00F77AA9">
        <w:tc>
          <w:tcPr>
            <w:tcW w:w="2455" w:type="dxa"/>
          </w:tcPr>
          <w:p w:rsidR="00225952" w:rsidRDefault="00225952" w:rsidP="00225952">
            <w:pPr>
              <w:pStyle w:val="SidebarSentence"/>
            </w:pPr>
          </w:p>
          <w:p w:rsidR="00225952" w:rsidRDefault="00225952" w:rsidP="00255107">
            <w:pPr>
              <w:pStyle w:val="HeadSide20"/>
            </w:pPr>
            <w:r w:rsidRPr="00E84AE9">
              <w:t xml:space="preserve">Once the development order is rendered by the local government, it is the </w:t>
            </w:r>
            <w:r>
              <w:t>FDOT</w:t>
            </w:r>
            <w:r w:rsidRPr="00E84AE9">
              <w:t>’s responsibility to ensure that all commitments are contained within the LGDO</w:t>
            </w:r>
          </w:p>
          <w:p w:rsidR="00225952" w:rsidRPr="00E84AE9" w:rsidRDefault="00225952" w:rsidP="00225952"/>
          <w:p w:rsidR="00225952" w:rsidRPr="006B265B" w:rsidRDefault="00225952" w:rsidP="00225952">
            <w:pPr>
              <w:pStyle w:val="SidebarSentence"/>
              <w:rPr>
                <w:rStyle w:val="SubtleEmphasis"/>
                <w:i/>
                <w:iCs w:val="0"/>
              </w:rPr>
            </w:pPr>
          </w:p>
        </w:tc>
        <w:tc>
          <w:tcPr>
            <w:tcW w:w="8011" w:type="dxa"/>
          </w:tcPr>
          <w:p w:rsidR="00225952" w:rsidRDefault="00225952" w:rsidP="004426D7">
            <w:r>
              <w:t xml:space="preserve">FDOT should ensure that all commitments are contained in the final development order. </w:t>
            </w:r>
            <w:r w:rsidRPr="00E84AE9">
              <w:t xml:space="preserve"> If the </w:t>
            </w:r>
            <w:r>
              <w:t xml:space="preserve">FDOT reviewer </w:t>
            </w:r>
            <w:r w:rsidRPr="00E84AE9">
              <w:t>believes the LGDO fails to adequately ensure the integrity of the SIS</w:t>
            </w:r>
            <w:r>
              <w:t>/FIHS</w:t>
            </w:r>
            <w:r w:rsidRPr="00E84AE9">
              <w:t xml:space="preserve">/SHS, the District Secretary or Designee should be notified immediately. While objections to conditions of the LGDO must be appealed in writing to DCA within 45 days of the issuance of the LGDO, the </w:t>
            </w:r>
            <w:r>
              <w:t xml:space="preserve">FDOT reviewer actually </w:t>
            </w:r>
            <w:r w:rsidRPr="00E84AE9">
              <w:t xml:space="preserve">has much less time. Upon identifying an issue that may require an appeal, the </w:t>
            </w:r>
            <w:r>
              <w:t xml:space="preserve">FDOT reviewer </w:t>
            </w:r>
            <w:r w:rsidRPr="00E84AE9">
              <w:t>should immediately contact DCA, the RPC, and the local government to initiate communication about the issue.</w:t>
            </w:r>
            <w:r>
              <w:t xml:space="preserve"> </w:t>
            </w:r>
            <w:r w:rsidRPr="00E84AE9">
              <w:t xml:space="preserve">The </w:t>
            </w:r>
            <w:r>
              <w:t xml:space="preserve">FDOT reviewer </w:t>
            </w:r>
            <w:r w:rsidRPr="00E84AE9">
              <w:t>should have all the support information gathered and clear direction about the need for an appeal within 20 days after the issuance of the LGDO so that DCA has adequate time to process the information and move forward with the appeal if necessary. Objections expressed by the FDOT after this 45</w:t>
            </w:r>
            <w:r w:rsidRPr="00E84AE9">
              <w:softHyphen/>
              <w:t xml:space="preserve"> day appeal period have no legal standing with DCA, RPC or the applicant.</w:t>
            </w:r>
          </w:p>
        </w:tc>
      </w:tr>
    </w:tbl>
    <w:p w:rsidR="00225952" w:rsidRDefault="00225952" w:rsidP="00225952">
      <w:pPr>
        <w:pStyle w:val="Heading2"/>
        <w:sectPr w:rsidR="00225952" w:rsidSect="00992EDA">
          <w:headerReference w:type="default" r:id="rId303"/>
          <w:type w:val="continuous"/>
          <w:pgSz w:w="12240" w:h="15840" w:code="1"/>
          <w:pgMar w:top="1440" w:right="720" w:bottom="1440" w:left="1152" w:header="720" w:footer="720" w:gutter="0"/>
          <w:cols w:space="720"/>
          <w:docGrid w:linePitch="313"/>
        </w:sectPr>
      </w:pPr>
    </w:p>
    <w:p w:rsidR="00225952" w:rsidRDefault="00225952" w:rsidP="00225952">
      <w:pPr>
        <w:pStyle w:val="Heading2"/>
        <w:sectPr w:rsidR="00225952" w:rsidSect="00832911">
          <w:headerReference w:type="default" r:id="rId304"/>
          <w:type w:val="continuous"/>
          <w:pgSz w:w="12240" w:h="15840" w:code="1"/>
          <w:pgMar w:top="1440" w:right="720" w:bottom="1440" w:left="1152" w:header="720" w:footer="720" w:gutter="0"/>
          <w:cols w:space="720"/>
          <w:docGrid w:linePitch="313"/>
        </w:sectPr>
      </w:pPr>
    </w:p>
    <w:tbl>
      <w:tblPr>
        <w:tblW w:w="10465" w:type="dxa"/>
        <w:tblLayout w:type="fixed"/>
        <w:tblCellMar>
          <w:left w:w="115" w:type="dxa"/>
          <w:right w:w="115" w:type="dxa"/>
        </w:tblCellMar>
        <w:tblLook w:val="0000"/>
      </w:tblPr>
      <w:tblGrid>
        <w:gridCol w:w="2455"/>
        <w:gridCol w:w="8010"/>
      </w:tblGrid>
      <w:tr w:rsidR="00225952" w:rsidRPr="00E84AE9" w:rsidTr="00225952">
        <w:tc>
          <w:tcPr>
            <w:tcW w:w="10465" w:type="dxa"/>
            <w:gridSpan w:val="2"/>
          </w:tcPr>
          <w:p w:rsidR="00225952" w:rsidRPr="00652B45" w:rsidRDefault="00225952" w:rsidP="00225952">
            <w:pPr>
              <w:pStyle w:val="Heading2"/>
            </w:pPr>
            <w:bookmarkStart w:id="279" w:name="_Toc232912632"/>
            <w:bookmarkStart w:id="280" w:name="_Toc260316456"/>
            <w:bookmarkStart w:id="281" w:name="_Toc264274158"/>
            <w:r>
              <w:lastRenderedPageBreak/>
              <w:t>4</w:t>
            </w:r>
            <w:r w:rsidRPr="00652B45">
              <w:t>.3   Modification of Approved DRIs</w:t>
            </w:r>
            <w:bookmarkEnd w:id="279"/>
            <w:bookmarkEnd w:id="280"/>
            <w:bookmarkEnd w:id="281"/>
          </w:p>
        </w:tc>
      </w:tr>
      <w:tr w:rsidR="00225952" w:rsidRPr="00E84AE9" w:rsidTr="00225952">
        <w:tc>
          <w:tcPr>
            <w:tcW w:w="2455" w:type="dxa"/>
          </w:tcPr>
          <w:p w:rsidR="00225952" w:rsidRDefault="00225952">
            <w:pPr>
              <w:pStyle w:val="Heading4"/>
            </w:pPr>
            <w:bookmarkStart w:id="282" w:name="_Toc232912633"/>
            <w:r w:rsidRPr="00652B45">
              <w:t>Notice of Proposed Change (NOPC)</w:t>
            </w:r>
            <w:bookmarkEnd w:id="282"/>
            <w:r w:rsidRPr="00652B45">
              <w:t xml:space="preserve"> </w:t>
            </w:r>
          </w:p>
          <w:p w:rsidR="00225952" w:rsidRDefault="00225952" w:rsidP="00BF2A16">
            <w:pPr>
              <w:spacing w:before="120" w:after="0"/>
            </w:pPr>
            <w:r>
              <w:rPr>
                <w:noProof/>
              </w:rPr>
              <w:drawing>
                <wp:inline distT="0" distB="0" distL="0" distR="0">
                  <wp:extent cx="1393190" cy="544195"/>
                  <wp:effectExtent l="19050" t="0" r="0" b="0"/>
                  <wp:docPr id="88" name="Picture 62" descr="button_PDFlink.png">
                    <a:hlinkClick xmlns:a="http://schemas.openxmlformats.org/drawingml/2006/main" r:id="rId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utton_PDFlink.png"/>
                          <pic:cNvPicPr>
                            <a:picLocks noChangeAspect="1" noChangeArrowheads="1"/>
                          </pic:cNvPicPr>
                        </pic:nvPicPr>
                        <pic:blipFill>
                          <a:blip r:embed="rId15" cstate="print"/>
                          <a:srcRect/>
                          <a:stretch>
                            <a:fillRect/>
                          </a:stretch>
                        </pic:blipFill>
                        <pic:spPr bwMode="auto">
                          <a:xfrm>
                            <a:off x="0" y="0"/>
                            <a:ext cx="1393190" cy="544195"/>
                          </a:xfrm>
                          <a:prstGeom prst="rect">
                            <a:avLst/>
                          </a:prstGeom>
                          <a:noFill/>
                          <a:ln w="9525">
                            <a:noFill/>
                            <a:miter lim="800000"/>
                            <a:headEnd/>
                            <a:tailEnd/>
                          </a:ln>
                        </pic:spPr>
                      </pic:pic>
                    </a:graphicData>
                  </a:graphic>
                </wp:inline>
              </w:drawing>
            </w:r>
          </w:p>
          <w:p w:rsidR="00BF2A16" w:rsidRPr="00AB29A7" w:rsidRDefault="00BF2A16" w:rsidP="00BF2A16">
            <w:pPr>
              <w:pStyle w:val="HeadSide2"/>
              <w:spacing w:after="120"/>
              <w:jc w:val="center"/>
            </w:pPr>
            <w:r>
              <w:t>NOPC</w:t>
            </w:r>
          </w:p>
        </w:tc>
        <w:tc>
          <w:tcPr>
            <w:tcW w:w="8010" w:type="dxa"/>
          </w:tcPr>
          <w:p w:rsidR="00225952" w:rsidRDefault="00225952" w:rsidP="00BF2A16">
            <w:r w:rsidRPr="00E84AE9">
              <w:t xml:space="preserve">A Notification of Proposed Change (NOPC) is required to be submitted by the applicant to the local government, the RPC and DCA when a change is proposed to a previously approved DRI. The NOPC should be submitted following </w:t>
            </w:r>
            <w:hyperlink r:id="rId306" w:history="1">
              <w:r w:rsidRPr="00355266">
                <w:rPr>
                  <w:rStyle w:val="Hyperlink"/>
                </w:rPr>
                <w:t>380.06(19), Florida Statutes</w:t>
              </w:r>
            </w:hyperlink>
            <w:r w:rsidRPr="00E84AE9">
              <w:t xml:space="preserve"> and use the standard form provided by DCA (see</w:t>
            </w:r>
            <w:r w:rsidR="00BF2A16">
              <w:t xml:space="preserve"> PDF</w:t>
            </w:r>
            <w:r w:rsidRPr="00E84AE9">
              <w:t>). A NOPC may be filed for many reasons such as to extend the project build</w:t>
            </w:r>
            <w:r>
              <w:t xml:space="preserve"> </w:t>
            </w:r>
            <w:r w:rsidRPr="00E84AE9">
              <w:t>out date or modify the land</w:t>
            </w:r>
            <w:r>
              <w:t xml:space="preserve"> </w:t>
            </w:r>
            <w:r w:rsidRPr="00E84AE9">
              <w:t>use program.</w:t>
            </w:r>
          </w:p>
        </w:tc>
      </w:tr>
      <w:tr w:rsidR="00225952" w:rsidRPr="00E84AE9" w:rsidTr="00225952">
        <w:tc>
          <w:tcPr>
            <w:tcW w:w="2455" w:type="dxa"/>
          </w:tcPr>
          <w:p w:rsidR="00225952" w:rsidRDefault="00225952">
            <w:pPr>
              <w:pStyle w:val="Heading4"/>
              <w:rPr>
                <w:color w:val="FF0000"/>
              </w:rPr>
            </w:pPr>
            <w:bookmarkStart w:id="283" w:name="_Toc232912634"/>
            <w:r w:rsidRPr="00652B45">
              <w:t>Substantial Deviation Determination</w:t>
            </w:r>
            <w:bookmarkEnd w:id="283"/>
            <w:r w:rsidRPr="00E84AE9">
              <w:rPr>
                <w:color w:val="FF0000"/>
              </w:rPr>
              <w:t xml:space="preserve"> </w:t>
            </w:r>
          </w:p>
          <w:p w:rsidR="00225952" w:rsidRDefault="00225952"/>
          <w:p w:rsidR="00225952" w:rsidRPr="00E84AE9" w:rsidRDefault="00225952" w:rsidP="00225952">
            <w:pPr>
              <w:pStyle w:val="SidebarSentence"/>
            </w:pPr>
            <w:r w:rsidRPr="00E84AE9">
              <w:t xml:space="preserve">A change request requires formal determinations from DCA, the RPC and the local government </w:t>
            </w:r>
          </w:p>
          <w:p w:rsidR="00225952" w:rsidRPr="00E84AE9" w:rsidRDefault="00225952" w:rsidP="00225952"/>
        </w:tc>
        <w:tc>
          <w:tcPr>
            <w:tcW w:w="8010" w:type="dxa"/>
          </w:tcPr>
          <w:p w:rsidR="00225952" w:rsidRDefault="00225952">
            <w:r w:rsidRPr="00E84AE9">
              <w:t xml:space="preserve">A change request to a previously approved DRI requires formal determinations from DCA, the RPC and the local government as to what level of further review will be required. Often, a traffic study is submitted with a NOPC to request that the deviation not be classified as substantial (i.e. rebut the presumption of a substantial deviation). </w:t>
            </w:r>
            <w:r>
              <w:t xml:space="preserve"> Guidance on what types of changes are considered substantial may be found in </w:t>
            </w:r>
            <w:hyperlink r:id="rId307" w:history="1">
              <w:r w:rsidRPr="00355266">
                <w:rPr>
                  <w:rStyle w:val="Hyperlink"/>
                </w:rPr>
                <w:t>Chapter 380.06(19)(a-e), Florida Statues</w:t>
              </w:r>
            </w:hyperlink>
            <w:r>
              <w:t>.  I</w:t>
            </w:r>
            <w:r w:rsidRPr="00E84AE9">
              <w:t xml:space="preserve">t is recommended that a methodology meeting be established by all parties prior to the submittal of documentation supporting the proposed changes. The review process for traffic studies associated with rebutting the presumption of a substantial deviation varies depending on the magnitude and scope of the deviation requested. For example, in some cases a trip generation comparison may be sufficient while in other cases a detailed assessment similar to an </w:t>
            </w:r>
            <w:smartTag w:uri="urn:schemas-microsoft-com:office:smarttags" w:element="place">
              <w:smartTag w:uri="urn:schemas-microsoft-com:office:smarttags" w:element="City">
                <w:r w:rsidRPr="00E84AE9">
                  <w:t>ADA</w:t>
                </w:r>
              </w:smartTag>
            </w:smartTag>
            <w:r w:rsidRPr="00E84AE9">
              <w:t xml:space="preserve"> may be necessary.</w:t>
            </w:r>
          </w:p>
          <w:p w:rsidR="00225952" w:rsidRDefault="00225952">
            <w:r>
              <w:t xml:space="preserve">The local government conducts a </w:t>
            </w:r>
            <w:r w:rsidRPr="00E84AE9">
              <w:t xml:space="preserve">public hearing </w:t>
            </w:r>
            <w:r>
              <w:t>t</w:t>
            </w:r>
            <w:r w:rsidRPr="00E84AE9">
              <w:t xml:space="preserve">o determine if the proposed change constitutes a substantial deviation. </w:t>
            </w:r>
            <w:r>
              <w:t>T</w:t>
            </w:r>
            <w:r w:rsidRPr="00E84AE9">
              <w:t>hresholds for substantial deviation determination</w:t>
            </w:r>
            <w:r>
              <w:t xml:space="preserve"> can be found in </w:t>
            </w:r>
            <w:hyperlink r:id="rId308" w:history="1">
              <w:r w:rsidRPr="00054CDF">
                <w:rPr>
                  <w:rStyle w:val="Hyperlink"/>
                </w:rPr>
                <w:t>380.06(19) FS</w:t>
              </w:r>
            </w:hyperlink>
            <w:r w:rsidRPr="00E84AE9">
              <w:t xml:space="preserve">. Once the local government makes a determination, it is subject to the appeal provisions of </w:t>
            </w:r>
            <w:hyperlink r:id="rId309" w:history="1">
              <w:r w:rsidRPr="00054CDF">
                <w:rPr>
                  <w:rStyle w:val="Hyperlink"/>
                </w:rPr>
                <w:t>380.07 FS</w:t>
              </w:r>
            </w:hyperlink>
            <w:r w:rsidRPr="00E84AE9">
              <w:t>. Site impact review at this stage is not required</w:t>
            </w:r>
            <w:r>
              <w:t xml:space="preserve">. </w:t>
            </w:r>
          </w:p>
          <w:p w:rsidR="00225952" w:rsidRDefault="00225952">
            <w:r w:rsidRPr="00E84AE9">
              <w:t xml:space="preserve">If it is determined that the changes submitted by the applicant constitute a substantial deviation, Section </w:t>
            </w:r>
            <w:r>
              <w:t>4</w:t>
            </w:r>
            <w:r w:rsidRPr="00E84AE9">
              <w:t xml:space="preserve">.2 of this handbook applies. </w:t>
            </w:r>
          </w:p>
        </w:tc>
      </w:tr>
    </w:tbl>
    <w:p w:rsidR="00F77AA9" w:rsidRDefault="00F77AA9">
      <w:r>
        <w:rPr>
          <w:b/>
          <w:bCs/>
        </w:rPr>
        <w:br w:type="page"/>
      </w:r>
    </w:p>
    <w:tbl>
      <w:tblPr>
        <w:tblW w:w="10465" w:type="dxa"/>
        <w:tblLayout w:type="fixed"/>
        <w:tblCellMar>
          <w:left w:w="115" w:type="dxa"/>
          <w:right w:w="115" w:type="dxa"/>
        </w:tblCellMar>
        <w:tblLook w:val="0000"/>
      </w:tblPr>
      <w:tblGrid>
        <w:gridCol w:w="2455"/>
        <w:gridCol w:w="8010"/>
      </w:tblGrid>
      <w:tr w:rsidR="00225952" w:rsidRPr="00E84AE9" w:rsidTr="00225952">
        <w:tc>
          <w:tcPr>
            <w:tcW w:w="2455" w:type="dxa"/>
          </w:tcPr>
          <w:p w:rsidR="00225952" w:rsidRPr="00652B45" w:rsidRDefault="00225952" w:rsidP="00225952">
            <w:pPr>
              <w:pStyle w:val="Heading4"/>
            </w:pPr>
            <w:r w:rsidRPr="00652B45">
              <w:lastRenderedPageBreak/>
              <w:t>FDOT Reviewer Role</w:t>
            </w:r>
          </w:p>
          <w:p w:rsidR="00225952" w:rsidRDefault="00225952" w:rsidP="00225952"/>
          <w:p w:rsidR="00225952" w:rsidRDefault="00225952" w:rsidP="00225952"/>
          <w:p w:rsidR="00225952" w:rsidRDefault="00225952" w:rsidP="00225952"/>
          <w:p w:rsidR="00225952" w:rsidRDefault="00225952" w:rsidP="00255107">
            <w:pPr>
              <w:pStyle w:val="HeadSide20"/>
            </w:pPr>
          </w:p>
          <w:p w:rsidR="00BF2A16" w:rsidRDefault="00BF2A16" w:rsidP="00255107">
            <w:pPr>
              <w:pStyle w:val="HeadSide20"/>
            </w:pPr>
          </w:p>
          <w:p w:rsidR="00225952" w:rsidRDefault="00225952" w:rsidP="00225952">
            <w:pPr>
              <w:pStyle w:val="HeadSideR"/>
              <w:rPr>
                <w:rStyle w:val="SubtleEmphasis"/>
                <w:i w:val="0"/>
                <w:iCs w:val="0"/>
                <w:color w:val="404040"/>
              </w:rPr>
            </w:pPr>
            <w:r>
              <w:drawing>
                <wp:anchor distT="0" distB="0" distL="114300" distR="114300" simplePos="0" relativeHeight="251670528" behindDoc="1" locked="0" layoutInCell="1" allowOverlap="1">
                  <wp:simplePos x="0" y="0"/>
                  <wp:positionH relativeFrom="column">
                    <wp:posOffset>71755</wp:posOffset>
                  </wp:positionH>
                  <wp:positionV relativeFrom="paragraph">
                    <wp:align>bottom</wp:align>
                  </wp:positionV>
                  <wp:extent cx="1409700" cy="552450"/>
                  <wp:effectExtent l="19050" t="0" r="0" b="0"/>
                  <wp:wrapNone/>
                  <wp:docPr id="89" name="Picture 29" descr="button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buttonResource"/>
                          <pic:cNvPicPr>
                            <a:picLocks noChangeAspect="1" noChangeArrowheads="1"/>
                          </pic:cNvPicPr>
                        </pic:nvPicPr>
                        <pic:blipFill>
                          <a:blip r:embed="rId274" cstate="print"/>
                          <a:srcRect/>
                          <a:stretch>
                            <a:fillRect/>
                          </a:stretch>
                        </pic:blipFill>
                        <pic:spPr bwMode="auto">
                          <a:xfrm>
                            <a:off x="0" y="0"/>
                            <a:ext cx="1409700" cy="552450"/>
                          </a:xfrm>
                          <a:prstGeom prst="rect">
                            <a:avLst/>
                          </a:prstGeom>
                          <a:noFill/>
                          <a:ln w="9525">
                            <a:noFill/>
                            <a:miter lim="800000"/>
                            <a:headEnd/>
                            <a:tailEnd/>
                          </a:ln>
                        </pic:spPr>
                      </pic:pic>
                    </a:graphicData>
                  </a:graphic>
                </wp:anchor>
              </w:drawing>
            </w:r>
            <w:hyperlink w:anchor="C7" w:history="1">
              <w:r w:rsidRPr="00BF2A16">
                <w:rPr>
                  <w:rStyle w:val="Hyperlink"/>
                </w:rPr>
                <w:t>Factors</w:t>
              </w:r>
              <w:r w:rsidRPr="00BF2A16">
                <w:rPr>
                  <w:rStyle w:val="Hyperlink"/>
                </w:rPr>
                <w:br/>
                <w:t>Checklist 7</w:t>
              </w:r>
            </w:hyperlink>
          </w:p>
          <w:p w:rsidR="00225952" w:rsidRDefault="00225952" w:rsidP="00255107">
            <w:pPr>
              <w:pStyle w:val="HeadSide20"/>
            </w:pPr>
          </w:p>
          <w:p w:rsidR="00225952" w:rsidRDefault="00225952" w:rsidP="00225952">
            <w:pPr>
              <w:pStyle w:val="HeadSideR"/>
              <w:rPr>
                <w:rStyle w:val="SubtleEmphasis"/>
                <w:i w:val="0"/>
                <w:iCs w:val="0"/>
                <w:color w:val="404040"/>
              </w:rPr>
            </w:pPr>
            <w:r>
              <w:drawing>
                <wp:anchor distT="0" distB="0" distL="114300" distR="114300" simplePos="0" relativeHeight="251671552" behindDoc="1" locked="0" layoutInCell="1" allowOverlap="1">
                  <wp:simplePos x="0" y="0"/>
                  <wp:positionH relativeFrom="column">
                    <wp:posOffset>71755</wp:posOffset>
                  </wp:positionH>
                  <wp:positionV relativeFrom="paragraph">
                    <wp:align>bottom</wp:align>
                  </wp:positionV>
                  <wp:extent cx="1409700" cy="552450"/>
                  <wp:effectExtent l="19050" t="0" r="0" b="0"/>
                  <wp:wrapNone/>
                  <wp:docPr id="91" name="Picture 30" descr="button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buttonResource"/>
                          <pic:cNvPicPr>
                            <a:picLocks noChangeAspect="1" noChangeArrowheads="1"/>
                          </pic:cNvPicPr>
                        </pic:nvPicPr>
                        <pic:blipFill>
                          <a:blip r:embed="rId274" cstate="print"/>
                          <a:srcRect/>
                          <a:stretch>
                            <a:fillRect/>
                          </a:stretch>
                        </pic:blipFill>
                        <pic:spPr bwMode="auto">
                          <a:xfrm>
                            <a:off x="0" y="0"/>
                            <a:ext cx="1409700" cy="552450"/>
                          </a:xfrm>
                          <a:prstGeom prst="rect">
                            <a:avLst/>
                          </a:prstGeom>
                          <a:noFill/>
                          <a:ln w="9525">
                            <a:noFill/>
                            <a:miter lim="800000"/>
                            <a:headEnd/>
                            <a:tailEnd/>
                          </a:ln>
                        </pic:spPr>
                      </pic:pic>
                    </a:graphicData>
                  </a:graphic>
                </wp:anchor>
              </w:drawing>
            </w:r>
            <w:r>
              <w:t>Multimodal</w:t>
            </w:r>
            <w:r>
              <w:br/>
              <w:t>Responses</w:t>
            </w:r>
          </w:p>
          <w:p w:rsidR="00225952" w:rsidRPr="0053113F" w:rsidRDefault="00225952" w:rsidP="00225952"/>
        </w:tc>
        <w:tc>
          <w:tcPr>
            <w:tcW w:w="8010" w:type="dxa"/>
          </w:tcPr>
          <w:p w:rsidR="00225952" w:rsidRDefault="00225952">
            <w:r>
              <w:t xml:space="preserve">FDOT should review </w:t>
            </w:r>
            <w:r w:rsidRPr="00E84AE9">
              <w:t xml:space="preserve">NOPC applications </w:t>
            </w:r>
            <w:r>
              <w:t>t</w:t>
            </w:r>
            <w:r w:rsidRPr="00E84AE9">
              <w:t xml:space="preserve">o assess potential transportation-related impacts. Written FDOT comments on the NOPC are typically required within 30 days. </w:t>
            </w:r>
          </w:p>
          <w:p w:rsidR="00225952" w:rsidRDefault="00225952">
            <w:r w:rsidRPr="00E84AE9">
              <w:t xml:space="preserve">The FDOT may also be asked to review traffic studies associated with a rebuttal of the thresholds established for Substantial Deviations (the thresholds are listed in </w:t>
            </w:r>
            <w:hyperlink r:id="rId310" w:history="1">
              <w:r w:rsidRPr="00054CDF">
                <w:rPr>
                  <w:rStyle w:val="Hyperlink"/>
                </w:rPr>
                <w:t>380.06(19) FS</w:t>
              </w:r>
            </w:hyperlink>
            <w:r>
              <w:t>)</w:t>
            </w:r>
            <w:r w:rsidRPr="00E84AE9">
              <w:t xml:space="preserve"> supporting a request by the applicant that the deviation not be classified as substantial.</w:t>
            </w:r>
            <w:r>
              <w:t xml:space="preserve"> The reviewer should ensure that any mitigation proposed in the NOPC is consistent with the original LGDO.</w:t>
            </w:r>
          </w:p>
          <w:p w:rsidR="00225952" w:rsidRDefault="00225952">
            <w:r w:rsidRPr="00E84AE9">
              <w:t>The FDOT has a role in review of all NOPC and Substantial Deviation Determinations for approved DRI LGDO processes by RPC</w:t>
            </w:r>
            <w:r>
              <w:t>s</w:t>
            </w:r>
            <w:r w:rsidRPr="00E84AE9">
              <w:t>.</w:t>
            </w:r>
            <w:r w:rsidRPr="00E84AE9">
              <w:rPr>
                <w:color w:val="FF0000"/>
              </w:rPr>
              <w:t xml:space="preserve"> </w:t>
            </w:r>
            <w:r w:rsidRPr="00E84AE9">
              <w:t xml:space="preserve">Several factors </w:t>
            </w:r>
            <w:r>
              <w:t>should</w:t>
            </w:r>
            <w:r w:rsidRPr="00E84AE9">
              <w:t xml:space="preserve"> be considered in determining the FDOT’s re</w:t>
            </w:r>
            <w:r>
              <w:t xml:space="preserve">sponse to these notifications. </w:t>
            </w:r>
            <w:hyperlink w:anchor="C7" w:history="1">
              <w:r w:rsidRPr="00D1578E">
                <w:rPr>
                  <w:rStyle w:val="Hyperlink"/>
                  <w:rFonts w:cstheme="minorBidi"/>
                </w:rPr>
                <w:t>DRI Checklist 7</w:t>
              </w:r>
            </w:hyperlink>
            <w:r w:rsidRPr="00E84AE9">
              <w:t xml:space="preserve"> identifies these critical issues. </w:t>
            </w:r>
          </w:p>
          <w:p w:rsidR="00225952" w:rsidRDefault="00225952">
            <w:r>
              <w:t>As greater emphasis is being placed on multimodal mitigation strategies, the reviewer should be versed in these approaches. To provide guidance, samples of multimodal responses in NOPC reviews can be found in</w:t>
            </w:r>
            <w:r w:rsidR="000A7DAA">
              <w:t xml:space="preserve"> </w:t>
            </w:r>
            <w:r w:rsidR="000A7DAA" w:rsidRPr="000A7DAA">
              <w:t>Appendix G Examples of Mulitmodal Notice of Proposed Change (NOPC) and Substantial Deviation Determinations</w:t>
            </w:r>
            <w:r w:rsidR="000A7DAA">
              <w:t>.</w:t>
            </w:r>
          </w:p>
          <w:p w:rsidR="00225952" w:rsidRDefault="00225952">
            <w:r w:rsidRPr="00E84AE9">
              <w:t xml:space="preserve">If a substantial deviation is determined, the FDOT should provide comments to the RPC which in turn will summarize the comments and provide to the applicant. Once the local government issues an amended and restated DO, it is subject to the appeal provisions of </w:t>
            </w:r>
            <w:hyperlink r:id="rId311" w:history="1">
              <w:r w:rsidRPr="00054CDF">
                <w:rPr>
                  <w:rStyle w:val="Hyperlink"/>
                </w:rPr>
                <w:t>380.07 FS</w:t>
              </w:r>
            </w:hyperlink>
            <w:r w:rsidRPr="00E84AE9">
              <w:t xml:space="preserve"> </w:t>
            </w:r>
          </w:p>
          <w:p w:rsidR="00225952" w:rsidRDefault="00225952">
            <w:r w:rsidRPr="00E84AE9">
              <w:t>In summary, the FDOT should be in agreement with the methodology, assessment of proposed changes, and conclusions supporting the amended and restated DO.</w:t>
            </w:r>
          </w:p>
        </w:tc>
      </w:tr>
    </w:tbl>
    <w:p w:rsidR="00225952" w:rsidRDefault="00225952" w:rsidP="00225952">
      <w:pPr>
        <w:pStyle w:val="Heading2"/>
        <w:sectPr w:rsidR="00225952" w:rsidSect="00832911">
          <w:pgSz w:w="12240" w:h="15840" w:code="1"/>
          <w:pgMar w:top="1440" w:right="720" w:bottom="1440" w:left="1152" w:header="720" w:footer="720" w:gutter="0"/>
          <w:cols w:space="720"/>
          <w:docGrid w:linePitch="313"/>
        </w:sectPr>
      </w:pPr>
    </w:p>
    <w:p w:rsidR="00225952" w:rsidRDefault="00225952" w:rsidP="00225952">
      <w:pPr>
        <w:pStyle w:val="Heading2"/>
        <w:sectPr w:rsidR="00225952" w:rsidSect="00832911">
          <w:headerReference w:type="default" r:id="rId312"/>
          <w:type w:val="continuous"/>
          <w:pgSz w:w="12240" w:h="15840" w:code="1"/>
          <w:pgMar w:top="1440" w:right="720" w:bottom="1440" w:left="1152" w:header="720" w:footer="720" w:gutter="0"/>
          <w:cols w:space="720"/>
          <w:docGrid w:linePitch="313"/>
        </w:sectPr>
      </w:pPr>
    </w:p>
    <w:tbl>
      <w:tblPr>
        <w:tblW w:w="10465" w:type="dxa"/>
        <w:tblLayout w:type="fixed"/>
        <w:tblCellMar>
          <w:left w:w="115" w:type="dxa"/>
          <w:right w:w="115" w:type="dxa"/>
        </w:tblCellMar>
        <w:tblLook w:val="0000"/>
      </w:tblPr>
      <w:tblGrid>
        <w:gridCol w:w="2455"/>
        <w:gridCol w:w="8010"/>
      </w:tblGrid>
      <w:tr w:rsidR="00225952" w:rsidRPr="00E84AE9" w:rsidTr="00225952">
        <w:tc>
          <w:tcPr>
            <w:tcW w:w="10465" w:type="dxa"/>
            <w:gridSpan w:val="2"/>
          </w:tcPr>
          <w:p w:rsidR="00225952" w:rsidRPr="00652B45" w:rsidRDefault="00225952" w:rsidP="00225952">
            <w:pPr>
              <w:pStyle w:val="Heading2"/>
            </w:pPr>
            <w:bookmarkStart w:id="284" w:name="_Toc232912635"/>
            <w:bookmarkStart w:id="285" w:name="_Toc260316457"/>
            <w:bookmarkStart w:id="286" w:name="_Toc264274159"/>
            <w:r>
              <w:lastRenderedPageBreak/>
              <w:t>4</w:t>
            </w:r>
            <w:r w:rsidRPr="00652B45">
              <w:t xml:space="preserve">.4 DRI </w:t>
            </w:r>
            <w:bookmarkEnd w:id="284"/>
            <w:r>
              <w:t>R</w:t>
            </w:r>
            <w:r w:rsidRPr="00652B45">
              <w:t>eporting</w:t>
            </w:r>
            <w:bookmarkEnd w:id="285"/>
            <w:bookmarkEnd w:id="286"/>
          </w:p>
        </w:tc>
      </w:tr>
      <w:tr w:rsidR="00225952" w:rsidRPr="00E84AE9" w:rsidTr="00225952">
        <w:tc>
          <w:tcPr>
            <w:tcW w:w="10465" w:type="dxa"/>
            <w:gridSpan w:val="2"/>
          </w:tcPr>
          <w:p w:rsidR="00225952" w:rsidRDefault="00225952">
            <w:pPr>
              <w:pStyle w:val="Heading3"/>
            </w:pPr>
            <w:bookmarkStart w:id="287" w:name="_Toc260316458"/>
            <w:bookmarkStart w:id="288" w:name="_Toc264274160"/>
            <w:r>
              <w:t xml:space="preserve">4.4.1   </w:t>
            </w:r>
            <w:r w:rsidRPr="00652B45">
              <w:t>Annual or Biennial Reports</w:t>
            </w:r>
            <w:bookmarkEnd w:id="287"/>
            <w:bookmarkEnd w:id="288"/>
          </w:p>
        </w:tc>
      </w:tr>
      <w:tr w:rsidR="00225952" w:rsidRPr="00E84AE9" w:rsidTr="00225952">
        <w:tc>
          <w:tcPr>
            <w:tcW w:w="2455" w:type="dxa"/>
          </w:tcPr>
          <w:p w:rsidR="00225952" w:rsidRDefault="00225952" w:rsidP="00225952"/>
          <w:p w:rsidR="00225952" w:rsidRDefault="00225952" w:rsidP="00225952"/>
          <w:p w:rsidR="00225952" w:rsidRDefault="00225952" w:rsidP="005A4DAF">
            <w:pPr>
              <w:pStyle w:val="HeadSide2"/>
              <w:jc w:val="center"/>
            </w:pPr>
            <w:r>
              <w:rPr>
                <w:noProof/>
              </w:rPr>
              <w:drawing>
                <wp:inline distT="0" distB="0" distL="0" distR="0">
                  <wp:extent cx="1393190" cy="544195"/>
                  <wp:effectExtent l="19050" t="0" r="0" b="0"/>
                  <wp:docPr id="92" name="Picture 50" descr="button_PDFlink.png">
                    <a:hlinkClick xmlns:a="http://schemas.openxmlformats.org/drawingml/2006/main" r:id="rId3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button_PDFlink.png"/>
                          <pic:cNvPicPr>
                            <a:picLocks noChangeAspect="1" noChangeArrowheads="1"/>
                          </pic:cNvPicPr>
                        </pic:nvPicPr>
                        <pic:blipFill>
                          <a:blip r:embed="rId15" cstate="print"/>
                          <a:srcRect/>
                          <a:stretch>
                            <a:fillRect/>
                          </a:stretch>
                        </pic:blipFill>
                        <pic:spPr bwMode="auto">
                          <a:xfrm>
                            <a:off x="0" y="0"/>
                            <a:ext cx="1393190" cy="544195"/>
                          </a:xfrm>
                          <a:prstGeom prst="rect">
                            <a:avLst/>
                          </a:prstGeom>
                          <a:noFill/>
                          <a:ln w="9525">
                            <a:noFill/>
                            <a:miter lim="800000"/>
                            <a:headEnd/>
                            <a:tailEnd/>
                          </a:ln>
                        </pic:spPr>
                      </pic:pic>
                    </a:graphicData>
                  </a:graphic>
                </wp:inline>
              </w:drawing>
            </w:r>
            <w:r w:rsidR="005A4DAF">
              <w:t>Annual Reports</w:t>
            </w:r>
          </w:p>
          <w:p w:rsidR="005A4DAF" w:rsidRPr="002E5894" w:rsidRDefault="005A4DAF" w:rsidP="00225952"/>
        </w:tc>
        <w:tc>
          <w:tcPr>
            <w:tcW w:w="8010" w:type="dxa"/>
          </w:tcPr>
          <w:p w:rsidR="00225952" w:rsidRDefault="00225952" w:rsidP="005A4DAF">
            <w:r w:rsidRPr="00086B8D">
              <w:t xml:space="preserve">Annual or biennial reports are a requirement of </w:t>
            </w:r>
            <w:hyperlink r:id="rId314" w:history="1">
              <w:r w:rsidRPr="00E755FE">
                <w:rPr>
                  <w:rStyle w:val="Hyperlink"/>
                </w:rPr>
                <w:t>380.06(18) FS</w:t>
              </w:r>
            </w:hyperlink>
            <w:r w:rsidRPr="00086B8D">
              <w:t xml:space="preserve"> </w:t>
            </w:r>
            <w:r>
              <w:t xml:space="preserve">and </w:t>
            </w:r>
            <w:hyperlink r:id="rId315" w:history="1">
              <w:r w:rsidRPr="009352DC">
                <w:rPr>
                  <w:rStyle w:val="Hyperlink"/>
                </w:rPr>
                <w:t>Rule 9J-2.025(7) FAC</w:t>
              </w:r>
            </w:hyperlink>
            <w:r>
              <w:t xml:space="preserve"> . </w:t>
            </w:r>
            <w:r w:rsidRPr="00086B8D">
              <w:t>Annual or biennial reports include information describing any changes that have been made to the development plan during the reporting period, information about the master plan, lands purchased, permitting, and local government, and a summary of each</w:t>
            </w:r>
            <w:r w:rsidRPr="00E84AE9">
              <w:t xml:space="preserve"> development order condition and when each commitment has been complied with</w:t>
            </w:r>
            <w:r>
              <w:t xml:space="preserve">. </w:t>
            </w:r>
            <w:r w:rsidRPr="00E84AE9">
              <w:t>The formal requirements for annual and biennial reports are summarized by DCA (see</w:t>
            </w:r>
            <w:r w:rsidR="005A4DAF">
              <w:t xml:space="preserve"> PDF link</w:t>
            </w:r>
            <w:r w:rsidRPr="00E84AE9">
              <w:t xml:space="preserve">). As an impacted reviewing agency, the FDOT will often receive copies of these reports. </w:t>
            </w:r>
          </w:p>
        </w:tc>
      </w:tr>
      <w:tr w:rsidR="00225952" w:rsidRPr="00E84AE9" w:rsidTr="00225952">
        <w:tc>
          <w:tcPr>
            <w:tcW w:w="2455" w:type="dxa"/>
          </w:tcPr>
          <w:p w:rsidR="00225952" w:rsidRPr="00E84AE9" w:rsidRDefault="00225952" w:rsidP="00225952">
            <w:pPr>
              <w:pStyle w:val="Heading4"/>
              <w:rPr>
                <w:rStyle w:val="SubtleEmphasis"/>
                <w:i w:val="0"/>
                <w:iCs w:val="0"/>
                <w:color w:val="FF0000"/>
                <w:sz w:val="20"/>
              </w:rPr>
            </w:pPr>
            <w:r w:rsidRPr="00652B45">
              <w:t>FDOT Reviewer Role</w:t>
            </w:r>
            <w:r w:rsidRPr="00E84AE9">
              <w:rPr>
                <w:color w:val="FF0000"/>
              </w:rPr>
              <w:t xml:space="preserve"> </w:t>
            </w:r>
          </w:p>
        </w:tc>
        <w:tc>
          <w:tcPr>
            <w:tcW w:w="8010" w:type="dxa"/>
          </w:tcPr>
          <w:p w:rsidR="00225952" w:rsidRDefault="00225952">
            <w:r w:rsidRPr="00E84AE9">
              <w:t xml:space="preserve">The </w:t>
            </w:r>
            <w:r>
              <w:t xml:space="preserve">FDOT reviewer </w:t>
            </w:r>
            <w:r w:rsidRPr="00E84AE9">
              <w:t>should ensure that</w:t>
            </w:r>
            <w:r>
              <w:t xml:space="preserve"> mobility on</w:t>
            </w:r>
            <w:r w:rsidRPr="00E84AE9">
              <w:t xml:space="preserve"> SIS/SHS </w:t>
            </w:r>
            <w:r>
              <w:t>is</w:t>
            </w:r>
            <w:r w:rsidRPr="00E84AE9">
              <w:t xml:space="preserve"> </w:t>
            </w:r>
            <w:r>
              <w:t>addressed</w:t>
            </w:r>
            <w:r w:rsidRPr="00E84AE9">
              <w:t xml:space="preserve"> throughout project implementation. If concerns arise, the </w:t>
            </w:r>
            <w:r>
              <w:t xml:space="preserve">FDOT reviewer </w:t>
            </w:r>
            <w:r w:rsidRPr="00E84AE9">
              <w:t xml:space="preserve">is instructed to contact the RPC, local government, and the applicant to discuss. </w:t>
            </w:r>
            <w:r>
              <w:t>This discussion process should be guided by the relationships between the FDOT and the other local parties. It is the responsibility of the local government to cease issuing building permits for this project until appropriate written approvals are obtained and any needed mitigation requirements are complied with.</w:t>
            </w:r>
          </w:p>
          <w:p w:rsidR="00225952" w:rsidRDefault="00225952" w:rsidP="00BF2A16">
            <w:pPr>
              <w:spacing w:after="120"/>
            </w:pPr>
            <w:r w:rsidRPr="00E84AE9">
              <w:t xml:space="preserve">The </w:t>
            </w:r>
            <w:r>
              <w:t xml:space="preserve">FDOT reviewer </w:t>
            </w:r>
            <w:r w:rsidRPr="00E84AE9">
              <w:t xml:space="preserve">should also ensure that conditions included as part of the LGDO are being met. For example, if a condition stipulating the addition of a traffic signal once it is warranted is included as a condition in the LGDO and the </w:t>
            </w:r>
            <w:r>
              <w:t xml:space="preserve">FDOT reviewer </w:t>
            </w:r>
            <w:r w:rsidRPr="00E84AE9">
              <w:t>determines that the signal is now warranted, the</w:t>
            </w:r>
            <w:r>
              <w:t xml:space="preserve">n it </w:t>
            </w:r>
            <w:r w:rsidRPr="00E84AE9">
              <w:t xml:space="preserve">should </w:t>
            </w:r>
            <w:r>
              <w:t xml:space="preserve">be </w:t>
            </w:r>
            <w:r w:rsidRPr="00E84AE9">
              <w:t>br</w:t>
            </w:r>
            <w:r>
              <w:t>ought</w:t>
            </w:r>
            <w:r w:rsidRPr="00E84AE9">
              <w:t xml:space="preserve"> to the attention of all parties.</w:t>
            </w:r>
          </w:p>
        </w:tc>
      </w:tr>
      <w:tr w:rsidR="00225952" w:rsidRPr="00E84AE9" w:rsidTr="00225952">
        <w:tc>
          <w:tcPr>
            <w:tcW w:w="10465" w:type="dxa"/>
            <w:gridSpan w:val="2"/>
          </w:tcPr>
          <w:p w:rsidR="00225952" w:rsidRDefault="00225952">
            <w:pPr>
              <w:pStyle w:val="Heading3"/>
            </w:pPr>
            <w:bookmarkStart w:id="289" w:name="_4.4.2__"/>
            <w:bookmarkStart w:id="290" w:name="_Toc260316459"/>
            <w:bookmarkStart w:id="291" w:name="_Toc264274161"/>
            <w:bookmarkEnd w:id="289"/>
            <w:r>
              <w:t>4.4.2   Transportation</w:t>
            </w:r>
            <w:r w:rsidRPr="00652B45">
              <w:t xml:space="preserve"> Monitoring Studies</w:t>
            </w:r>
            <w:bookmarkEnd w:id="290"/>
            <w:bookmarkEnd w:id="291"/>
          </w:p>
        </w:tc>
      </w:tr>
      <w:tr w:rsidR="00225952" w:rsidRPr="00E84AE9" w:rsidTr="00225952">
        <w:tc>
          <w:tcPr>
            <w:tcW w:w="2455" w:type="dxa"/>
          </w:tcPr>
          <w:p w:rsidR="00225952" w:rsidRDefault="00225952" w:rsidP="00225952">
            <w:pPr>
              <w:pStyle w:val="SidebarSentence"/>
              <w:tabs>
                <w:tab w:val="left" w:pos="2070"/>
              </w:tabs>
              <w:ind w:right="155"/>
            </w:pPr>
            <w:bookmarkStart w:id="292" w:name="_Toc232912637"/>
          </w:p>
          <w:bookmarkEnd w:id="292"/>
          <w:p w:rsidR="00225952" w:rsidRDefault="00225952">
            <w:pPr>
              <w:pStyle w:val="SidebarSentence"/>
              <w:tabs>
                <w:tab w:val="left" w:pos="2070"/>
              </w:tabs>
              <w:ind w:right="155"/>
            </w:pPr>
            <w:r>
              <w:t>Transportation</w:t>
            </w:r>
            <w:r w:rsidRPr="00E84AE9">
              <w:t xml:space="preserve"> monitoring studies are being included more frequently in </w:t>
            </w:r>
            <w:r>
              <w:t>DO</w:t>
            </w:r>
            <w:r w:rsidRPr="00E84AE9">
              <w:t xml:space="preserve"> agreements</w:t>
            </w:r>
          </w:p>
        </w:tc>
        <w:tc>
          <w:tcPr>
            <w:tcW w:w="8010" w:type="dxa"/>
          </w:tcPr>
          <w:p w:rsidR="00225952" w:rsidRDefault="00225952">
            <w:r>
              <w:t xml:space="preserve">Transportation monitoring studies (see </w:t>
            </w:r>
            <w:hyperlink r:id="rId316" w:history="1">
              <w:r w:rsidRPr="00BE7059">
                <w:rPr>
                  <w:rStyle w:val="Hyperlink"/>
                </w:rPr>
                <w:t>Rule 9J-2.045(4), (5)FAC</w:t>
              </w:r>
            </w:hyperlink>
            <w:r>
              <w:t xml:space="preserve">) </w:t>
            </w:r>
            <w:r w:rsidRPr="00E84AE9">
              <w:t>differ from the statutory requirement of annual/biennial reports</w:t>
            </w:r>
            <w:r>
              <w:t xml:space="preserve">. They </w:t>
            </w:r>
            <w:r w:rsidRPr="00E84AE9">
              <w:t xml:space="preserve">usually require the </w:t>
            </w:r>
            <w:r>
              <w:t xml:space="preserve">applicant to </w:t>
            </w:r>
            <w:r w:rsidRPr="00E84AE9">
              <w:t>collect</w:t>
            </w:r>
            <w:r>
              <w:t xml:space="preserve"> </w:t>
            </w:r>
            <w:r w:rsidRPr="00E84AE9">
              <w:t>and analy</w:t>
            </w:r>
            <w:r>
              <w:t>ze</w:t>
            </w:r>
            <w:r w:rsidRPr="00E84AE9">
              <w:t xml:space="preserve"> transportation data to verify assumptions associated with internal capture (or community capture if applicable), background growth rates, and other assumptions made during the </w:t>
            </w:r>
            <w:smartTag w:uri="urn:schemas-microsoft-com:office:smarttags" w:element="place">
              <w:smartTag w:uri="urn:schemas-microsoft-com:office:smarttags" w:element="City">
                <w:r w:rsidRPr="00E84AE9">
                  <w:t>ADA</w:t>
                </w:r>
              </w:smartTag>
            </w:smartTag>
            <w:r w:rsidRPr="00E84AE9">
              <w:t xml:space="preserve">. A similar process to that of an </w:t>
            </w:r>
            <w:smartTag w:uri="urn:schemas-microsoft-com:office:smarttags" w:element="place">
              <w:smartTag w:uri="urn:schemas-microsoft-com:office:smarttags" w:element="City">
                <w:r w:rsidRPr="00E84AE9">
                  <w:t>ADA</w:t>
                </w:r>
              </w:smartTag>
            </w:smartTag>
            <w:r w:rsidRPr="00E84AE9">
              <w:t xml:space="preserve"> (i.e. methodology development, study review, and sufficiency determinations) is often used in the review of </w:t>
            </w:r>
            <w:r>
              <w:t>transportation</w:t>
            </w:r>
            <w:r w:rsidRPr="00E84AE9">
              <w:t xml:space="preserve"> monitoring studies. FDOT participation throughout the process is essential. The RPCs have the responsibility to coordinate with all affected agencies with regard to both the notification and coordination of the review</w:t>
            </w:r>
            <w:r>
              <w:t xml:space="preserve">. </w:t>
            </w:r>
          </w:p>
        </w:tc>
      </w:tr>
    </w:tbl>
    <w:p w:rsidR="004B5E07" w:rsidRDefault="004B5E07">
      <w:r>
        <w:rPr>
          <w:b/>
          <w:bCs/>
        </w:rPr>
        <w:br w:type="page"/>
      </w:r>
    </w:p>
    <w:tbl>
      <w:tblPr>
        <w:tblW w:w="10465" w:type="dxa"/>
        <w:tblLayout w:type="fixed"/>
        <w:tblCellMar>
          <w:left w:w="115" w:type="dxa"/>
          <w:right w:w="115" w:type="dxa"/>
        </w:tblCellMar>
        <w:tblLook w:val="0000"/>
      </w:tblPr>
      <w:tblGrid>
        <w:gridCol w:w="2455"/>
        <w:gridCol w:w="8010"/>
      </w:tblGrid>
      <w:tr w:rsidR="00225952" w:rsidRPr="00E84AE9" w:rsidTr="00225952">
        <w:tc>
          <w:tcPr>
            <w:tcW w:w="2455" w:type="dxa"/>
          </w:tcPr>
          <w:p w:rsidR="00225952" w:rsidRPr="00652B45" w:rsidRDefault="00225952" w:rsidP="00225952">
            <w:pPr>
              <w:pStyle w:val="Heading4"/>
            </w:pPr>
            <w:r w:rsidRPr="00652B45">
              <w:lastRenderedPageBreak/>
              <w:t>FDOT Reviewer Role</w:t>
            </w:r>
          </w:p>
          <w:p w:rsidR="00BF2A16" w:rsidRDefault="00BF2A16" w:rsidP="00225952">
            <w:pPr>
              <w:pStyle w:val="SidebarSentence"/>
              <w:ind w:right="155"/>
            </w:pPr>
          </w:p>
          <w:p w:rsidR="00BF2A16" w:rsidRDefault="00BF2A16" w:rsidP="00225952">
            <w:pPr>
              <w:pStyle w:val="SidebarSentence"/>
              <w:ind w:right="155"/>
            </w:pPr>
          </w:p>
          <w:p w:rsidR="00225952" w:rsidRDefault="00225952" w:rsidP="00225952">
            <w:pPr>
              <w:pStyle w:val="SidebarSentence"/>
              <w:ind w:right="155"/>
            </w:pPr>
            <w:r w:rsidRPr="00E84AE9">
              <w:t xml:space="preserve">The </w:t>
            </w:r>
            <w:r>
              <w:t>FDOT</w:t>
            </w:r>
            <w:r w:rsidRPr="00E84AE9">
              <w:t xml:space="preserve"> is a reviewing agency for the Traffic Monitoring study </w:t>
            </w:r>
          </w:p>
          <w:p w:rsidR="00225952" w:rsidRDefault="00225952" w:rsidP="00225952">
            <w:pPr>
              <w:pStyle w:val="SidebarSentence"/>
              <w:ind w:right="155"/>
            </w:pPr>
          </w:p>
          <w:p w:rsidR="00225952" w:rsidRDefault="00225952" w:rsidP="00225952">
            <w:pPr>
              <w:pStyle w:val="SidebarSentence"/>
              <w:ind w:right="155"/>
            </w:pPr>
          </w:p>
          <w:p w:rsidR="00225952" w:rsidRPr="00BF2A16" w:rsidRDefault="00225952" w:rsidP="00BF2A16">
            <w:pPr>
              <w:pStyle w:val="HeadSide2"/>
              <w:jc w:val="center"/>
              <w:rPr>
                <w:rStyle w:val="SubtleEmphasis"/>
                <w:i/>
                <w:iCs w:val="0"/>
                <w:color w:val="17365D"/>
              </w:rPr>
            </w:pPr>
            <w:r>
              <w:rPr>
                <w:noProof/>
              </w:rPr>
              <w:drawing>
                <wp:inline distT="0" distB="0" distL="0" distR="0">
                  <wp:extent cx="1393190" cy="544195"/>
                  <wp:effectExtent l="19050" t="0" r="0" b="0"/>
                  <wp:docPr id="94" name="Picture 50" descr="button_PDFlink.png">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button_PDFlink.png"/>
                          <pic:cNvPicPr>
                            <a:picLocks noChangeAspect="1" noChangeArrowheads="1"/>
                          </pic:cNvPicPr>
                        </pic:nvPicPr>
                        <pic:blipFill>
                          <a:blip r:embed="rId15" cstate="print"/>
                          <a:srcRect/>
                          <a:stretch>
                            <a:fillRect/>
                          </a:stretch>
                        </pic:blipFill>
                        <pic:spPr bwMode="auto">
                          <a:xfrm>
                            <a:off x="0" y="0"/>
                            <a:ext cx="1393190" cy="544195"/>
                          </a:xfrm>
                          <a:prstGeom prst="rect">
                            <a:avLst/>
                          </a:prstGeom>
                          <a:noFill/>
                          <a:ln w="9525">
                            <a:noFill/>
                            <a:miter lim="800000"/>
                            <a:headEnd/>
                            <a:tailEnd/>
                          </a:ln>
                        </pic:spPr>
                      </pic:pic>
                    </a:graphicData>
                  </a:graphic>
                </wp:inline>
              </w:drawing>
            </w:r>
            <w:r w:rsidR="00BF2A16" w:rsidRPr="00BF2A16">
              <w:rPr>
                <w:rStyle w:val="HeadSide2Char0"/>
              </w:rPr>
              <w:t>Transit Guidelines</w:t>
            </w:r>
          </w:p>
        </w:tc>
        <w:tc>
          <w:tcPr>
            <w:tcW w:w="8010" w:type="dxa"/>
          </w:tcPr>
          <w:p w:rsidR="00225952" w:rsidRDefault="00225952">
            <w:r w:rsidRPr="00F256D2">
              <w:t xml:space="preserve">The </w:t>
            </w:r>
            <w:r>
              <w:t>FDOT</w:t>
            </w:r>
            <w:r w:rsidRPr="00F256D2">
              <w:t xml:space="preserve"> should have it stipulated as a condition of the LGDO that it is a reviewing agency for the </w:t>
            </w:r>
            <w:r>
              <w:t>Transportation</w:t>
            </w:r>
            <w:r w:rsidRPr="00F256D2">
              <w:t xml:space="preserve"> Monitoring study.</w:t>
            </w:r>
            <w:r>
              <w:t xml:space="preserve"> </w:t>
            </w:r>
            <w:r w:rsidRPr="007A1214">
              <w:t xml:space="preserve">FDOT reviewers are strongly encouraged to </w:t>
            </w:r>
            <w:r>
              <w:t>review annual monitoring studies</w:t>
            </w:r>
            <w:r w:rsidRPr="007A1214">
              <w:t xml:space="preserve"> and provide written comments when necessary</w:t>
            </w:r>
            <w:r>
              <w:t xml:space="preserve">. </w:t>
            </w:r>
            <w:r w:rsidRPr="00F256D2">
              <w:t xml:space="preserve">The review of the study provides an opportunity to </w:t>
            </w:r>
            <w:r>
              <w:t>en</w:t>
            </w:r>
            <w:r w:rsidRPr="00F256D2">
              <w:t>sure that LGDO-mandated transportation improvements are realized in a timely manner.</w:t>
            </w:r>
            <w:r>
              <w:t xml:space="preserve"> </w:t>
            </w:r>
            <w:r w:rsidRPr="00F256D2">
              <w:t xml:space="preserve">Depending on the specifics of the study, the </w:t>
            </w:r>
            <w:r>
              <w:t>FDOT</w:t>
            </w:r>
            <w:r w:rsidRPr="00F256D2">
              <w:t xml:space="preserve"> Review role will likely be very similar to the review of an </w:t>
            </w:r>
            <w:smartTag w:uri="urn:schemas-microsoft-com:office:smarttags" w:element="City">
              <w:smartTag w:uri="urn:schemas-microsoft-com:office:smarttags" w:element="place">
                <w:r w:rsidRPr="00F256D2">
                  <w:t>ADA</w:t>
                </w:r>
              </w:smartTag>
            </w:smartTag>
            <w:r>
              <w:t xml:space="preserve">. In addition FDOT staff should recommend appropriate monitoring for single occupancy vehicle use such as applicable measures in </w:t>
            </w:r>
            <w:hyperlink w:anchor="C5" w:history="1">
              <w:r w:rsidRPr="00D1578E">
                <w:rPr>
                  <w:rStyle w:val="Hyperlink"/>
                  <w:rFonts w:cstheme="minorBidi"/>
                </w:rPr>
                <w:t>DRI Checklist 5</w:t>
              </w:r>
            </w:hyperlink>
            <w:r>
              <w:t>.</w:t>
            </w:r>
          </w:p>
          <w:p w:rsidR="00225952" w:rsidRDefault="00225952">
            <w:r>
              <w:t xml:space="preserve">In </w:t>
            </w:r>
            <w:hyperlink r:id="rId318" w:history="1">
              <w:r w:rsidRPr="00926A4E">
                <w:rPr>
                  <w:rStyle w:val="Hyperlink"/>
                </w:rPr>
                <w:t>Guidelines and Performance Measures to Incorporate Transit and Other Multimodal Considerations into the FDOT DRI Review Process</w:t>
              </w:r>
            </w:hyperlink>
            <w:r>
              <w:t>:  “R</w:t>
            </w:r>
            <w:r w:rsidRPr="00EA2E5A">
              <w:t>esearch revealed concerns that although</w:t>
            </w:r>
            <w:r>
              <w:t xml:space="preserve"> many DRI applications </w:t>
            </w:r>
            <w:r w:rsidRPr="00926A4E">
              <w:t>indicate that the use of internal shuttles and ridesharing will be encouraged, no such actions are undertaken by the developer. If such situations were uncovered by FDOT staff or consultants reviewing the report, a letter could be sent to the local government alerting them of the omission. Such a letter may also include an offer of technical assistance if appropriate. In most cases, this review can be accomplished by reviewing information submitted by the developer; however, field observation may occasionally be warranted. Active FDOT participation in supporting development order conditions through DRI monitoring may make it easier for local governments to ensure compliance.</w:t>
            </w:r>
            <w:r>
              <w:t>”</w:t>
            </w:r>
          </w:p>
        </w:tc>
      </w:tr>
      <w:tr w:rsidR="00225952" w:rsidRPr="00E84AE9" w:rsidTr="00225952">
        <w:tc>
          <w:tcPr>
            <w:tcW w:w="10465" w:type="dxa"/>
            <w:gridSpan w:val="2"/>
          </w:tcPr>
          <w:p w:rsidR="00225952" w:rsidRDefault="00225952">
            <w:pPr>
              <w:pStyle w:val="Heading3"/>
              <w:rPr>
                <w:szCs w:val="23"/>
              </w:rPr>
            </w:pPr>
            <w:bookmarkStart w:id="293" w:name="_Toc260316460"/>
            <w:bookmarkStart w:id="294" w:name="_Toc264274162"/>
            <w:r>
              <w:t xml:space="preserve">4.4.3   </w:t>
            </w:r>
            <w:r w:rsidRPr="001014A2">
              <w:t>Transportation Monitoring and Modeling Studies</w:t>
            </w:r>
            <w:r>
              <w:t xml:space="preserve"> </w:t>
            </w:r>
            <w:r w:rsidRPr="001014A2">
              <w:t>(M &amp; M)</w:t>
            </w:r>
            <w:bookmarkEnd w:id="293"/>
            <w:bookmarkEnd w:id="294"/>
          </w:p>
        </w:tc>
      </w:tr>
      <w:tr w:rsidR="00225952" w:rsidRPr="00E84AE9" w:rsidTr="00225952">
        <w:tc>
          <w:tcPr>
            <w:tcW w:w="2455" w:type="dxa"/>
          </w:tcPr>
          <w:p w:rsidR="00225952" w:rsidRDefault="00225952" w:rsidP="00225952">
            <w:pPr>
              <w:pStyle w:val="Heading4"/>
              <w:rPr>
                <w:b w:val="0"/>
                <w:iCs/>
                <w:sz w:val="24"/>
                <w:szCs w:val="24"/>
              </w:rPr>
            </w:pPr>
          </w:p>
          <w:p w:rsidR="00225952" w:rsidRDefault="00225952" w:rsidP="00225952">
            <w:pPr>
              <w:pStyle w:val="Heading4"/>
              <w:rPr>
                <w:b w:val="0"/>
                <w:iCs/>
                <w:sz w:val="24"/>
                <w:szCs w:val="24"/>
              </w:rPr>
            </w:pPr>
          </w:p>
          <w:p w:rsidR="00225952" w:rsidRDefault="00225952" w:rsidP="00225952">
            <w:pPr>
              <w:pStyle w:val="Heading4"/>
              <w:rPr>
                <w:b w:val="0"/>
                <w:iCs/>
                <w:sz w:val="24"/>
                <w:szCs w:val="24"/>
              </w:rPr>
            </w:pPr>
          </w:p>
          <w:p w:rsidR="00225952" w:rsidRDefault="00225952" w:rsidP="00225952">
            <w:pPr>
              <w:pStyle w:val="Heading4"/>
              <w:rPr>
                <w:b w:val="0"/>
                <w:iCs/>
                <w:sz w:val="24"/>
                <w:szCs w:val="24"/>
              </w:rPr>
            </w:pPr>
          </w:p>
          <w:p w:rsidR="00225952" w:rsidRDefault="00225952"/>
          <w:p w:rsidR="00225952" w:rsidRDefault="00225952">
            <w:pPr>
              <w:rPr>
                <w:b/>
              </w:rPr>
            </w:pPr>
          </w:p>
          <w:p w:rsidR="00225952" w:rsidRDefault="00225952" w:rsidP="00255107">
            <w:pPr>
              <w:pStyle w:val="HeadSide20"/>
            </w:pPr>
            <w:r>
              <w:t>An M&amp;M Schedule identifies required actions for each phase of a development.</w:t>
            </w:r>
          </w:p>
        </w:tc>
        <w:tc>
          <w:tcPr>
            <w:tcW w:w="8010" w:type="dxa"/>
          </w:tcPr>
          <w:p w:rsidR="00225952" w:rsidRDefault="00225952">
            <w:pPr>
              <w:rPr>
                <w:szCs w:val="23"/>
              </w:rPr>
            </w:pPr>
            <w:r w:rsidRPr="00F31524">
              <w:rPr>
                <w:szCs w:val="23"/>
              </w:rPr>
              <w:t xml:space="preserve">In </w:t>
            </w:r>
            <w:r w:rsidRPr="00F31524">
              <w:rPr>
                <w:i/>
                <w:iCs/>
                <w:szCs w:val="23"/>
              </w:rPr>
              <w:t xml:space="preserve">Guidelines and Questions for Transportation Monitoring and Modeling Studies </w:t>
            </w:r>
            <w:r>
              <w:rPr>
                <w:szCs w:val="23"/>
              </w:rPr>
              <w:t>(September 2000),</w:t>
            </w:r>
            <w:r w:rsidRPr="00F31524">
              <w:rPr>
                <w:szCs w:val="23"/>
              </w:rPr>
              <w:t>the ECFRPC advocates the monitoring and modeling (M &amp; M) schedule as a method of ensuring the traffic impacts to any regional roadway affected by a development of regional impact (DRI) do not fall below its adopted level of service</w:t>
            </w:r>
            <w:r>
              <w:rPr>
                <w:szCs w:val="23"/>
              </w:rPr>
              <w:t xml:space="preserve"> (or other performance standard)</w:t>
            </w:r>
            <w:r w:rsidRPr="00F31524">
              <w:rPr>
                <w:szCs w:val="23"/>
              </w:rPr>
              <w:t xml:space="preserve">. Although not required for the DRI review process, </w:t>
            </w:r>
            <w:r>
              <w:rPr>
                <w:szCs w:val="23"/>
              </w:rPr>
              <w:t>M &amp; M</w:t>
            </w:r>
            <w:r w:rsidRPr="00F31524">
              <w:rPr>
                <w:szCs w:val="23"/>
              </w:rPr>
              <w:t xml:space="preserve"> may be included in a development order to satisfy a minimum condition to show that adequate provisions are made for public transportation facilities and maintenance of LOS at the end of each project phase or phase subset (Rule 9J-2.045(7)(a), F.A.C.). </w:t>
            </w:r>
          </w:p>
          <w:p w:rsidR="00225952" w:rsidRDefault="00225952">
            <w:pPr>
              <w:rPr>
                <w:szCs w:val="23"/>
              </w:rPr>
            </w:pPr>
            <w:r w:rsidRPr="00F31524">
              <w:rPr>
                <w:szCs w:val="23"/>
              </w:rPr>
              <w:t>An M &amp; M schedule must identify the actions or measures necessary to mitigate significant and adverse impacts to the transportation system in order to proceed to the next phase of a project’s development. It must also identify the amount of development that will adversely impact the roadway, as well as when the impacts are scheduled to be mitigated subsequent to each phase or phase subset of a project. If roadway improvements together with timing of such improvements a</w:t>
            </w:r>
            <w:r>
              <w:rPr>
                <w:szCs w:val="23"/>
              </w:rPr>
              <w:t xml:space="preserve">re </w:t>
            </w:r>
            <w:r>
              <w:rPr>
                <w:szCs w:val="23"/>
              </w:rPr>
              <w:lastRenderedPageBreak/>
              <w:t xml:space="preserve">not identified in the M &amp; M </w:t>
            </w:r>
            <w:r w:rsidRPr="00F31524">
              <w:rPr>
                <w:szCs w:val="23"/>
              </w:rPr>
              <w:t xml:space="preserve">schedule, building permits will be withheld for that project phase or subset until written approval is obtained and compliance with any needed roadway improvements can be demonstrated. </w:t>
            </w:r>
          </w:p>
          <w:p w:rsidR="00225952" w:rsidRDefault="00225952">
            <w:r w:rsidRPr="00F31524">
              <w:rPr>
                <w:szCs w:val="23"/>
              </w:rPr>
              <w:t>A study period consisting of the next stage of development, and traffic study for the existing peak hour LOS and projection of the next phase’s LOS for all impacted roadways listed on the M &amp; M schedule help exhibit compliance with the development order. The study must include estimated traffic for all background developments and the project during the next study period, as well as the end-of-study period LOS for the impacted roadways. The project traffic is to include all existing project developments, permitted project development building permits during the next study period</w:t>
            </w:r>
          </w:p>
        </w:tc>
      </w:tr>
      <w:tr w:rsidR="00225952" w:rsidRPr="00E84AE9" w:rsidTr="00225952">
        <w:tc>
          <w:tcPr>
            <w:tcW w:w="2455" w:type="dxa"/>
          </w:tcPr>
          <w:p w:rsidR="00225952" w:rsidRPr="00652B45" w:rsidRDefault="00225952" w:rsidP="00225952">
            <w:pPr>
              <w:pStyle w:val="Heading4"/>
            </w:pPr>
            <w:r w:rsidRPr="00652B45">
              <w:lastRenderedPageBreak/>
              <w:t>FDOT Reviewer Role</w:t>
            </w:r>
          </w:p>
          <w:p w:rsidR="00225952" w:rsidRDefault="00225952">
            <w:pPr>
              <w:pStyle w:val="Heading4"/>
            </w:pPr>
          </w:p>
          <w:p w:rsidR="00225952" w:rsidRDefault="00225952" w:rsidP="00255107">
            <w:pPr>
              <w:pStyle w:val="HeadSide20"/>
            </w:pPr>
            <w:r w:rsidRPr="00E84AE9">
              <w:t xml:space="preserve">The </w:t>
            </w:r>
            <w:r>
              <w:t>FDOT</w:t>
            </w:r>
            <w:r w:rsidRPr="00E84AE9">
              <w:t xml:space="preserve"> is a reviewing agency for the </w:t>
            </w:r>
            <w:r>
              <w:t>M &amp; M</w:t>
            </w:r>
            <w:r w:rsidRPr="00E84AE9">
              <w:t xml:space="preserve"> study </w:t>
            </w:r>
          </w:p>
        </w:tc>
        <w:tc>
          <w:tcPr>
            <w:tcW w:w="8010" w:type="dxa"/>
          </w:tcPr>
          <w:p w:rsidR="00225952" w:rsidRDefault="00225952">
            <w:r w:rsidRPr="00F256D2">
              <w:t xml:space="preserve">The </w:t>
            </w:r>
            <w:r>
              <w:t>FDOT</w:t>
            </w:r>
            <w:r w:rsidRPr="00F256D2">
              <w:t xml:space="preserve"> is a reviewing agency for the </w:t>
            </w:r>
            <w:r>
              <w:t>M &amp; M</w:t>
            </w:r>
            <w:r w:rsidRPr="00F256D2">
              <w:t xml:space="preserve"> study.</w:t>
            </w:r>
            <w:r>
              <w:t xml:space="preserve"> The reviewer should ensure that all transportation studies are performed accurately. If the reviewer finds that the development transportation impacts are not in compliance with the M &amp; M schedule, the reviewer should contact the local government to discuss. If a solution is not found, then the reviewer should contact the RPC to initiate formal action.</w:t>
            </w:r>
          </w:p>
        </w:tc>
      </w:tr>
      <w:tr w:rsidR="00225952" w:rsidRPr="00E84AE9" w:rsidTr="00225952">
        <w:tc>
          <w:tcPr>
            <w:tcW w:w="10465" w:type="dxa"/>
            <w:gridSpan w:val="2"/>
          </w:tcPr>
          <w:p w:rsidR="00225952" w:rsidRDefault="00225952">
            <w:pPr>
              <w:pStyle w:val="Heading3"/>
            </w:pPr>
            <w:bookmarkStart w:id="295" w:name="_Toc260316461"/>
            <w:bookmarkStart w:id="296" w:name="_Toc264274163"/>
            <w:r>
              <w:t xml:space="preserve">4.4.4   </w:t>
            </w:r>
            <w:r w:rsidRPr="001014A2">
              <w:t>Community Capture Monitoring</w:t>
            </w:r>
            <w:bookmarkEnd w:id="295"/>
            <w:bookmarkEnd w:id="296"/>
          </w:p>
        </w:tc>
      </w:tr>
      <w:tr w:rsidR="00225952" w:rsidRPr="00E84AE9" w:rsidTr="00225952">
        <w:tc>
          <w:tcPr>
            <w:tcW w:w="2455" w:type="dxa"/>
          </w:tcPr>
          <w:p w:rsidR="00225952" w:rsidRDefault="00225952">
            <w:pPr>
              <w:pStyle w:val="Heading4"/>
            </w:pPr>
            <w:r w:rsidRPr="00E63665">
              <w:t xml:space="preserve">Commitment to </w:t>
            </w:r>
            <w:r>
              <w:t xml:space="preserve">Transportation or </w:t>
            </w:r>
            <w:r w:rsidRPr="00E63665">
              <w:t>Traffic Monitoring</w:t>
            </w:r>
          </w:p>
          <w:p w:rsidR="00225952" w:rsidRPr="00652B45" w:rsidRDefault="00225952" w:rsidP="00225952">
            <w:pPr>
              <w:pStyle w:val="Heading4"/>
            </w:pPr>
          </w:p>
        </w:tc>
        <w:tc>
          <w:tcPr>
            <w:tcW w:w="8010" w:type="dxa"/>
          </w:tcPr>
          <w:p w:rsidR="00225952" w:rsidRDefault="00225952">
            <w:r w:rsidRPr="00E63665">
              <w:t>Expanded traffic monitoring beyond the current basic requirements of the DRI annual/biennial report will be a required provision in accepting Community Capture rates. While the detailed needs of the traffic monitoring program will be determined through the traffic study process, elements such as origin and destination studies, trip generation studies, and an evaluation of land use mixes in the community and surrounding the community will usually be included in the monitoring program.  At a minimum, monitoring will be necessary before the development enters a new phase. If appropriate, trip characteristic assumptions and impact mitigation requirements will be revised, based on the monitoring. Traffic monitoring at a frequency greater than by phase may be required for more aggressive development programs or if significant changes are made to the planned development program.</w:t>
            </w:r>
          </w:p>
          <w:p w:rsidR="00225952" w:rsidRDefault="00225952"/>
        </w:tc>
      </w:tr>
    </w:tbl>
    <w:p w:rsidR="00225952" w:rsidRDefault="00225952">
      <w:r>
        <w:rPr>
          <w:b/>
          <w:bCs/>
        </w:rPr>
        <w:br w:type="page"/>
      </w:r>
    </w:p>
    <w:p w:rsidR="007A0AB2" w:rsidRDefault="007A0AB2" w:rsidP="005F4952">
      <w:pPr>
        <w:tabs>
          <w:tab w:val="left" w:pos="8416"/>
        </w:tabs>
        <w:spacing w:after="0"/>
        <w:rPr>
          <w:b/>
          <w:sz w:val="24"/>
        </w:rPr>
        <w:sectPr w:rsidR="007A0AB2" w:rsidSect="00832911">
          <w:headerReference w:type="default" r:id="rId319"/>
          <w:pgSz w:w="12240" w:h="15840"/>
          <w:pgMar w:top="1440" w:right="720" w:bottom="1440" w:left="1152" w:header="720" w:footer="720" w:gutter="0"/>
          <w:cols w:space="720"/>
          <w:docGrid w:linePitch="360"/>
        </w:sectPr>
      </w:pPr>
      <w:bookmarkStart w:id="297" w:name="Checklist1"/>
      <w:bookmarkStart w:id="298" w:name="Ex3_4Review"/>
      <w:bookmarkStart w:id="299" w:name="C_ABC"/>
      <w:bookmarkEnd w:id="297"/>
      <w:bookmarkEnd w:id="298"/>
      <w:bookmarkEnd w:id="299"/>
    </w:p>
    <w:tbl>
      <w:tblPr>
        <w:tblW w:w="1047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3060"/>
        <w:gridCol w:w="6562"/>
        <w:gridCol w:w="854"/>
      </w:tblGrid>
      <w:tr w:rsidR="00225952" w:rsidTr="00CB4748">
        <w:tc>
          <w:tcPr>
            <w:tcW w:w="10476" w:type="dxa"/>
            <w:gridSpan w:val="3"/>
            <w:shd w:val="clear" w:color="auto" w:fill="auto"/>
          </w:tcPr>
          <w:p w:rsidR="00225952" w:rsidRPr="003A266F" w:rsidRDefault="003A266F" w:rsidP="003A266F">
            <w:pPr>
              <w:pStyle w:val="Heading2"/>
              <w:shd w:val="clear" w:color="auto" w:fill="FFFFFF" w:themeFill="background1"/>
              <w:tabs>
                <w:tab w:val="clear" w:pos="9360"/>
                <w:tab w:val="right" w:pos="10152"/>
              </w:tabs>
              <w:rPr>
                <w:rFonts w:ascii="Trebuchet MS" w:hAnsi="Trebuchet MS"/>
                <w:noProof/>
                <w:color w:val="4F6228"/>
                <w:sz w:val="18"/>
              </w:rPr>
            </w:pPr>
            <w:bookmarkStart w:id="300" w:name="_Toc264274164"/>
            <w:r w:rsidRPr="003A266F">
              <w:rPr>
                <w:rFonts w:ascii="Trebuchet MS" w:hAnsi="Trebuchet MS"/>
              </w:rPr>
              <w:lastRenderedPageBreak/>
              <w:t xml:space="preserve">DRI Pre-Application </w:t>
            </w:r>
            <w:r w:rsidR="00225952" w:rsidRPr="003A266F">
              <w:rPr>
                <w:rFonts w:ascii="Trebuchet MS" w:hAnsi="Trebuchet MS"/>
              </w:rPr>
              <w:t>Checklist</w:t>
            </w:r>
            <w:r w:rsidR="005F4952" w:rsidRPr="003A266F">
              <w:rPr>
                <w:rFonts w:ascii="Trebuchet MS" w:hAnsi="Trebuchet MS"/>
              </w:rPr>
              <w:tab/>
            </w:r>
            <w:r w:rsidR="005F4952" w:rsidRPr="003A266F">
              <w:rPr>
                <w:rFonts w:ascii="Trebuchet MS" w:hAnsi="Trebuchet MS"/>
                <w:color w:val="auto"/>
                <w:sz w:val="18"/>
                <w:szCs w:val="18"/>
              </w:rPr>
              <w:t>1 of 3</w:t>
            </w:r>
            <w:bookmarkEnd w:id="300"/>
          </w:p>
        </w:tc>
      </w:tr>
      <w:tr w:rsidR="003A266F" w:rsidTr="00CB4748">
        <w:tc>
          <w:tcPr>
            <w:tcW w:w="9622" w:type="dxa"/>
            <w:gridSpan w:val="2"/>
            <w:tcBorders>
              <w:bottom w:val="single" w:sz="4" w:space="0" w:color="000000"/>
              <w:right w:val="nil"/>
            </w:tcBorders>
            <w:shd w:val="clear" w:color="auto" w:fill="31849B" w:themeFill="accent5" w:themeFillShade="BF"/>
          </w:tcPr>
          <w:p w:rsidR="003A266F" w:rsidRPr="003A266F" w:rsidRDefault="003A266F" w:rsidP="00225952">
            <w:pPr>
              <w:spacing w:after="0"/>
              <w:ind w:left="252" w:hanging="252"/>
              <w:rPr>
                <w:b/>
                <w:color w:val="FFFFFF" w:themeColor="background1"/>
              </w:rPr>
            </w:pPr>
            <w:r w:rsidRPr="003A266F">
              <w:rPr>
                <w:b/>
                <w:color w:val="FFFFFF" w:themeColor="background1"/>
                <w:sz w:val="24"/>
              </w:rPr>
              <w:t>Information to be Provided to Applicant</w:t>
            </w:r>
          </w:p>
        </w:tc>
        <w:tc>
          <w:tcPr>
            <w:tcW w:w="854" w:type="dxa"/>
            <w:tcBorders>
              <w:left w:val="nil"/>
            </w:tcBorders>
            <w:vAlign w:val="center"/>
          </w:tcPr>
          <w:p w:rsidR="003A266F" w:rsidRPr="002635FD" w:rsidRDefault="003A266F" w:rsidP="00225952">
            <w:pPr>
              <w:spacing w:after="0"/>
              <w:jc w:val="center"/>
            </w:pPr>
          </w:p>
        </w:tc>
      </w:tr>
      <w:tr w:rsidR="00225952" w:rsidTr="00CB4748">
        <w:tc>
          <w:tcPr>
            <w:tcW w:w="9622" w:type="dxa"/>
            <w:gridSpan w:val="2"/>
            <w:tcBorders>
              <w:bottom w:val="single" w:sz="4" w:space="0" w:color="000000"/>
              <w:right w:val="nil"/>
            </w:tcBorders>
            <w:shd w:val="clear" w:color="auto" w:fill="DBE5F1"/>
          </w:tcPr>
          <w:p w:rsidR="00225952" w:rsidRPr="009C28E0" w:rsidRDefault="00225952" w:rsidP="00225952">
            <w:pPr>
              <w:spacing w:after="0"/>
              <w:ind w:left="252" w:hanging="252"/>
              <w:rPr>
                <w:sz w:val="18"/>
              </w:rPr>
            </w:pPr>
            <w:r>
              <w:rPr>
                <w:b/>
              </w:rPr>
              <w:t>Area Specific</w:t>
            </w:r>
          </w:p>
        </w:tc>
        <w:tc>
          <w:tcPr>
            <w:tcW w:w="854" w:type="dxa"/>
            <w:tcBorders>
              <w:left w:val="nil"/>
            </w:tcBorders>
            <w:vAlign w:val="center"/>
          </w:tcPr>
          <w:p w:rsidR="00225952" w:rsidRPr="002635FD" w:rsidRDefault="00225952" w:rsidP="00225952">
            <w:pPr>
              <w:spacing w:after="0"/>
              <w:jc w:val="center"/>
            </w:pPr>
          </w:p>
        </w:tc>
      </w:tr>
      <w:tr w:rsidR="00225952" w:rsidTr="00CB4748">
        <w:tc>
          <w:tcPr>
            <w:tcW w:w="3060" w:type="dxa"/>
            <w:vMerge w:val="restart"/>
            <w:tcBorders>
              <w:right w:val="nil"/>
            </w:tcBorders>
          </w:tcPr>
          <w:p w:rsidR="00225952" w:rsidRPr="009C28E0" w:rsidRDefault="00225952" w:rsidP="004B5E07">
            <w:pPr>
              <w:pStyle w:val="CheckA"/>
              <w:jc w:val="left"/>
              <w:rPr>
                <w:sz w:val="18"/>
              </w:rPr>
            </w:pPr>
            <w:r>
              <w:t xml:space="preserve">A.  </w:t>
            </w:r>
            <w:r w:rsidRPr="00DC5E75">
              <w:t>Recommended transportation site impact methodologies used and/or required by the</w:t>
            </w:r>
            <w:r>
              <w:t xml:space="preserve"> </w:t>
            </w:r>
            <w:r w:rsidRPr="00DC5E75">
              <w:t>Department including</w:t>
            </w:r>
            <w:r>
              <w:t>:</w:t>
            </w:r>
          </w:p>
        </w:tc>
        <w:tc>
          <w:tcPr>
            <w:tcW w:w="6562" w:type="dxa"/>
            <w:tcBorders>
              <w:left w:val="nil"/>
              <w:right w:val="nil"/>
            </w:tcBorders>
          </w:tcPr>
          <w:p w:rsidR="00225952" w:rsidRPr="00E066BB" w:rsidRDefault="00225952" w:rsidP="00225952">
            <w:pPr>
              <w:pStyle w:val="Check1"/>
              <w:rPr>
                <w:sz w:val="20"/>
              </w:rPr>
            </w:pPr>
            <w:r w:rsidRPr="00E066BB">
              <w:rPr>
                <w:sz w:val="20"/>
              </w:rPr>
              <w:t>1.  Software programs</w:t>
            </w:r>
          </w:p>
        </w:tc>
        <w:tc>
          <w:tcPr>
            <w:tcW w:w="854" w:type="dxa"/>
            <w:tcBorders>
              <w:left w:val="nil"/>
            </w:tcBorders>
            <w:vAlign w:val="center"/>
          </w:tcPr>
          <w:p w:rsidR="00225952" w:rsidRPr="002635FD" w:rsidRDefault="00225952" w:rsidP="00225952">
            <w:pPr>
              <w:spacing w:after="0"/>
              <w:jc w:val="center"/>
            </w:pPr>
          </w:p>
        </w:tc>
      </w:tr>
      <w:tr w:rsidR="00225952" w:rsidTr="00CB4748">
        <w:tc>
          <w:tcPr>
            <w:tcW w:w="3060" w:type="dxa"/>
            <w:vMerge/>
            <w:tcBorders>
              <w:right w:val="nil"/>
            </w:tcBorders>
          </w:tcPr>
          <w:p w:rsidR="00225952" w:rsidRDefault="00225952" w:rsidP="004B5E07">
            <w:pPr>
              <w:pStyle w:val="CheckA"/>
              <w:jc w:val="left"/>
            </w:pPr>
          </w:p>
        </w:tc>
        <w:tc>
          <w:tcPr>
            <w:tcW w:w="6562" w:type="dxa"/>
            <w:tcBorders>
              <w:left w:val="nil"/>
              <w:right w:val="nil"/>
            </w:tcBorders>
          </w:tcPr>
          <w:p w:rsidR="00225952" w:rsidRPr="00E066BB" w:rsidRDefault="00225952" w:rsidP="00225952">
            <w:pPr>
              <w:pStyle w:val="Check1"/>
              <w:rPr>
                <w:sz w:val="20"/>
              </w:rPr>
            </w:pPr>
            <w:r w:rsidRPr="00E066BB">
              <w:rPr>
                <w:sz w:val="20"/>
              </w:rPr>
              <w:t>2.  Traffic modeling techniques</w:t>
            </w:r>
          </w:p>
        </w:tc>
        <w:tc>
          <w:tcPr>
            <w:tcW w:w="854" w:type="dxa"/>
            <w:tcBorders>
              <w:left w:val="nil"/>
            </w:tcBorders>
            <w:vAlign w:val="center"/>
          </w:tcPr>
          <w:p w:rsidR="00225952" w:rsidRDefault="00225952" w:rsidP="00225952">
            <w:pPr>
              <w:spacing w:after="0"/>
              <w:jc w:val="center"/>
              <w:rPr>
                <w:noProof/>
              </w:rPr>
            </w:pPr>
          </w:p>
        </w:tc>
      </w:tr>
      <w:tr w:rsidR="00225952" w:rsidTr="00CB4748">
        <w:tc>
          <w:tcPr>
            <w:tcW w:w="3060" w:type="dxa"/>
            <w:vMerge/>
            <w:tcBorders>
              <w:right w:val="nil"/>
            </w:tcBorders>
          </w:tcPr>
          <w:p w:rsidR="00225952" w:rsidRDefault="00225952" w:rsidP="004B5E07">
            <w:pPr>
              <w:pStyle w:val="CheckA"/>
              <w:jc w:val="left"/>
            </w:pPr>
          </w:p>
        </w:tc>
        <w:tc>
          <w:tcPr>
            <w:tcW w:w="6562" w:type="dxa"/>
            <w:tcBorders>
              <w:left w:val="nil"/>
              <w:right w:val="nil"/>
            </w:tcBorders>
          </w:tcPr>
          <w:p w:rsidR="00225952" w:rsidRPr="00E066BB" w:rsidRDefault="00225952" w:rsidP="00225952">
            <w:pPr>
              <w:pStyle w:val="Check1"/>
              <w:rPr>
                <w:sz w:val="20"/>
              </w:rPr>
            </w:pPr>
            <w:r w:rsidRPr="00E066BB">
              <w:rPr>
                <w:sz w:val="20"/>
              </w:rPr>
              <w:t>3.  Trip generation methodologies</w:t>
            </w:r>
          </w:p>
        </w:tc>
        <w:tc>
          <w:tcPr>
            <w:tcW w:w="854" w:type="dxa"/>
            <w:tcBorders>
              <w:left w:val="nil"/>
            </w:tcBorders>
            <w:vAlign w:val="center"/>
          </w:tcPr>
          <w:p w:rsidR="00225952" w:rsidRDefault="00225952" w:rsidP="00225952">
            <w:pPr>
              <w:spacing w:after="0"/>
              <w:jc w:val="center"/>
              <w:rPr>
                <w:noProof/>
              </w:rPr>
            </w:pPr>
          </w:p>
        </w:tc>
      </w:tr>
      <w:tr w:rsidR="00225952" w:rsidTr="00CB4748">
        <w:tc>
          <w:tcPr>
            <w:tcW w:w="3060" w:type="dxa"/>
            <w:vMerge/>
            <w:tcBorders>
              <w:right w:val="nil"/>
            </w:tcBorders>
          </w:tcPr>
          <w:p w:rsidR="00225952" w:rsidRDefault="00225952" w:rsidP="004B5E07">
            <w:pPr>
              <w:pStyle w:val="CheckA"/>
              <w:jc w:val="left"/>
            </w:pPr>
          </w:p>
        </w:tc>
        <w:tc>
          <w:tcPr>
            <w:tcW w:w="6562" w:type="dxa"/>
            <w:tcBorders>
              <w:left w:val="nil"/>
              <w:right w:val="nil"/>
            </w:tcBorders>
          </w:tcPr>
          <w:p w:rsidR="00225952" w:rsidRPr="00E066BB" w:rsidRDefault="00225952" w:rsidP="00225952">
            <w:pPr>
              <w:pStyle w:val="Check1"/>
              <w:rPr>
                <w:sz w:val="20"/>
              </w:rPr>
            </w:pPr>
            <w:r w:rsidRPr="00E066BB">
              <w:rPr>
                <w:sz w:val="20"/>
              </w:rPr>
              <w:t>4.  Other software may be used if agreed to be all parties</w:t>
            </w:r>
          </w:p>
        </w:tc>
        <w:tc>
          <w:tcPr>
            <w:tcW w:w="854" w:type="dxa"/>
            <w:tcBorders>
              <w:left w:val="nil"/>
            </w:tcBorders>
            <w:vAlign w:val="center"/>
          </w:tcPr>
          <w:p w:rsidR="00225952" w:rsidRDefault="00225952" w:rsidP="00225952">
            <w:pPr>
              <w:spacing w:after="0"/>
              <w:jc w:val="center"/>
              <w:rPr>
                <w:noProof/>
              </w:rPr>
            </w:pPr>
          </w:p>
        </w:tc>
      </w:tr>
      <w:tr w:rsidR="00225952" w:rsidTr="00CB4748">
        <w:tc>
          <w:tcPr>
            <w:tcW w:w="3060" w:type="dxa"/>
            <w:vMerge w:val="restart"/>
            <w:tcBorders>
              <w:right w:val="nil"/>
            </w:tcBorders>
          </w:tcPr>
          <w:p w:rsidR="00225952" w:rsidRPr="004B7222" w:rsidRDefault="00225952" w:rsidP="004B5E07">
            <w:pPr>
              <w:spacing w:after="0" w:line="240" w:lineRule="auto"/>
              <w:jc w:val="left"/>
              <w:rPr>
                <w:rFonts w:cs="Arial"/>
                <w:sz w:val="20"/>
              </w:rPr>
            </w:pPr>
            <w:r w:rsidRPr="00DC5E75">
              <w:rPr>
                <w:rFonts w:cs="Arial"/>
                <w:sz w:val="20"/>
              </w:rPr>
              <w:t>Information on</w:t>
            </w:r>
            <w:r>
              <w:rPr>
                <w:rFonts w:cs="Arial"/>
                <w:sz w:val="20"/>
              </w:rPr>
              <w:t>:</w:t>
            </w:r>
          </w:p>
        </w:tc>
        <w:tc>
          <w:tcPr>
            <w:tcW w:w="6562" w:type="dxa"/>
            <w:tcBorders>
              <w:left w:val="nil"/>
              <w:right w:val="nil"/>
            </w:tcBorders>
            <w:vAlign w:val="center"/>
          </w:tcPr>
          <w:p w:rsidR="00225952" w:rsidRPr="00E066BB" w:rsidRDefault="00225952" w:rsidP="00225952">
            <w:pPr>
              <w:pStyle w:val="Check1"/>
              <w:rPr>
                <w:sz w:val="20"/>
              </w:rPr>
            </w:pPr>
            <w:r w:rsidRPr="00E066BB">
              <w:rPr>
                <w:sz w:val="20"/>
              </w:rPr>
              <w:t>1.  Relevant existing or proposed rights-of-way,</w:t>
            </w:r>
          </w:p>
        </w:tc>
        <w:tc>
          <w:tcPr>
            <w:tcW w:w="854" w:type="dxa"/>
            <w:tcBorders>
              <w:left w:val="nil"/>
            </w:tcBorders>
            <w:vAlign w:val="center"/>
          </w:tcPr>
          <w:p w:rsidR="00225952" w:rsidRPr="002635FD" w:rsidRDefault="00225952" w:rsidP="00225952">
            <w:pPr>
              <w:spacing w:after="0"/>
              <w:jc w:val="center"/>
            </w:pPr>
          </w:p>
        </w:tc>
      </w:tr>
      <w:tr w:rsidR="00225952" w:rsidTr="00CB4748">
        <w:tc>
          <w:tcPr>
            <w:tcW w:w="3060" w:type="dxa"/>
            <w:vMerge/>
            <w:tcBorders>
              <w:right w:val="nil"/>
            </w:tcBorders>
          </w:tcPr>
          <w:p w:rsidR="00225952" w:rsidRDefault="00225952" w:rsidP="004B5E07">
            <w:pPr>
              <w:pStyle w:val="CheckA"/>
              <w:jc w:val="left"/>
            </w:pPr>
          </w:p>
        </w:tc>
        <w:tc>
          <w:tcPr>
            <w:tcW w:w="6562" w:type="dxa"/>
            <w:tcBorders>
              <w:left w:val="nil"/>
              <w:right w:val="nil"/>
            </w:tcBorders>
            <w:vAlign w:val="center"/>
          </w:tcPr>
          <w:p w:rsidR="00225952" w:rsidRPr="00E066BB" w:rsidRDefault="00225952" w:rsidP="00225952">
            <w:pPr>
              <w:pStyle w:val="Check1"/>
              <w:rPr>
                <w:sz w:val="20"/>
              </w:rPr>
            </w:pPr>
            <w:r w:rsidRPr="00E066BB">
              <w:rPr>
                <w:sz w:val="20"/>
              </w:rPr>
              <w:t>2.  Proposed or current Major Investment Studies (in urbanized areas</w:t>
            </w:r>
          </w:p>
        </w:tc>
        <w:tc>
          <w:tcPr>
            <w:tcW w:w="854" w:type="dxa"/>
            <w:tcBorders>
              <w:left w:val="nil"/>
            </w:tcBorders>
            <w:vAlign w:val="center"/>
          </w:tcPr>
          <w:p w:rsidR="00225952" w:rsidRPr="002635FD" w:rsidRDefault="00225952" w:rsidP="00225952">
            <w:pPr>
              <w:spacing w:after="0"/>
              <w:jc w:val="center"/>
            </w:pPr>
          </w:p>
        </w:tc>
      </w:tr>
      <w:tr w:rsidR="00225952" w:rsidTr="00CB4748">
        <w:tc>
          <w:tcPr>
            <w:tcW w:w="3060" w:type="dxa"/>
            <w:vMerge/>
            <w:tcBorders>
              <w:right w:val="nil"/>
            </w:tcBorders>
          </w:tcPr>
          <w:p w:rsidR="00225952" w:rsidRDefault="00225952" w:rsidP="004B5E07">
            <w:pPr>
              <w:pStyle w:val="CheckA"/>
              <w:jc w:val="left"/>
            </w:pPr>
          </w:p>
        </w:tc>
        <w:tc>
          <w:tcPr>
            <w:tcW w:w="6562" w:type="dxa"/>
            <w:tcBorders>
              <w:left w:val="nil"/>
              <w:right w:val="nil"/>
            </w:tcBorders>
            <w:vAlign w:val="center"/>
          </w:tcPr>
          <w:p w:rsidR="00225952" w:rsidRPr="00E066BB" w:rsidRDefault="00225952" w:rsidP="00225952">
            <w:pPr>
              <w:pStyle w:val="Check1"/>
              <w:rPr>
                <w:sz w:val="20"/>
              </w:rPr>
            </w:pPr>
            <w:r w:rsidRPr="00E066BB">
              <w:rPr>
                <w:sz w:val="20"/>
              </w:rPr>
              <w:t>3.  SIS action or master plans</w:t>
            </w:r>
          </w:p>
        </w:tc>
        <w:tc>
          <w:tcPr>
            <w:tcW w:w="854" w:type="dxa"/>
            <w:tcBorders>
              <w:left w:val="nil"/>
            </w:tcBorders>
            <w:vAlign w:val="center"/>
          </w:tcPr>
          <w:p w:rsidR="00225952" w:rsidRPr="002635FD" w:rsidRDefault="00225952" w:rsidP="00225952">
            <w:pPr>
              <w:spacing w:after="0"/>
              <w:jc w:val="center"/>
            </w:pPr>
          </w:p>
        </w:tc>
      </w:tr>
      <w:tr w:rsidR="00225952" w:rsidTr="00CB4748">
        <w:tc>
          <w:tcPr>
            <w:tcW w:w="3060" w:type="dxa"/>
            <w:vMerge/>
            <w:tcBorders>
              <w:right w:val="nil"/>
            </w:tcBorders>
          </w:tcPr>
          <w:p w:rsidR="00225952" w:rsidRDefault="00225952" w:rsidP="004B5E07">
            <w:pPr>
              <w:pStyle w:val="CheckA"/>
              <w:jc w:val="left"/>
            </w:pPr>
          </w:p>
        </w:tc>
        <w:tc>
          <w:tcPr>
            <w:tcW w:w="6562" w:type="dxa"/>
            <w:tcBorders>
              <w:left w:val="nil"/>
              <w:right w:val="nil"/>
            </w:tcBorders>
            <w:vAlign w:val="center"/>
          </w:tcPr>
          <w:p w:rsidR="00225952" w:rsidRPr="00E066BB" w:rsidRDefault="00225952" w:rsidP="00225952">
            <w:pPr>
              <w:pStyle w:val="Check1"/>
              <w:rPr>
                <w:sz w:val="20"/>
              </w:rPr>
            </w:pPr>
            <w:r w:rsidRPr="00E066BB">
              <w:rPr>
                <w:sz w:val="20"/>
              </w:rPr>
              <w:t>4.  Any corridors designated in the Florida Transportation Plan within the study area</w:t>
            </w:r>
          </w:p>
        </w:tc>
        <w:tc>
          <w:tcPr>
            <w:tcW w:w="854" w:type="dxa"/>
            <w:tcBorders>
              <w:left w:val="nil"/>
            </w:tcBorders>
            <w:vAlign w:val="center"/>
          </w:tcPr>
          <w:p w:rsidR="00225952" w:rsidRPr="002635FD" w:rsidRDefault="00225952" w:rsidP="00225952">
            <w:pPr>
              <w:spacing w:after="0"/>
              <w:jc w:val="center"/>
            </w:pPr>
          </w:p>
        </w:tc>
      </w:tr>
      <w:tr w:rsidR="00225952" w:rsidTr="00CB4748">
        <w:tc>
          <w:tcPr>
            <w:tcW w:w="3060" w:type="dxa"/>
            <w:tcBorders>
              <w:right w:val="nil"/>
            </w:tcBorders>
          </w:tcPr>
          <w:p w:rsidR="00225952" w:rsidRDefault="00225952" w:rsidP="004B5E07">
            <w:pPr>
              <w:pStyle w:val="CheckA"/>
              <w:jc w:val="left"/>
            </w:pPr>
            <w:r>
              <w:t>Work Program</w:t>
            </w:r>
          </w:p>
        </w:tc>
        <w:tc>
          <w:tcPr>
            <w:tcW w:w="6562" w:type="dxa"/>
            <w:tcBorders>
              <w:left w:val="nil"/>
              <w:right w:val="nil"/>
            </w:tcBorders>
            <w:vAlign w:val="center"/>
          </w:tcPr>
          <w:p w:rsidR="00225952" w:rsidRPr="00E066BB" w:rsidRDefault="00225952" w:rsidP="004B5E07">
            <w:pPr>
              <w:pStyle w:val="Check1"/>
              <w:jc w:val="left"/>
              <w:rPr>
                <w:sz w:val="20"/>
              </w:rPr>
            </w:pPr>
            <w:r w:rsidRPr="00E066BB">
              <w:rPr>
                <w:sz w:val="20"/>
              </w:rPr>
              <w:t>1.  How information regarding facilities programmed for improvement in the first three years of the Department’s Five-Year Adopted Work Program may be obtained.</w:t>
            </w:r>
          </w:p>
        </w:tc>
        <w:tc>
          <w:tcPr>
            <w:tcW w:w="854" w:type="dxa"/>
            <w:tcBorders>
              <w:left w:val="nil"/>
            </w:tcBorders>
            <w:vAlign w:val="center"/>
          </w:tcPr>
          <w:p w:rsidR="00225952" w:rsidRPr="002635FD" w:rsidRDefault="00225952" w:rsidP="00225952">
            <w:pPr>
              <w:spacing w:after="0"/>
              <w:jc w:val="center"/>
            </w:pPr>
          </w:p>
        </w:tc>
      </w:tr>
      <w:tr w:rsidR="00225952" w:rsidTr="00CB4748">
        <w:tc>
          <w:tcPr>
            <w:tcW w:w="3060" w:type="dxa"/>
            <w:tcBorders>
              <w:right w:val="nil"/>
            </w:tcBorders>
          </w:tcPr>
          <w:p w:rsidR="00225952" w:rsidRDefault="00225952" w:rsidP="004B5E07">
            <w:pPr>
              <w:pStyle w:val="CheckA"/>
              <w:jc w:val="left"/>
            </w:pPr>
            <w:r w:rsidRPr="00DC5E75">
              <w:rPr>
                <w:rFonts w:cs="Arial"/>
              </w:rPr>
              <w:t>LGCP</w:t>
            </w:r>
          </w:p>
        </w:tc>
        <w:tc>
          <w:tcPr>
            <w:tcW w:w="6562" w:type="dxa"/>
            <w:tcBorders>
              <w:left w:val="nil"/>
              <w:right w:val="nil"/>
            </w:tcBorders>
            <w:vAlign w:val="center"/>
          </w:tcPr>
          <w:p w:rsidR="00225952" w:rsidRDefault="00225952" w:rsidP="00225952">
            <w:pPr>
              <w:pStyle w:val="Check1"/>
            </w:pPr>
            <w:r>
              <w:rPr>
                <w:rFonts w:cs="Arial"/>
                <w:sz w:val="20"/>
              </w:rPr>
              <w:t xml:space="preserve">1.  </w:t>
            </w:r>
            <w:r w:rsidRPr="00DC5E75">
              <w:rPr>
                <w:rFonts w:cs="Arial"/>
                <w:sz w:val="20"/>
              </w:rPr>
              <w:t>Local Government Comprehensive Plans (LGCP) (</w:t>
            </w:r>
            <w:r w:rsidRPr="004B7222">
              <w:rPr>
                <w:rFonts w:cs="Arial"/>
                <w:i/>
                <w:sz w:val="20"/>
              </w:rPr>
              <w:t>as applicable</w:t>
            </w:r>
            <w:r w:rsidRPr="00DC5E75">
              <w:rPr>
                <w:rFonts w:cs="Arial"/>
                <w:sz w:val="20"/>
              </w:rPr>
              <w:t>)</w:t>
            </w:r>
          </w:p>
        </w:tc>
        <w:tc>
          <w:tcPr>
            <w:tcW w:w="854" w:type="dxa"/>
            <w:tcBorders>
              <w:left w:val="nil"/>
            </w:tcBorders>
            <w:vAlign w:val="center"/>
          </w:tcPr>
          <w:p w:rsidR="00225952" w:rsidRPr="002635FD" w:rsidRDefault="00225952" w:rsidP="00225952">
            <w:pPr>
              <w:spacing w:after="0"/>
              <w:jc w:val="center"/>
            </w:pPr>
          </w:p>
        </w:tc>
      </w:tr>
      <w:tr w:rsidR="00225952" w:rsidTr="00CB4748">
        <w:tc>
          <w:tcPr>
            <w:tcW w:w="3060" w:type="dxa"/>
            <w:tcBorders>
              <w:right w:val="nil"/>
            </w:tcBorders>
          </w:tcPr>
          <w:p w:rsidR="00225952" w:rsidRDefault="00225952" w:rsidP="004B5E07">
            <w:pPr>
              <w:pStyle w:val="CheckA"/>
              <w:jc w:val="left"/>
            </w:pPr>
            <w:r>
              <w:t>LRTP</w:t>
            </w:r>
          </w:p>
        </w:tc>
        <w:tc>
          <w:tcPr>
            <w:tcW w:w="6562" w:type="dxa"/>
            <w:tcBorders>
              <w:left w:val="nil"/>
              <w:right w:val="nil"/>
            </w:tcBorders>
            <w:vAlign w:val="center"/>
          </w:tcPr>
          <w:p w:rsidR="00225952" w:rsidRDefault="00225952" w:rsidP="00225952">
            <w:pPr>
              <w:pStyle w:val="Check1"/>
            </w:pPr>
            <w:r>
              <w:rPr>
                <w:rFonts w:cs="Arial"/>
                <w:sz w:val="20"/>
              </w:rPr>
              <w:t xml:space="preserve">1.  </w:t>
            </w:r>
            <w:r w:rsidRPr="00DC5E75">
              <w:rPr>
                <w:rFonts w:cs="Arial"/>
                <w:sz w:val="20"/>
              </w:rPr>
              <w:t>MPO Long Range Transportation Plan (LRTP) (</w:t>
            </w:r>
            <w:r w:rsidRPr="004B7222">
              <w:rPr>
                <w:rFonts w:cs="Arial"/>
                <w:i/>
                <w:sz w:val="20"/>
              </w:rPr>
              <w:t>as applicable</w:t>
            </w:r>
            <w:r w:rsidRPr="00DC5E75">
              <w:rPr>
                <w:rFonts w:cs="Arial"/>
                <w:sz w:val="20"/>
              </w:rPr>
              <w:t>)</w:t>
            </w:r>
          </w:p>
        </w:tc>
        <w:tc>
          <w:tcPr>
            <w:tcW w:w="854" w:type="dxa"/>
            <w:tcBorders>
              <w:left w:val="nil"/>
            </w:tcBorders>
            <w:vAlign w:val="center"/>
          </w:tcPr>
          <w:p w:rsidR="00225952" w:rsidRPr="002635FD" w:rsidRDefault="00225952" w:rsidP="00225952">
            <w:pPr>
              <w:spacing w:after="0"/>
              <w:jc w:val="center"/>
            </w:pPr>
          </w:p>
        </w:tc>
      </w:tr>
      <w:tr w:rsidR="00225952" w:rsidTr="00CB4748">
        <w:tc>
          <w:tcPr>
            <w:tcW w:w="3060" w:type="dxa"/>
            <w:tcBorders>
              <w:right w:val="nil"/>
            </w:tcBorders>
          </w:tcPr>
          <w:p w:rsidR="00225952" w:rsidRDefault="00225952" w:rsidP="004B5E07">
            <w:pPr>
              <w:pStyle w:val="CheckA"/>
              <w:jc w:val="left"/>
            </w:pPr>
            <w:r w:rsidRPr="00DC5E75">
              <w:rPr>
                <w:rFonts w:cs="Arial"/>
              </w:rPr>
              <w:t xml:space="preserve">Transit Development Plan </w:t>
            </w:r>
          </w:p>
        </w:tc>
        <w:tc>
          <w:tcPr>
            <w:tcW w:w="6562" w:type="dxa"/>
            <w:tcBorders>
              <w:left w:val="nil"/>
              <w:right w:val="nil"/>
            </w:tcBorders>
            <w:vAlign w:val="center"/>
          </w:tcPr>
          <w:p w:rsidR="00225952" w:rsidRDefault="00225952" w:rsidP="00225952">
            <w:pPr>
              <w:pStyle w:val="Check1"/>
            </w:pPr>
            <w:r>
              <w:rPr>
                <w:rFonts w:cs="Arial"/>
                <w:sz w:val="20"/>
              </w:rPr>
              <w:tab/>
            </w:r>
            <w:r w:rsidRPr="00DC5E75">
              <w:rPr>
                <w:rFonts w:cs="Arial"/>
                <w:sz w:val="20"/>
              </w:rPr>
              <w:t>(</w:t>
            </w:r>
            <w:r w:rsidRPr="001A1C82">
              <w:rPr>
                <w:rFonts w:cs="Arial"/>
                <w:i/>
                <w:sz w:val="20"/>
              </w:rPr>
              <w:t>as applicable</w:t>
            </w:r>
            <w:r w:rsidRPr="00DC5E75">
              <w:rPr>
                <w:rFonts w:cs="Arial"/>
                <w:sz w:val="20"/>
              </w:rPr>
              <w:t>)</w:t>
            </w:r>
          </w:p>
        </w:tc>
        <w:tc>
          <w:tcPr>
            <w:tcW w:w="854" w:type="dxa"/>
            <w:tcBorders>
              <w:left w:val="nil"/>
            </w:tcBorders>
            <w:vAlign w:val="center"/>
          </w:tcPr>
          <w:p w:rsidR="00225952" w:rsidRPr="002635FD" w:rsidRDefault="00225952" w:rsidP="00225952">
            <w:pPr>
              <w:spacing w:after="0"/>
              <w:jc w:val="center"/>
            </w:pPr>
          </w:p>
        </w:tc>
      </w:tr>
      <w:tr w:rsidR="00225952" w:rsidTr="00CB4748">
        <w:tc>
          <w:tcPr>
            <w:tcW w:w="3060" w:type="dxa"/>
            <w:tcBorders>
              <w:right w:val="nil"/>
            </w:tcBorders>
          </w:tcPr>
          <w:p w:rsidR="00225952" w:rsidRPr="00DC5E75" w:rsidRDefault="00225952" w:rsidP="004B5E07">
            <w:pPr>
              <w:pStyle w:val="CheckA"/>
              <w:jc w:val="left"/>
              <w:rPr>
                <w:rFonts w:cs="Arial"/>
              </w:rPr>
            </w:pPr>
            <w:r w:rsidRPr="00DC5E75">
              <w:rPr>
                <w:rFonts w:cs="Arial"/>
              </w:rPr>
              <w:t>Transportation Disadvantaged Service Plan</w:t>
            </w:r>
          </w:p>
        </w:tc>
        <w:tc>
          <w:tcPr>
            <w:tcW w:w="6562" w:type="dxa"/>
            <w:tcBorders>
              <w:left w:val="nil"/>
              <w:right w:val="nil"/>
            </w:tcBorders>
            <w:vAlign w:val="center"/>
          </w:tcPr>
          <w:p w:rsidR="00225952" w:rsidRPr="00DC5E75" w:rsidRDefault="00225952" w:rsidP="004B5E07">
            <w:pPr>
              <w:pStyle w:val="Check1"/>
              <w:jc w:val="left"/>
              <w:rPr>
                <w:rFonts w:cs="Arial"/>
                <w:sz w:val="20"/>
              </w:rPr>
            </w:pPr>
            <w:r>
              <w:rPr>
                <w:rFonts w:cs="Arial"/>
                <w:sz w:val="20"/>
              </w:rPr>
              <w:t xml:space="preserve">1.  </w:t>
            </w:r>
            <w:r w:rsidRPr="00DC5E75">
              <w:rPr>
                <w:rFonts w:cs="Arial"/>
                <w:sz w:val="20"/>
              </w:rPr>
              <w:t>or other locally developed, coordinated public</w:t>
            </w:r>
            <w:r>
              <w:rPr>
                <w:rFonts w:cs="Arial"/>
                <w:sz w:val="20"/>
              </w:rPr>
              <w:t xml:space="preserve"> </w:t>
            </w:r>
            <w:r w:rsidRPr="00DC5E75">
              <w:rPr>
                <w:rFonts w:cs="Arial"/>
                <w:sz w:val="20"/>
              </w:rPr>
              <w:t xml:space="preserve">transit-human services transportation plan as required by the Jobs Access and Reverse Commute </w:t>
            </w:r>
            <w:r>
              <w:rPr>
                <w:rFonts w:cs="Arial"/>
                <w:sz w:val="20"/>
              </w:rPr>
              <w:t>(JARC) and New Freedom Programs</w:t>
            </w:r>
            <w:r w:rsidRPr="00DC5E75">
              <w:rPr>
                <w:rFonts w:cs="Arial"/>
                <w:sz w:val="20"/>
              </w:rPr>
              <w:t xml:space="preserve"> (</w:t>
            </w:r>
            <w:r w:rsidRPr="001A1C82">
              <w:rPr>
                <w:rFonts w:cs="Arial"/>
                <w:i/>
                <w:sz w:val="20"/>
              </w:rPr>
              <w:t>as applicable</w:t>
            </w:r>
            <w:r w:rsidRPr="00DC5E75">
              <w:rPr>
                <w:rFonts w:cs="Arial"/>
                <w:sz w:val="20"/>
              </w:rPr>
              <w:t>)</w:t>
            </w:r>
          </w:p>
        </w:tc>
        <w:tc>
          <w:tcPr>
            <w:tcW w:w="854" w:type="dxa"/>
            <w:tcBorders>
              <w:left w:val="nil"/>
            </w:tcBorders>
            <w:vAlign w:val="center"/>
          </w:tcPr>
          <w:p w:rsidR="00225952" w:rsidRPr="002635FD" w:rsidRDefault="00225952" w:rsidP="00225952">
            <w:pPr>
              <w:spacing w:after="0"/>
              <w:jc w:val="center"/>
            </w:pPr>
          </w:p>
        </w:tc>
      </w:tr>
      <w:tr w:rsidR="00225952" w:rsidTr="00CB4748">
        <w:tc>
          <w:tcPr>
            <w:tcW w:w="10476" w:type="dxa"/>
            <w:gridSpan w:val="3"/>
            <w:shd w:val="clear" w:color="auto" w:fill="31849B" w:themeFill="accent5" w:themeFillShade="BF"/>
          </w:tcPr>
          <w:p w:rsidR="00225952" w:rsidRPr="007F64D9" w:rsidRDefault="00225952" w:rsidP="00225952">
            <w:pPr>
              <w:spacing w:after="0"/>
              <w:rPr>
                <w:b/>
              </w:rPr>
            </w:pPr>
            <w:r w:rsidRPr="007F64D9">
              <w:rPr>
                <w:color w:val="FFFFFF" w:themeColor="background1"/>
                <w:sz w:val="24"/>
              </w:rPr>
              <w:t>Resources for Applicant</w:t>
            </w:r>
          </w:p>
        </w:tc>
      </w:tr>
      <w:tr w:rsidR="00225952" w:rsidTr="00CB4748">
        <w:tc>
          <w:tcPr>
            <w:tcW w:w="9622" w:type="dxa"/>
            <w:gridSpan w:val="2"/>
            <w:tcBorders>
              <w:right w:val="nil"/>
            </w:tcBorders>
            <w:shd w:val="clear" w:color="auto" w:fill="DBE5F1" w:themeFill="accent1" w:themeFillTint="33"/>
          </w:tcPr>
          <w:p w:rsidR="00225952" w:rsidRDefault="00225952" w:rsidP="00225952">
            <w:pPr>
              <w:pStyle w:val="Check1"/>
              <w:rPr>
                <w:rFonts w:cs="Arial"/>
                <w:sz w:val="20"/>
              </w:rPr>
            </w:pPr>
            <w:r w:rsidRPr="00F56975">
              <w:rPr>
                <w:b/>
                <w:sz w:val="22"/>
                <w:szCs w:val="22"/>
              </w:rPr>
              <w:t>General Guidance</w:t>
            </w:r>
          </w:p>
        </w:tc>
        <w:tc>
          <w:tcPr>
            <w:tcW w:w="854" w:type="dxa"/>
            <w:tcBorders>
              <w:left w:val="nil"/>
            </w:tcBorders>
            <w:vAlign w:val="center"/>
          </w:tcPr>
          <w:p w:rsidR="00225952" w:rsidRPr="002635FD" w:rsidRDefault="00225952" w:rsidP="00225952">
            <w:pPr>
              <w:spacing w:after="0"/>
              <w:jc w:val="center"/>
            </w:pPr>
          </w:p>
        </w:tc>
      </w:tr>
      <w:tr w:rsidR="00225952" w:rsidTr="00CB4748">
        <w:tc>
          <w:tcPr>
            <w:tcW w:w="3060" w:type="dxa"/>
            <w:vMerge w:val="restart"/>
            <w:tcBorders>
              <w:right w:val="nil"/>
            </w:tcBorders>
          </w:tcPr>
          <w:p w:rsidR="00225952" w:rsidRPr="00DC5E75" w:rsidRDefault="00225952" w:rsidP="004B5E07">
            <w:pPr>
              <w:autoSpaceDE w:val="0"/>
              <w:autoSpaceDN w:val="0"/>
              <w:adjustRightInd w:val="0"/>
              <w:spacing w:before="120" w:after="0" w:line="240" w:lineRule="auto"/>
              <w:jc w:val="left"/>
              <w:rPr>
                <w:rFonts w:cs="Arial"/>
              </w:rPr>
            </w:pPr>
            <w:r w:rsidRPr="00DC5E75">
              <w:rPr>
                <w:rFonts w:cs="Arial"/>
                <w:sz w:val="20"/>
              </w:rPr>
              <w:t>FDOT's Quality/Level of Service Handbook</w:t>
            </w:r>
          </w:p>
        </w:tc>
        <w:tc>
          <w:tcPr>
            <w:tcW w:w="6562" w:type="dxa"/>
            <w:tcBorders>
              <w:left w:val="nil"/>
              <w:right w:val="nil"/>
            </w:tcBorders>
            <w:vAlign w:val="center"/>
          </w:tcPr>
          <w:p w:rsidR="00225952" w:rsidRPr="00E066BB" w:rsidRDefault="00745389" w:rsidP="00E066BB">
            <w:pPr>
              <w:pStyle w:val="Check1"/>
              <w:spacing w:before="60" w:after="60"/>
              <w:rPr>
                <w:sz w:val="20"/>
                <w:szCs w:val="20"/>
              </w:rPr>
            </w:pPr>
            <w:hyperlink r:id="rId320" w:history="1">
              <w:r w:rsidR="00225952" w:rsidRPr="00E066BB">
                <w:rPr>
                  <w:rStyle w:val="Hyperlink"/>
                  <w:sz w:val="20"/>
                  <w:szCs w:val="20"/>
                </w:rPr>
                <w:t>2009 Handbook</w:t>
              </w:r>
            </w:hyperlink>
          </w:p>
        </w:tc>
        <w:tc>
          <w:tcPr>
            <w:tcW w:w="854" w:type="dxa"/>
            <w:tcBorders>
              <w:left w:val="nil"/>
            </w:tcBorders>
            <w:vAlign w:val="center"/>
          </w:tcPr>
          <w:p w:rsidR="00225952" w:rsidRPr="002635FD" w:rsidRDefault="00225952" w:rsidP="00225952">
            <w:pPr>
              <w:pStyle w:val="Check1"/>
              <w:jc w:val="center"/>
            </w:pPr>
            <w:r>
              <w:t>PDF</w:t>
            </w:r>
          </w:p>
        </w:tc>
      </w:tr>
      <w:tr w:rsidR="00225952" w:rsidTr="00CB4748">
        <w:tc>
          <w:tcPr>
            <w:tcW w:w="3060" w:type="dxa"/>
            <w:vMerge/>
            <w:tcBorders>
              <w:right w:val="nil"/>
            </w:tcBorders>
          </w:tcPr>
          <w:p w:rsidR="00225952" w:rsidRPr="00DC5E75" w:rsidRDefault="00225952" w:rsidP="004B5E07">
            <w:pPr>
              <w:pStyle w:val="CheckA"/>
              <w:jc w:val="left"/>
              <w:rPr>
                <w:rFonts w:cs="Arial"/>
              </w:rPr>
            </w:pPr>
          </w:p>
        </w:tc>
        <w:tc>
          <w:tcPr>
            <w:tcW w:w="6562" w:type="dxa"/>
            <w:tcBorders>
              <w:left w:val="nil"/>
              <w:right w:val="nil"/>
            </w:tcBorders>
            <w:vAlign w:val="center"/>
          </w:tcPr>
          <w:p w:rsidR="00225952" w:rsidRPr="00E066BB" w:rsidRDefault="00225952" w:rsidP="00E066BB">
            <w:pPr>
              <w:pStyle w:val="Check1"/>
              <w:spacing w:after="60"/>
              <w:rPr>
                <w:sz w:val="20"/>
                <w:szCs w:val="20"/>
              </w:rPr>
            </w:pPr>
            <w:r w:rsidRPr="00E066BB">
              <w:rPr>
                <w:sz w:val="20"/>
                <w:szCs w:val="20"/>
              </w:rPr>
              <w:t xml:space="preserve">QLOS software:   </w:t>
            </w:r>
            <w:hyperlink r:id="rId321" w:history="1">
              <w:r w:rsidR="005E629A" w:rsidRPr="00E066BB">
                <w:rPr>
                  <w:rStyle w:val="Hyperlink"/>
                  <w:sz w:val="20"/>
                  <w:szCs w:val="20"/>
                </w:rPr>
                <w:t>http://</w:t>
              </w:r>
              <w:r w:rsidRPr="00E066BB">
                <w:rPr>
                  <w:rStyle w:val="Hyperlink"/>
                  <w:sz w:val="20"/>
                  <w:szCs w:val="20"/>
                </w:rPr>
                <w:t>dot.state.fl.us/planning/systems/sm/los</w:t>
              </w:r>
            </w:hyperlink>
          </w:p>
        </w:tc>
        <w:tc>
          <w:tcPr>
            <w:tcW w:w="854" w:type="dxa"/>
            <w:tcBorders>
              <w:left w:val="nil"/>
            </w:tcBorders>
            <w:vAlign w:val="center"/>
          </w:tcPr>
          <w:p w:rsidR="00225952" w:rsidRPr="002635FD" w:rsidRDefault="00225952" w:rsidP="00225952">
            <w:pPr>
              <w:spacing w:after="0"/>
              <w:jc w:val="center"/>
            </w:pPr>
          </w:p>
        </w:tc>
      </w:tr>
      <w:tr w:rsidR="00225952" w:rsidTr="00CB4748">
        <w:tc>
          <w:tcPr>
            <w:tcW w:w="3060" w:type="dxa"/>
            <w:vMerge/>
            <w:tcBorders>
              <w:right w:val="nil"/>
            </w:tcBorders>
          </w:tcPr>
          <w:p w:rsidR="00225952" w:rsidRPr="00DC5E75" w:rsidRDefault="00225952" w:rsidP="004B5E07">
            <w:pPr>
              <w:pStyle w:val="CheckA"/>
              <w:jc w:val="left"/>
              <w:rPr>
                <w:rFonts w:cs="Arial"/>
              </w:rPr>
            </w:pPr>
          </w:p>
        </w:tc>
        <w:tc>
          <w:tcPr>
            <w:tcW w:w="6562" w:type="dxa"/>
            <w:tcBorders>
              <w:left w:val="nil"/>
              <w:right w:val="nil"/>
            </w:tcBorders>
            <w:vAlign w:val="center"/>
          </w:tcPr>
          <w:p w:rsidR="00225952" w:rsidRPr="00E066BB" w:rsidRDefault="00225952" w:rsidP="00E066BB">
            <w:pPr>
              <w:pStyle w:val="Check1"/>
              <w:spacing w:after="60"/>
              <w:rPr>
                <w:sz w:val="20"/>
                <w:szCs w:val="20"/>
              </w:rPr>
            </w:pPr>
            <w:r w:rsidRPr="00E066BB">
              <w:rPr>
                <w:sz w:val="20"/>
                <w:szCs w:val="20"/>
              </w:rPr>
              <w:t xml:space="preserve">Additional resources from FDOT research on multimodal LOS analysis: </w:t>
            </w:r>
          </w:p>
          <w:p w:rsidR="00225952" w:rsidRPr="00E066BB" w:rsidRDefault="00745389" w:rsidP="00E066BB">
            <w:pPr>
              <w:pStyle w:val="Check1"/>
              <w:spacing w:after="60"/>
              <w:rPr>
                <w:sz w:val="20"/>
                <w:szCs w:val="20"/>
              </w:rPr>
            </w:pPr>
            <w:hyperlink r:id="rId322" w:history="1">
              <w:r w:rsidR="005E629A" w:rsidRPr="00E066BB">
                <w:rPr>
                  <w:rStyle w:val="Hyperlink"/>
                  <w:sz w:val="20"/>
                  <w:szCs w:val="20"/>
                </w:rPr>
                <w:t>http://teachamerica.com/tih/</w:t>
              </w:r>
            </w:hyperlink>
          </w:p>
        </w:tc>
        <w:tc>
          <w:tcPr>
            <w:tcW w:w="854" w:type="dxa"/>
            <w:tcBorders>
              <w:left w:val="nil"/>
            </w:tcBorders>
            <w:vAlign w:val="center"/>
          </w:tcPr>
          <w:p w:rsidR="00225952" w:rsidRPr="002635FD" w:rsidRDefault="00225952" w:rsidP="00225952">
            <w:pPr>
              <w:spacing w:after="0"/>
              <w:jc w:val="center"/>
            </w:pPr>
          </w:p>
        </w:tc>
      </w:tr>
      <w:tr w:rsidR="00225952" w:rsidTr="00CB4748">
        <w:tc>
          <w:tcPr>
            <w:tcW w:w="3060" w:type="dxa"/>
            <w:tcBorders>
              <w:right w:val="nil"/>
            </w:tcBorders>
          </w:tcPr>
          <w:p w:rsidR="00225952" w:rsidRDefault="00225952" w:rsidP="004B5E07">
            <w:pPr>
              <w:pStyle w:val="CheckA"/>
              <w:spacing w:before="120"/>
              <w:jc w:val="left"/>
            </w:pPr>
            <w:r w:rsidRPr="00DC5E75">
              <w:rPr>
                <w:rFonts w:cs="Arial"/>
              </w:rPr>
              <w:t>Interchange Handbook</w:t>
            </w:r>
          </w:p>
        </w:tc>
        <w:tc>
          <w:tcPr>
            <w:tcW w:w="6562" w:type="dxa"/>
            <w:tcBorders>
              <w:left w:val="nil"/>
              <w:right w:val="nil"/>
            </w:tcBorders>
            <w:vAlign w:val="center"/>
          </w:tcPr>
          <w:p w:rsidR="00225952" w:rsidRPr="00E066BB" w:rsidRDefault="00225952" w:rsidP="00E066BB">
            <w:pPr>
              <w:pStyle w:val="Check1"/>
              <w:spacing w:after="60"/>
              <w:ind w:left="0" w:firstLine="0"/>
              <w:rPr>
                <w:sz w:val="20"/>
                <w:szCs w:val="20"/>
              </w:rPr>
            </w:pPr>
            <w:r w:rsidRPr="00E066BB">
              <w:rPr>
                <w:sz w:val="20"/>
                <w:szCs w:val="20"/>
              </w:rPr>
              <w:t>Procedures and requirements for new or modified access to interchanges on limited-access facilities</w:t>
            </w:r>
          </w:p>
        </w:tc>
        <w:tc>
          <w:tcPr>
            <w:tcW w:w="854" w:type="dxa"/>
            <w:tcBorders>
              <w:left w:val="nil"/>
            </w:tcBorders>
            <w:vAlign w:val="center"/>
          </w:tcPr>
          <w:p w:rsidR="00225952" w:rsidRPr="002635FD" w:rsidRDefault="00225952" w:rsidP="00225952">
            <w:pPr>
              <w:pStyle w:val="Check1"/>
              <w:jc w:val="center"/>
            </w:pPr>
            <w:r>
              <w:t>PDF</w:t>
            </w:r>
          </w:p>
        </w:tc>
      </w:tr>
      <w:tr w:rsidR="00225952" w:rsidTr="00CB4748">
        <w:tc>
          <w:tcPr>
            <w:tcW w:w="3060" w:type="dxa"/>
            <w:tcBorders>
              <w:right w:val="nil"/>
            </w:tcBorders>
          </w:tcPr>
          <w:p w:rsidR="00225952" w:rsidRPr="00F56975" w:rsidRDefault="00225952" w:rsidP="004B5E07">
            <w:pPr>
              <w:autoSpaceDE w:val="0"/>
              <w:autoSpaceDN w:val="0"/>
              <w:adjustRightInd w:val="0"/>
              <w:spacing w:after="0" w:line="240" w:lineRule="auto"/>
              <w:jc w:val="left"/>
              <w:rPr>
                <w:rFonts w:cs="Arial"/>
                <w:sz w:val="20"/>
              </w:rPr>
            </w:pPr>
            <w:r w:rsidRPr="00DC5E75">
              <w:rPr>
                <w:rFonts w:cs="Arial"/>
                <w:sz w:val="20"/>
              </w:rPr>
              <w:t>Multimodal Transportation Districts and Areawide Quality of Service Handbook</w:t>
            </w:r>
          </w:p>
        </w:tc>
        <w:tc>
          <w:tcPr>
            <w:tcW w:w="6562" w:type="dxa"/>
            <w:tcBorders>
              <w:left w:val="nil"/>
              <w:right w:val="nil"/>
            </w:tcBorders>
            <w:vAlign w:val="center"/>
          </w:tcPr>
          <w:p w:rsidR="00225952" w:rsidRPr="00E066BB" w:rsidRDefault="00225952" w:rsidP="00E066BB">
            <w:pPr>
              <w:pStyle w:val="Check1"/>
              <w:spacing w:after="60"/>
              <w:rPr>
                <w:sz w:val="20"/>
                <w:szCs w:val="20"/>
              </w:rPr>
            </w:pPr>
            <w:r w:rsidRPr="00E066BB">
              <w:rPr>
                <w:sz w:val="20"/>
                <w:szCs w:val="20"/>
              </w:rPr>
              <w:t xml:space="preserve">(November 2003) </w:t>
            </w:r>
          </w:p>
          <w:p w:rsidR="00225952" w:rsidRPr="00E066BB" w:rsidRDefault="00745389" w:rsidP="00E066BB">
            <w:pPr>
              <w:pStyle w:val="Check1"/>
              <w:spacing w:after="60"/>
              <w:rPr>
                <w:sz w:val="20"/>
                <w:szCs w:val="20"/>
              </w:rPr>
            </w:pPr>
            <w:hyperlink r:id="rId323" w:history="1">
              <w:r w:rsidR="005E629A" w:rsidRPr="00E066BB">
                <w:rPr>
                  <w:rStyle w:val="Hyperlink"/>
                  <w:sz w:val="20"/>
                  <w:szCs w:val="20"/>
                </w:rPr>
                <w:t>http://teachamerica.com/tih/PDF/MMAreawideQOS1211.pdf</w:t>
              </w:r>
            </w:hyperlink>
          </w:p>
        </w:tc>
        <w:tc>
          <w:tcPr>
            <w:tcW w:w="854" w:type="dxa"/>
            <w:tcBorders>
              <w:left w:val="nil"/>
            </w:tcBorders>
            <w:vAlign w:val="center"/>
          </w:tcPr>
          <w:p w:rsidR="00225952" w:rsidRPr="002635FD" w:rsidRDefault="00225952" w:rsidP="00225952">
            <w:pPr>
              <w:pStyle w:val="Check1"/>
              <w:jc w:val="center"/>
            </w:pPr>
            <w:r>
              <w:t>PDF</w:t>
            </w:r>
          </w:p>
        </w:tc>
      </w:tr>
      <w:tr w:rsidR="00225952" w:rsidTr="00CB4748">
        <w:tc>
          <w:tcPr>
            <w:tcW w:w="3060" w:type="dxa"/>
            <w:tcBorders>
              <w:right w:val="nil"/>
            </w:tcBorders>
          </w:tcPr>
          <w:p w:rsidR="00225952" w:rsidRPr="00F56975" w:rsidRDefault="00225952" w:rsidP="004B5E07">
            <w:pPr>
              <w:spacing w:after="0" w:line="240" w:lineRule="auto"/>
              <w:jc w:val="left"/>
              <w:rPr>
                <w:rFonts w:cs="Arial"/>
                <w:sz w:val="20"/>
              </w:rPr>
            </w:pPr>
            <w:r w:rsidRPr="00DC5E75">
              <w:rPr>
                <w:rFonts w:cs="Arial"/>
                <w:sz w:val="20"/>
              </w:rPr>
              <w:t>Transportation Demand Management Resources</w:t>
            </w:r>
          </w:p>
        </w:tc>
        <w:tc>
          <w:tcPr>
            <w:tcW w:w="6562" w:type="dxa"/>
            <w:tcBorders>
              <w:left w:val="nil"/>
              <w:right w:val="nil"/>
            </w:tcBorders>
            <w:vAlign w:val="center"/>
          </w:tcPr>
          <w:p w:rsidR="00225952" w:rsidRPr="00E066BB" w:rsidRDefault="00745389" w:rsidP="00E066BB">
            <w:pPr>
              <w:pStyle w:val="Check1"/>
              <w:spacing w:after="60"/>
              <w:rPr>
                <w:sz w:val="20"/>
                <w:szCs w:val="20"/>
              </w:rPr>
            </w:pPr>
            <w:hyperlink r:id="rId324" w:history="1">
              <w:r w:rsidR="005E629A" w:rsidRPr="00E066BB">
                <w:rPr>
                  <w:rStyle w:val="Hyperlink"/>
                  <w:sz w:val="20"/>
                  <w:szCs w:val="20"/>
                </w:rPr>
                <w:t>http://www.nctr.usf.edu/clearinghouse/</w:t>
              </w:r>
            </w:hyperlink>
          </w:p>
        </w:tc>
        <w:tc>
          <w:tcPr>
            <w:tcW w:w="854" w:type="dxa"/>
            <w:tcBorders>
              <w:left w:val="nil"/>
            </w:tcBorders>
            <w:vAlign w:val="center"/>
          </w:tcPr>
          <w:p w:rsidR="00225952" w:rsidRPr="002635FD" w:rsidRDefault="00225952" w:rsidP="00225952">
            <w:pPr>
              <w:spacing w:after="0"/>
              <w:jc w:val="center"/>
            </w:pPr>
          </w:p>
        </w:tc>
      </w:tr>
      <w:tr w:rsidR="00225952" w:rsidTr="00CB4748">
        <w:tc>
          <w:tcPr>
            <w:tcW w:w="3060" w:type="dxa"/>
            <w:tcBorders>
              <w:right w:val="nil"/>
            </w:tcBorders>
          </w:tcPr>
          <w:p w:rsidR="00225952" w:rsidRPr="00DC5E75" w:rsidRDefault="00225952" w:rsidP="004B5E07">
            <w:pPr>
              <w:spacing w:before="120" w:after="0" w:line="240" w:lineRule="auto"/>
              <w:jc w:val="left"/>
              <w:rPr>
                <w:rFonts w:cs="Arial"/>
                <w:sz w:val="20"/>
              </w:rPr>
            </w:pPr>
            <w:r>
              <w:rPr>
                <w:rFonts w:cs="Arial"/>
                <w:sz w:val="20"/>
              </w:rPr>
              <w:t>TDM</w:t>
            </w:r>
          </w:p>
        </w:tc>
        <w:tc>
          <w:tcPr>
            <w:tcW w:w="6562" w:type="dxa"/>
            <w:tcBorders>
              <w:left w:val="nil"/>
              <w:right w:val="nil"/>
            </w:tcBorders>
            <w:vAlign w:val="center"/>
          </w:tcPr>
          <w:p w:rsidR="00225952" w:rsidRPr="00E066BB" w:rsidRDefault="00225952" w:rsidP="00E066BB">
            <w:pPr>
              <w:autoSpaceDE w:val="0"/>
              <w:autoSpaceDN w:val="0"/>
              <w:adjustRightInd w:val="0"/>
              <w:spacing w:after="60" w:line="240" w:lineRule="auto"/>
              <w:rPr>
                <w:rFonts w:cs="Arial"/>
                <w:sz w:val="20"/>
                <w:szCs w:val="20"/>
              </w:rPr>
            </w:pPr>
            <w:r w:rsidRPr="00E066BB">
              <w:rPr>
                <w:rFonts w:cs="Arial"/>
                <w:sz w:val="20"/>
                <w:szCs w:val="20"/>
              </w:rPr>
              <w:t xml:space="preserve">Incorporating TDM into the Land Development Process </w:t>
            </w:r>
          </w:p>
          <w:p w:rsidR="00225952" w:rsidRPr="00E066BB" w:rsidRDefault="00225952" w:rsidP="00E066BB">
            <w:pPr>
              <w:pStyle w:val="Check1"/>
              <w:spacing w:after="60"/>
              <w:rPr>
                <w:sz w:val="20"/>
                <w:szCs w:val="20"/>
                <w:u w:val="single"/>
              </w:rPr>
            </w:pPr>
            <w:r w:rsidRPr="00E066BB">
              <w:rPr>
                <w:rFonts w:cs="Arial"/>
                <w:sz w:val="20"/>
                <w:szCs w:val="20"/>
              </w:rPr>
              <w:t xml:space="preserve"> </w:t>
            </w:r>
            <w:hyperlink r:id="rId325" w:history="1">
              <w:r w:rsidRPr="00E066BB">
                <w:rPr>
                  <w:rStyle w:val="Hyperlink"/>
                  <w:rFonts w:cs="Arial"/>
                  <w:sz w:val="20"/>
                  <w:szCs w:val="20"/>
                </w:rPr>
                <w:t>http://www.nctr.usf.edu/pdf/576-11.pdf</w:t>
              </w:r>
            </w:hyperlink>
          </w:p>
        </w:tc>
        <w:tc>
          <w:tcPr>
            <w:tcW w:w="854" w:type="dxa"/>
            <w:tcBorders>
              <w:left w:val="nil"/>
            </w:tcBorders>
            <w:vAlign w:val="center"/>
          </w:tcPr>
          <w:p w:rsidR="00225952" w:rsidRPr="002635FD" w:rsidRDefault="00225952" w:rsidP="00225952">
            <w:pPr>
              <w:pStyle w:val="Check1"/>
              <w:jc w:val="center"/>
            </w:pPr>
            <w:r>
              <w:t>PDF</w:t>
            </w:r>
          </w:p>
        </w:tc>
      </w:tr>
      <w:tr w:rsidR="00225952" w:rsidTr="00CB4748">
        <w:tc>
          <w:tcPr>
            <w:tcW w:w="3060" w:type="dxa"/>
            <w:tcBorders>
              <w:right w:val="nil"/>
            </w:tcBorders>
          </w:tcPr>
          <w:p w:rsidR="00225952" w:rsidRPr="00DC5E75" w:rsidRDefault="00225952" w:rsidP="004B5E07">
            <w:pPr>
              <w:pStyle w:val="CheckA"/>
              <w:spacing w:before="120"/>
              <w:jc w:val="left"/>
              <w:rPr>
                <w:rFonts w:cs="Arial"/>
              </w:rPr>
            </w:pPr>
            <w:r>
              <w:rPr>
                <w:rFonts w:cs="Arial"/>
              </w:rPr>
              <w:t>LEED Certification</w:t>
            </w:r>
          </w:p>
        </w:tc>
        <w:tc>
          <w:tcPr>
            <w:tcW w:w="6562" w:type="dxa"/>
            <w:tcBorders>
              <w:left w:val="nil"/>
              <w:right w:val="nil"/>
            </w:tcBorders>
            <w:vAlign w:val="center"/>
          </w:tcPr>
          <w:p w:rsidR="00225952" w:rsidRPr="00E066BB" w:rsidRDefault="00225952" w:rsidP="00E066BB">
            <w:pPr>
              <w:pStyle w:val="Check1"/>
              <w:spacing w:after="60"/>
              <w:rPr>
                <w:sz w:val="20"/>
                <w:szCs w:val="20"/>
              </w:rPr>
            </w:pPr>
            <w:r w:rsidRPr="00E066BB">
              <w:rPr>
                <w:sz w:val="20"/>
                <w:szCs w:val="20"/>
              </w:rPr>
              <w:t xml:space="preserve">Leadership in Energy and Environmental Design (LEED) Certification </w:t>
            </w:r>
          </w:p>
          <w:p w:rsidR="00225952" w:rsidRPr="00E066BB" w:rsidRDefault="00745389" w:rsidP="00E066BB">
            <w:pPr>
              <w:pStyle w:val="Check1"/>
              <w:spacing w:after="60"/>
              <w:rPr>
                <w:sz w:val="20"/>
                <w:szCs w:val="20"/>
              </w:rPr>
            </w:pPr>
            <w:hyperlink r:id="rId326" w:history="1">
              <w:r w:rsidR="005E629A" w:rsidRPr="00E066BB">
                <w:rPr>
                  <w:rStyle w:val="Hyperlink"/>
                  <w:sz w:val="20"/>
                  <w:szCs w:val="20"/>
                </w:rPr>
                <w:t>http://www.usgbc.org/DisplayPage.aspx?CategoryID=19</w:t>
              </w:r>
            </w:hyperlink>
          </w:p>
        </w:tc>
        <w:tc>
          <w:tcPr>
            <w:tcW w:w="854" w:type="dxa"/>
            <w:tcBorders>
              <w:left w:val="nil"/>
            </w:tcBorders>
            <w:vAlign w:val="center"/>
          </w:tcPr>
          <w:p w:rsidR="00225952" w:rsidRPr="002635FD" w:rsidRDefault="00225952" w:rsidP="00225952">
            <w:pPr>
              <w:spacing w:after="0"/>
              <w:jc w:val="center"/>
            </w:pPr>
          </w:p>
        </w:tc>
      </w:tr>
      <w:tr w:rsidR="00225952" w:rsidTr="00CB4748">
        <w:tc>
          <w:tcPr>
            <w:tcW w:w="3060" w:type="dxa"/>
            <w:tcBorders>
              <w:right w:val="nil"/>
            </w:tcBorders>
          </w:tcPr>
          <w:p w:rsidR="00225952" w:rsidRPr="00DC5E75" w:rsidRDefault="00225952" w:rsidP="004B5E07">
            <w:pPr>
              <w:pStyle w:val="CheckA"/>
              <w:spacing w:before="120"/>
              <w:jc w:val="left"/>
              <w:rPr>
                <w:rFonts w:cs="Arial"/>
              </w:rPr>
            </w:pPr>
            <w:r w:rsidRPr="00DC5E75">
              <w:rPr>
                <w:rFonts w:cs="Arial"/>
              </w:rPr>
              <w:t xml:space="preserve">Commuter Assistance Programs </w:t>
            </w:r>
          </w:p>
        </w:tc>
        <w:tc>
          <w:tcPr>
            <w:tcW w:w="6562" w:type="dxa"/>
            <w:tcBorders>
              <w:left w:val="nil"/>
              <w:right w:val="nil"/>
            </w:tcBorders>
            <w:vAlign w:val="center"/>
          </w:tcPr>
          <w:p w:rsidR="00225952" w:rsidRPr="00E066BB" w:rsidRDefault="00225952" w:rsidP="00E066BB">
            <w:pPr>
              <w:pStyle w:val="Check1"/>
              <w:spacing w:after="60"/>
              <w:rPr>
                <w:sz w:val="20"/>
                <w:szCs w:val="20"/>
              </w:rPr>
            </w:pPr>
            <w:r w:rsidRPr="00E066BB">
              <w:rPr>
                <w:sz w:val="20"/>
                <w:szCs w:val="20"/>
              </w:rPr>
              <w:t>(as applicable)</w:t>
            </w:r>
          </w:p>
        </w:tc>
        <w:tc>
          <w:tcPr>
            <w:tcW w:w="854" w:type="dxa"/>
            <w:tcBorders>
              <w:left w:val="nil"/>
            </w:tcBorders>
            <w:vAlign w:val="center"/>
          </w:tcPr>
          <w:p w:rsidR="00225952" w:rsidRPr="002635FD" w:rsidRDefault="00225952" w:rsidP="00225952">
            <w:pPr>
              <w:spacing w:after="0"/>
              <w:jc w:val="center"/>
            </w:pPr>
          </w:p>
        </w:tc>
      </w:tr>
      <w:tr w:rsidR="00225952" w:rsidTr="00CB4748">
        <w:tc>
          <w:tcPr>
            <w:tcW w:w="3060" w:type="dxa"/>
            <w:tcBorders>
              <w:right w:val="nil"/>
            </w:tcBorders>
          </w:tcPr>
          <w:p w:rsidR="00225952" w:rsidRPr="00DC5E75" w:rsidRDefault="00225952" w:rsidP="004B5E07">
            <w:pPr>
              <w:pStyle w:val="CheckA"/>
              <w:spacing w:before="60"/>
              <w:jc w:val="left"/>
              <w:rPr>
                <w:rFonts w:cs="Arial"/>
              </w:rPr>
            </w:pPr>
            <w:r w:rsidRPr="00DC5E75">
              <w:t>Multimodal Transportation Districts (MMTDs)</w:t>
            </w:r>
          </w:p>
        </w:tc>
        <w:tc>
          <w:tcPr>
            <w:tcW w:w="6562" w:type="dxa"/>
            <w:tcBorders>
              <w:left w:val="nil"/>
              <w:right w:val="nil"/>
            </w:tcBorders>
            <w:vAlign w:val="center"/>
          </w:tcPr>
          <w:p w:rsidR="00225952" w:rsidRPr="00E066BB" w:rsidRDefault="00225952" w:rsidP="00E066BB">
            <w:pPr>
              <w:pStyle w:val="Check1"/>
              <w:spacing w:after="60"/>
              <w:rPr>
                <w:rFonts w:cs="Arial"/>
                <w:sz w:val="20"/>
                <w:szCs w:val="20"/>
              </w:rPr>
            </w:pPr>
            <w:r w:rsidRPr="00E066BB">
              <w:rPr>
                <w:sz w:val="20"/>
                <w:szCs w:val="20"/>
              </w:rPr>
              <w:t xml:space="preserve">Model Regulations and Plan Amendments for </w:t>
            </w:r>
            <w:r w:rsidRPr="00E066BB">
              <w:rPr>
                <w:rFonts w:cs="Arial"/>
                <w:sz w:val="20"/>
                <w:szCs w:val="20"/>
              </w:rPr>
              <w:t>MMTDs</w:t>
            </w:r>
          </w:p>
          <w:p w:rsidR="00225952" w:rsidRPr="00E066BB" w:rsidRDefault="00745389" w:rsidP="00E066BB">
            <w:pPr>
              <w:pStyle w:val="Check1"/>
              <w:spacing w:after="60"/>
              <w:rPr>
                <w:sz w:val="20"/>
                <w:szCs w:val="20"/>
              </w:rPr>
            </w:pPr>
            <w:hyperlink r:id="rId327" w:history="1">
              <w:r w:rsidR="00225952" w:rsidRPr="00E066BB">
                <w:rPr>
                  <w:rStyle w:val="Hyperlink"/>
                  <w:sz w:val="20"/>
                  <w:szCs w:val="20"/>
                </w:rPr>
                <w:t>http://www.nctr.usf.edu/pdf/527-07.pdf</w:t>
              </w:r>
            </w:hyperlink>
          </w:p>
        </w:tc>
        <w:tc>
          <w:tcPr>
            <w:tcW w:w="854" w:type="dxa"/>
            <w:tcBorders>
              <w:left w:val="nil"/>
            </w:tcBorders>
            <w:vAlign w:val="center"/>
          </w:tcPr>
          <w:p w:rsidR="00225952" w:rsidRPr="002635FD" w:rsidRDefault="00225952" w:rsidP="00225952">
            <w:pPr>
              <w:pStyle w:val="Check1"/>
              <w:jc w:val="center"/>
            </w:pPr>
            <w:r>
              <w:t>PDF</w:t>
            </w:r>
          </w:p>
        </w:tc>
      </w:tr>
      <w:tr w:rsidR="00225952" w:rsidTr="00CB4748">
        <w:tc>
          <w:tcPr>
            <w:tcW w:w="9622" w:type="dxa"/>
            <w:gridSpan w:val="2"/>
            <w:tcBorders>
              <w:right w:val="nil"/>
            </w:tcBorders>
            <w:shd w:val="clear" w:color="auto" w:fill="DBE5F1" w:themeFill="accent1" w:themeFillTint="33"/>
          </w:tcPr>
          <w:p w:rsidR="00225952" w:rsidRPr="00DC5E75" w:rsidRDefault="00225952" w:rsidP="00225952">
            <w:pPr>
              <w:pStyle w:val="Check1"/>
              <w:rPr>
                <w:rFonts w:cs="Arial"/>
                <w:sz w:val="20"/>
              </w:rPr>
            </w:pPr>
            <w:r w:rsidRPr="00D4297B">
              <w:rPr>
                <w:b/>
                <w:sz w:val="22"/>
                <w:szCs w:val="22"/>
              </w:rPr>
              <w:lastRenderedPageBreak/>
              <w:t>Transit Information</w:t>
            </w:r>
            <w:r>
              <w:rPr>
                <w:rFonts w:cs="Arial"/>
              </w:rPr>
              <w:t xml:space="preserve"> </w:t>
            </w:r>
          </w:p>
        </w:tc>
        <w:tc>
          <w:tcPr>
            <w:tcW w:w="854" w:type="dxa"/>
            <w:tcBorders>
              <w:left w:val="nil"/>
            </w:tcBorders>
            <w:vAlign w:val="center"/>
          </w:tcPr>
          <w:p w:rsidR="00225952" w:rsidRPr="002635FD" w:rsidRDefault="00225952" w:rsidP="00225952">
            <w:pPr>
              <w:spacing w:after="0"/>
              <w:jc w:val="center"/>
            </w:pPr>
            <w:r w:rsidRPr="007F64D9">
              <w:rPr>
                <w:sz w:val="20"/>
              </w:rPr>
              <w:t>2 of 3</w:t>
            </w:r>
          </w:p>
        </w:tc>
      </w:tr>
      <w:tr w:rsidR="00225952" w:rsidTr="00CB4748">
        <w:tc>
          <w:tcPr>
            <w:tcW w:w="3060" w:type="dxa"/>
            <w:tcBorders>
              <w:right w:val="nil"/>
            </w:tcBorders>
          </w:tcPr>
          <w:p w:rsidR="00225952" w:rsidRPr="00DC5E75" w:rsidRDefault="00225952" w:rsidP="00225952">
            <w:pPr>
              <w:pStyle w:val="CheckA"/>
              <w:rPr>
                <w:rFonts w:cs="Arial"/>
              </w:rPr>
            </w:pPr>
            <w:r w:rsidRPr="00DC5E75">
              <w:rPr>
                <w:rFonts w:cs="Arial"/>
              </w:rPr>
              <w:t>Transit Design</w:t>
            </w:r>
          </w:p>
        </w:tc>
        <w:tc>
          <w:tcPr>
            <w:tcW w:w="6562" w:type="dxa"/>
            <w:tcBorders>
              <w:left w:val="nil"/>
              <w:right w:val="nil"/>
            </w:tcBorders>
            <w:vAlign w:val="center"/>
          </w:tcPr>
          <w:p w:rsidR="00225952" w:rsidRPr="00DC5E75" w:rsidRDefault="00745389" w:rsidP="00E066BB">
            <w:pPr>
              <w:pStyle w:val="Check1"/>
              <w:spacing w:after="60"/>
            </w:pPr>
            <w:hyperlink r:id="rId328" w:history="1">
              <w:r w:rsidR="00225952" w:rsidRPr="00BC5378">
                <w:rPr>
                  <w:rStyle w:val="Hyperlink"/>
                  <w:sz w:val="20"/>
                </w:rPr>
                <w:t>Accessing Transit Design Handbook for Florida Bus Passenger Facilities</w:t>
              </w:r>
            </w:hyperlink>
            <w:r w:rsidR="00225952" w:rsidRPr="00DC5E75">
              <w:t xml:space="preserve"> (statewide)</w:t>
            </w:r>
            <w:r w:rsidR="00E066BB">
              <w:t xml:space="preserve">  </w:t>
            </w:r>
            <w:r w:rsidR="00225952" w:rsidRPr="00DC5E75">
              <w:rPr>
                <w:u w:val="single"/>
              </w:rPr>
              <w:t xml:space="preserve">dot.state.fl.us/transit/Pages/AccessingTransitHandbookLow.pdf </w:t>
            </w:r>
          </w:p>
        </w:tc>
        <w:tc>
          <w:tcPr>
            <w:tcW w:w="854" w:type="dxa"/>
            <w:tcBorders>
              <w:left w:val="nil"/>
            </w:tcBorders>
            <w:vAlign w:val="center"/>
          </w:tcPr>
          <w:p w:rsidR="00225952" w:rsidRPr="002635FD" w:rsidRDefault="00225952" w:rsidP="00225952">
            <w:pPr>
              <w:pStyle w:val="Check1"/>
              <w:jc w:val="center"/>
            </w:pPr>
            <w:r>
              <w:t>PDF</w:t>
            </w:r>
          </w:p>
        </w:tc>
      </w:tr>
      <w:tr w:rsidR="00225952" w:rsidTr="00CB4748">
        <w:tc>
          <w:tcPr>
            <w:tcW w:w="3060" w:type="dxa"/>
            <w:tcBorders>
              <w:right w:val="nil"/>
            </w:tcBorders>
          </w:tcPr>
          <w:p w:rsidR="00225952" w:rsidRPr="00DC5E75" w:rsidRDefault="00225952" w:rsidP="00225952">
            <w:pPr>
              <w:autoSpaceDE w:val="0"/>
              <w:autoSpaceDN w:val="0"/>
              <w:adjustRightInd w:val="0"/>
              <w:spacing w:after="0" w:line="240" w:lineRule="auto"/>
              <w:rPr>
                <w:rFonts w:cs="Arial"/>
                <w:sz w:val="20"/>
              </w:rPr>
            </w:pPr>
            <w:r w:rsidRPr="00DC5E75">
              <w:rPr>
                <w:rFonts w:cs="Arial"/>
                <w:sz w:val="20"/>
              </w:rPr>
              <w:t xml:space="preserve">LYNX Mobility Design Manual </w:t>
            </w:r>
          </w:p>
          <w:p w:rsidR="00225952" w:rsidRPr="00DC5E75" w:rsidRDefault="00225952" w:rsidP="00225952">
            <w:pPr>
              <w:pStyle w:val="CheckA"/>
              <w:rPr>
                <w:rFonts w:cs="Arial"/>
              </w:rPr>
            </w:pPr>
          </w:p>
        </w:tc>
        <w:tc>
          <w:tcPr>
            <w:tcW w:w="6562" w:type="dxa"/>
            <w:tcBorders>
              <w:left w:val="nil"/>
              <w:right w:val="nil"/>
            </w:tcBorders>
            <w:vAlign w:val="center"/>
          </w:tcPr>
          <w:p w:rsidR="00225952" w:rsidRPr="00E066BB" w:rsidRDefault="00745389" w:rsidP="00E066BB">
            <w:pPr>
              <w:pStyle w:val="Check1"/>
              <w:spacing w:after="60"/>
              <w:rPr>
                <w:sz w:val="20"/>
              </w:rPr>
            </w:pPr>
            <w:hyperlink r:id="rId329" w:history="1">
              <w:r w:rsidR="00225952" w:rsidRPr="00BC5378">
                <w:rPr>
                  <w:rStyle w:val="Hyperlink"/>
                  <w:sz w:val="20"/>
                </w:rPr>
                <w:t>LYNX Central Florida Mobility Design Manual</w:t>
              </w:r>
            </w:hyperlink>
            <w:r w:rsidR="00225952" w:rsidRPr="00E066BB">
              <w:rPr>
                <w:sz w:val="20"/>
              </w:rPr>
              <w:t xml:space="preserve"> </w:t>
            </w:r>
          </w:p>
          <w:p w:rsidR="00225952" w:rsidRPr="00DC5E75" w:rsidRDefault="00225952" w:rsidP="00E066BB">
            <w:pPr>
              <w:pStyle w:val="Check1"/>
              <w:spacing w:after="60"/>
            </w:pPr>
            <w:r w:rsidRPr="00DC5E75">
              <w:rPr>
                <w:u w:val="single"/>
              </w:rPr>
              <w:t xml:space="preserve">golynx.com/assets/userfiles/media/pdf/lynxdocs_mobility_manual.pdf </w:t>
            </w:r>
          </w:p>
        </w:tc>
        <w:tc>
          <w:tcPr>
            <w:tcW w:w="854" w:type="dxa"/>
            <w:tcBorders>
              <w:left w:val="nil"/>
            </w:tcBorders>
            <w:vAlign w:val="center"/>
          </w:tcPr>
          <w:p w:rsidR="00225952" w:rsidRPr="002635FD" w:rsidRDefault="00225952" w:rsidP="00225952">
            <w:pPr>
              <w:pStyle w:val="Check1"/>
              <w:jc w:val="center"/>
            </w:pPr>
            <w:r>
              <w:t>PDF</w:t>
            </w:r>
          </w:p>
        </w:tc>
      </w:tr>
      <w:tr w:rsidR="00225952" w:rsidTr="00CB4748">
        <w:tc>
          <w:tcPr>
            <w:tcW w:w="3060" w:type="dxa"/>
            <w:tcBorders>
              <w:right w:val="nil"/>
            </w:tcBorders>
          </w:tcPr>
          <w:p w:rsidR="00225952" w:rsidRPr="00DC5E75" w:rsidRDefault="00225952" w:rsidP="00225952">
            <w:pPr>
              <w:autoSpaceDE w:val="0"/>
              <w:autoSpaceDN w:val="0"/>
              <w:adjustRightInd w:val="0"/>
              <w:spacing w:after="0" w:line="240" w:lineRule="auto"/>
              <w:rPr>
                <w:rFonts w:cs="Arial"/>
                <w:sz w:val="20"/>
              </w:rPr>
            </w:pPr>
            <w:r w:rsidRPr="00DC5E75">
              <w:rPr>
                <w:rFonts w:cs="Arial"/>
                <w:sz w:val="20"/>
              </w:rPr>
              <w:t xml:space="preserve">LYNX Customer Amenities Manual </w:t>
            </w:r>
          </w:p>
          <w:p w:rsidR="00225952" w:rsidRPr="00DC5E75" w:rsidRDefault="00225952" w:rsidP="00225952">
            <w:pPr>
              <w:pStyle w:val="CheckA"/>
              <w:rPr>
                <w:rFonts w:cs="Arial"/>
              </w:rPr>
            </w:pPr>
          </w:p>
        </w:tc>
        <w:tc>
          <w:tcPr>
            <w:tcW w:w="6562" w:type="dxa"/>
            <w:tcBorders>
              <w:left w:val="nil"/>
              <w:right w:val="nil"/>
            </w:tcBorders>
            <w:vAlign w:val="center"/>
          </w:tcPr>
          <w:p w:rsidR="00225952" w:rsidRPr="00E066BB" w:rsidRDefault="00745389" w:rsidP="00E066BB">
            <w:pPr>
              <w:pStyle w:val="Check1"/>
              <w:spacing w:after="60"/>
              <w:rPr>
                <w:sz w:val="20"/>
              </w:rPr>
            </w:pPr>
            <w:hyperlink r:id="rId330" w:history="1">
              <w:r w:rsidR="00225952" w:rsidRPr="00BC5378">
                <w:rPr>
                  <w:rStyle w:val="Hyperlink"/>
                  <w:sz w:val="20"/>
                </w:rPr>
                <w:t>LYNX Central Florida Customer Amenities Manual</w:t>
              </w:r>
            </w:hyperlink>
            <w:r w:rsidR="00225952" w:rsidRPr="00E066BB">
              <w:rPr>
                <w:sz w:val="20"/>
              </w:rPr>
              <w:t xml:space="preserve"> </w:t>
            </w:r>
          </w:p>
          <w:p w:rsidR="00225952" w:rsidRPr="00DC5E75" w:rsidRDefault="00225952" w:rsidP="00E066BB">
            <w:pPr>
              <w:pStyle w:val="Check1"/>
              <w:spacing w:after="60"/>
            </w:pPr>
            <w:r w:rsidRPr="00DC5E75">
              <w:rPr>
                <w:u w:val="single"/>
              </w:rPr>
              <w:t xml:space="preserve">golynx.com/assets/userfiles/media/pdf/lynxdocs_Amenities_Manual.pdf </w:t>
            </w:r>
          </w:p>
        </w:tc>
        <w:tc>
          <w:tcPr>
            <w:tcW w:w="854" w:type="dxa"/>
            <w:tcBorders>
              <w:left w:val="nil"/>
            </w:tcBorders>
            <w:vAlign w:val="center"/>
          </w:tcPr>
          <w:p w:rsidR="00225952" w:rsidRPr="002635FD" w:rsidRDefault="00225952" w:rsidP="00225952">
            <w:pPr>
              <w:pStyle w:val="Check1"/>
              <w:jc w:val="center"/>
            </w:pPr>
            <w:r>
              <w:t>PDF</w:t>
            </w:r>
          </w:p>
        </w:tc>
      </w:tr>
      <w:tr w:rsidR="00225952" w:rsidTr="00CB4748">
        <w:tc>
          <w:tcPr>
            <w:tcW w:w="3060" w:type="dxa"/>
            <w:tcBorders>
              <w:right w:val="nil"/>
            </w:tcBorders>
          </w:tcPr>
          <w:p w:rsidR="00225952" w:rsidRPr="00DC5E75" w:rsidRDefault="00225952" w:rsidP="00225952">
            <w:pPr>
              <w:pStyle w:val="CheckA"/>
              <w:rPr>
                <w:rFonts w:cs="Arial"/>
              </w:rPr>
            </w:pPr>
            <w:r w:rsidRPr="00DC5E75">
              <w:rPr>
                <w:rFonts w:cs="Arial"/>
              </w:rPr>
              <w:t>Transit Facility Handbook</w:t>
            </w:r>
          </w:p>
        </w:tc>
        <w:tc>
          <w:tcPr>
            <w:tcW w:w="6562" w:type="dxa"/>
            <w:tcBorders>
              <w:left w:val="nil"/>
              <w:right w:val="nil"/>
            </w:tcBorders>
            <w:vAlign w:val="center"/>
          </w:tcPr>
          <w:p w:rsidR="00225952" w:rsidRPr="00DC5E75" w:rsidRDefault="00225952" w:rsidP="00E066BB">
            <w:pPr>
              <w:pStyle w:val="Check1"/>
              <w:spacing w:after="60"/>
            </w:pPr>
            <w:r w:rsidRPr="00E066BB">
              <w:rPr>
                <w:sz w:val="20"/>
              </w:rPr>
              <w:t xml:space="preserve">FDOT District I and 7 Transit Facility Handbook </w:t>
            </w:r>
          </w:p>
          <w:p w:rsidR="00225952" w:rsidRPr="00DC5E75" w:rsidRDefault="00225952" w:rsidP="00E066BB">
            <w:pPr>
              <w:pStyle w:val="Check1"/>
              <w:spacing w:after="60"/>
            </w:pPr>
            <w:r w:rsidRPr="00DC5E75">
              <w:rPr>
                <w:u w:val="single"/>
              </w:rPr>
              <w:t xml:space="preserve">dot.state.fl.us/Transit/Pages/FDOT_D1_D7_Transit_Facility_Handbook.pdf </w:t>
            </w:r>
          </w:p>
        </w:tc>
        <w:tc>
          <w:tcPr>
            <w:tcW w:w="854" w:type="dxa"/>
            <w:tcBorders>
              <w:left w:val="nil"/>
            </w:tcBorders>
            <w:vAlign w:val="center"/>
          </w:tcPr>
          <w:p w:rsidR="00225952" w:rsidRPr="002635FD" w:rsidRDefault="00225952" w:rsidP="00225952">
            <w:pPr>
              <w:pStyle w:val="Check1"/>
              <w:jc w:val="center"/>
            </w:pPr>
            <w:r>
              <w:t>PDF</w:t>
            </w:r>
          </w:p>
        </w:tc>
      </w:tr>
      <w:tr w:rsidR="00225952" w:rsidTr="00CB4748">
        <w:tc>
          <w:tcPr>
            <w:tcW w:w="3060" w:type="dxa"/>
            <w:tcBorders>
              <w:right w:val="nil"/>
            </w:tcBorders>
          </w:tcPr>
          <w:p w:rsidR="00225952" w:rsidRPr="00DC5E75" w:rsidRDefault="00225952" w:rsidP="00225952">
            <w:pPr>
              <w:pStyle w:val="CheckA"/>
              <w:rPr>
                <w:rFonts w:cs="Arial"/>
              </w:rPr>
            </w:pPr>
            <w:r w:rsidRPr="00DC5E75">
              <w:rPr>
                <w:rFonts w:cs="Arial"/>
              </w:rPr>
              <w:t>Transit Facilities Guidelines</w:t>
            </w:r>
          </w:p>
        </w:tc>
        <w:tc>
          <w:tcPr>
            <w:tcW w:w="6562" w:type="dxa"/>
            <w:tcBorders>
              <w:left w:val="nil"/>
              <w:right w:val="nil"/>
            </w:tcBorders>
            <w:vAlign w:val="center"/>
          </w:tcPr>
          <w:p w:rsidR="00225952" w:rsidRPr="00E066BB" w:rsidRDefault="00745389" w:rsidP="00E066BB">
            <w:pPr>
              <w:pStyle w:val="Check1"/>
              <w:spacing w:after="60"/>
              <w:rPr>
                <w:sz w:val="20"/>
              </w:rPr>
            </w:pPr>
            <w:hyperlink r:id="rId331" w:history="1">
              <w:r w:rsidR="00225952" w:rsidRPr="00BC5378">
                <w:rPr>
                  <w:rStyle w:val="Hyperlink"/>
                  <w:sz w:val="20"/>
                </w:rPr>
                <w:t>FDOT District 4 Transit Facilities Guidelines</w:t>
              </w:r>
            </w:hyperlink>
            <w:r w:rsidR="00225952" w:rsidRPr="00E066BB">
              <w:rPr>
                <w:sz w:val="20"/>
              </w:rPr>
              <w:t xml:space="preserve"> </w:t>
            </w:r>
          </w:p>
          <w:p w:rsidR="00225952" w:rsidRPr="00DC5E75" w:rsidRDefault="00225952" w:rsidP="00E066BB">
            <w:pPr>
              <w:pStyle w:val="Check1"/>
              <w:spacing w:after="60"/>
            </w:pPr>
            <w:r w:rsidRPr="00DC5E75">
              <w:rPr>
                <w:u w:val="single"/>
              </w:rPr>
              <w:t xml:space="preserve">www.dot.state.fl.us/transit/Pages/UpdatedD4TransitFacilitiesGuidelines.pdf </w:t>
            </w:r>
          </w:p>
        </w:tc>
        <w:tc>
          <w:tcPr>
            <w:tcW w:w="854" w:type="dxa"/>
            <w:tcBorders>
              <w:left w:val="nil"/>
            </w:tcBorders>
            <w:vAlign w:val="center"/>
          </w:tcPr>
          <w:p w:rsidR="00225952" w:rsidRPr="002635FD" w:rsidRDefault="00225952" w:rsidP="00225952">
            <w:pPr>
              <w:pStyle w:val="Check1"/>
              <w:jc w:val="center"/>
            </w:pPr>
            <w:r>
              <w:t>PDF</w:t>
            </w:r>
          </w:p>
        </w:tc>
      </w:tr>
      <w:tr w:rsidR="00225952" w:rsidTr="00CB4748">
        <w:tc>
          <w:tcPr>
            <w:tcW w:w="3060" w:type="dxa"/>
            <w:tcBorders>
              <w:right w:val="nil"/>
            </w:tcBorders>
          </w:tcPr>
          <w:p w:rsidR="00225952" w:rsidRPr="00DC5E75" w:rsidRDefault="00225952" w:rsidP="00225952">
            <w:pPr>
              <w:autoSpaceDE w:val="0"/>
              <w:autoSpaceDN w:val="0"/>
              <w:adjustRightInd w:val="0"/>
              <w:spacing w:after="0" w:line="240" w:lineRule="auto"/>
              <w:rPr>
                <w:rFonts w:cs="Arial"/>
                <w:sz w:val="20"/>
              </w:rPr>
            </w:pPr>
            <w:r w:rsidRPr="00DC5E75">
              <w:rPr>
                <w:rFonts w:cs="Arial"/>
                <w:sz w:val="20"/>
              </w:rPr>
              <w:t xml:space="preserve">Palm Tran Transit Design Manual </w:t>
            </w:r>
          </w:p>
          <w:p w:rsidR="00225952" w:rsidRPr="00DC5E75" w:rsidRDefault="00225952" w:rsidP="00225952">
            <w:pPr>
              <w:pStyle w:val="CheckA"/>
              <w:rPr>
                <w:rFonts w:cs="Arial"/>
              </w:rPr>
            </w:pPr>
          </w:p>
        </w:tc>
        <w:tc>
          <w:tcPr>
            <w:tcW w:w="6562" w:type="dxa"/>
            <w:tcBorders>
              <w:left w:val="nil"/>
              <w:right w:val="nil"/>
            </w:tcBorders>
            <w:vAlign w:val="center"/>
          </w:tcPr>
          <w:p w:rsidR="00225952" w:rsidRPr="00E066BB" w:rsidRDefault="00745389" w:rsidP="00E066BB">
            <w:pPr>
              <w:pStyle w:val="Check1"/>
              <w:spacing w:after="60"/>
              <w:rPr>
                <w:sz w:val="20"/>
              </w:rPr>
            </w:pPr>
            <w:hyperlink r:id="rId332" w:history="1">
              <w:r w:rsidR="00225952" w:rsidRPr="00BC5378">
                <w:rPr>
                  <w:rStyle w:val="Hyperlink"/>
                  <w:sz w:val="20"/>
                </w:rPr>
                <w:t>Palm Tran Transit Design Manual</w:t>
              </w:r>
            </w:hyperlink>
            <w:r w:rsidR="00225952" w:rsidRPr="00E066BB">
              <w:rPr>
                <w:sz w:val="20"/>
              </w:rPr>
              <w:t xml:space="preserve"> </w:t>
            </w:r>
          </w:p>
          <w:p w:rsidR="00225952" w:rsidRPr="00DC5E75" w:rsidRDefault="00225952" w:rsidP="00E066BB">
            <w:pPr>
              <w:pStyle w:val="Check1"/>
              <w:spacing w:after="60"/>
            </w:pPr>
            <w:r w:rsidRPr="00DC5E75">
              <w:rPr>
                <w:u w:val="single"/>
              </w:rPr>
              <w:t xml:space="preserve">www.pbcgov.com/palmtran/marketing/pdf/library/transit-design-manual.pdf </w:t>
            </w:r>
          </w:p>
        </w:tc>
        <w:tc>
          <w:tcPr>
            <w:tcW w:w="854" w:type="dxa"/>
            <w:tcBorders>
              <w:left w:val="nil"/>
            </w:tcBorders>
            <w:vAlign w:val="center"/>
          </w:tcPr>
          <w:p w:rsidR="00225952" w:rsidRPr="002635FD" w:rsidRDefault="00225952" w:rsidP="00225952">
            <w:pPr>
              <w:pStyle w:val="Check1"/>
              <w:jc w:val="center"/>
            </w:pPr>
            <w:r>
              <w:t>PDF</w:t>
            </w:r>
          </w:p>
        </w:tc>
      </w:tr>
      <w:tr w:rsidR="00225952" w:rsidTr="00CB4748">
        <w:tc>
          <w:tcPr>
            <w:tcW w:w="3060" w:type="dxa"/>
            <w:tcBorders>
              <w:right w:val="nil"/>
            </w:tcBorders>
          </w:tcPr>
          <w:p w:rsidR="00225952" w:rsidRPr="00DC5E75" w:rsidRDefault="00225952" w:rsidP="00225952">
            <w:pPr>
              <w:pStyle w:val="CheckA"/>
              <w:rPr>
                <w:rFonts w:cs="Arial"/>
              </w:rPr>
            </w:pPr>
            <w:r w:rsidRPr="00DC5E75">
              <w:rPr>
                <w:rFonts w:cs="Arial"/>
              </w:rPr>
              <w:t>Mobility Access Handbook</w:t>
            </w:r>
          </w:p>
        </w:tc>
        <w:tc>
          <w:tcPr>
            <w:tcW w:w="6562" w:type="dxa"/>
            <w:tcBorders>
              <w:left w:val="nil"/>
              <w:right w:val="nil"/>
            </w:tcBorders>
            <w:vAlign w:val="center"/>
          </w:tcPr>
          <w:p w:rsidR="00225952" w:rsidRPr="00E066BB" w:rsidRDefault="00225952" w:rsidP="00E066BB">
            <w:pPr>
              <w:pStyle w:val="Check1"/>
              <w:spacing w:after="60"/>
              <w:rPr>
                <w:sz w:val="20"/>
              </w:rPr>
            </w:pPr>
            <w:smartTag w:uri="urn:schemas-microsoft-com:office:smarttags" w:element="City">
              <w:smartTag w:uri="urn:schemas-microsoft-com:office:smarttags" w:element="place">
                <w:r w:rsidRPr="00E066BB">
                  <w:rPr>
                    <w:sz w:val="20"/>
                  </w:rPr>
                  <w:t>Jacksonville</w:t>
                </w:r>
              </w:smartTag>
            </w:smartTag>
            <w:r w:rsidRPr="00E066BB">
              <w:rPr>
                <w:sz w:val="20"/>
              </w:rPr>
              <w:t xml:space="preserve"> Transportation Authority Mobility Access Program Handbook </w:t>
            </w:r>
          </w:p>
          <w:p w:rsidR="00225952" w:rsidRPr="00DC5E75" w:rsidRDefault="00225952" w:rsidP="00E066BB">
            <w:pPr>
              <w:pStyle w:val="Check1"/>
              <w:spacing w:after="60"/>
            </w:pPr>
            <w:r w:rsidRPr="00DC5E75">
              <w:rPr>
                <w:u w:val="single"/>
              </w:rPr>
              <w:t>jtaonthemove.com/workwithus/pdf/AccessProgram.pdf?SUBMIT=go</w:t>
            </w:r>
          </w:p>
        </w:tc>
        <w:tc>
          <w:tcPr>
            <w:tcW w:w="854" w:type="dxa"/>
            <w:tcBorders>
              <w:left w:val="nil"/>
            </w:tcBorders>
            <w:vAlign w:val="center"/>
          </w:tcPr>
          <w:p w:rsidR="00225952" w:rsidRPr="002635FD" w:rsidRDefault="00225952" w:rsidP="00225952">
            <w:pPr>
              <w:pStyle w:val="Check1"/>
              <w:jc w:val="center"/>
            </w:pPr>
            <w:r>
              <w:t>PDF</w:t>
            </w:r>
          </w:p>
        </w:tc>
      </w:tr>
      <w:tr w:rsidR="00225952" w:rsidTr="00CB4748">
        <w:tc>
          <w:tcPr>
            <w:tcW w:w="3060" w:type="dxa"/>
            <w:tcBorders>
              <w:right w:val="nil"/>
            </w:tcBorders>
          </w:tcPr>
          <w:p w:rsidR="00225952" w:rsidRPr="00DC5E75" w:rsidRDefault="00225952" w:rsidP="00225952">
            <w:pPr>
              <w:pStyle w:val="CheckA"/>
              <w:rPr>
                <w:rFonts w:cs="Arial"/>
              </w:rPr>
            </w:pPr>
            <w:r w:rsidRPr="00DC5E75">
              <w:rPr>
                <w:rFonts w:cs="Arial"/>
              </w:rPr>
              <w:t>Developer Participation</w:t>
            </w:r>
          </w:p>
        </w:tc>
        <w:tc>
          <w:tcPr>
            <w:tcW w:w="6562" w:type="dxa"/>
            <w:tcBorders>
              <w:left w:val="nil"/>
              <w:right w:val="nil"/>
            </w:tcBorders>
            <w:vAlign w:val="center"/>
          </w:tcPr>
          <w:p w:rsidR="00225952" w:rsidRPr="00E066BB" w:rsidRDefault="00225952" w:rsidP="00E066BB">
            <w:pPr>
              <w:pStyle w:val="Check1"/>
              <w:spacing w:after="60"/>
              <w:rPr>
                <w:sz w:val="20"/>
              </w:rPr>
            </w:pPr>
            <w:r w:rsidRPr="00E066BB">
              <w:rPr>
                <w:sz w:val="20"/>
              </w:rPr>
              <w:t>Developer Participation in Providing for Bus Transit Facilities/Operations</w:t>
            </w:r>
          </w:p>
          <w:p w:rsidR="00225952" w:rsidRPr="00DC5E75" w:rsidRDefault="00745389" w:rsidP="00E066BB">
            <w:pPr>
              <w:pStyle w:val="Check1"/>
              <w:spacing w:after="60"/>
            </w:pPr>
            <w:hyperlink r:id="rId333" w:history="1">
              <w:r w:rsidR="005D5082" w:rsidRPr="005D5082">
                <w:rPr>
                  <w:rStyle w:val="Hyperlink"/>
                </w:rPr>
                <w:t>http://teachamerica.com/tih/PDF/Land%20Developer.pdf</w:t>
              </w:r>
            </w:hyperlink>
          </w:p>
        </w:tc>
        <w:tc>
          <w:tcPr>
            <w:tcW w:w="854" w:type="dxa"/>
            <w:tcBorders>
              <w:left w:val="nil"/>
            </w:tcBorders>
            <w:vAlign w:val="center"/>
          </w:tcPr>
          <w:p w:rsidR="00225952" w:rsidRPr="002635FD" w:rsidRDefault="00225952" w:rsidP="00225952">
            <w:pPr>
              <w:pStyle w:val="Check1"/>
              <w:jc w:val="center"/>
            </w:pPr>
            <w:r>
              <w:t>PDF</w:t>
            </w:r>
          </w:p>
        </w:tc>
      </w:tr>
      <w:tr w:rsidR="00225952" w:rsidTr="00CB4748">
        <w:trPr>
          <w:trHeight w:val="395"/>
        </w:trPr>
        <w:tc>
          <w:tcPr>
            <w:tcW w:w="10476" w:type="dxa"/>
            <w:gridSpan w:val="3"/>
            <w:shd w:val="clear" w:color="auto" w:fill="31849B" w:themeFill="accent5" w:themeFillShade="BF"/>
          </w:tcPr>
          <w:p w:rsidR="00225952" w:rsidRPr="007F64D9" w:rsidRDefault="00225952" w:rsidP="00225952">
            <w:pPr>
              <w:pStyle w:val="Check1"/>
              <w:rPr>
                <w:b/>
                <w:noProof/>
                <w:color w:val="4F6228"/>
                <w:sz w:val="24"/>
                <w:szCs w:val="24"/>
              </w:rPr>
            </w:pPr>
            <w:r w:rsidRPr="007F64D9">
              <w:rPr>
                <w:color w:val="FFFFFF" w:themeColor="background1"/>
                <w:sz w:val="24"/>
                <w:szCs w:val="24"/>
              </w:rPr>
              <w:t xml:space="preserve">Multimodal </w:t>
            </w:r>
            <w:r>
              <w:rPr>
                <w:color w:val="FFFFFF" w:themeColor="background1"/>
                <w:sz w:val="24"/>
                <w:szCs w:val="24"/>
              </w:rPr>
              <w:t xml:space="preserve">Access </w:t>
            </w:r>
            <w:r w:rsidRPr="007F64D9">
              <w:rPr>
                <w:color w:val="FFFFFF" w:themeColor="background1"/>
                <w:sz w:val="24"/>
                <w:szCs w:val="24"/>
              </w:rPr>
              <w:t>Information to be Included in the ADA</w:t>
            </w:r>
          </w:p>
        </w:tc>
      </w:tr>
      <w:tr w:rsidR="00225952" w:rsidTr="00CB4748">
        <w:tc>
          <w:tcPr>
            <w:tcW w:w="9622" w:type="dxa"/>
            <w:gridSpan w:val="2"/>
            <w:tcBorders>
              <w:right w:val="nil"/>
            </w:tcBorders>
            <w:shd w:val="clear" w:color="auto" w:fill="DBE5F1" w:themeFill="accent1" w:themeFillTint="33"/>
          </w:tcPr>
          <w:p w:rsidR="00225952" w:rsidRPr="00DC5E75" w:rsidRDefault="00225952" w:rsidP="00225952">
            <w:pPr>
              <w:pStyle w:val="Check1"/>
            </w:pPr>
            <w:r w:rsidRPr="00203C7D">
              <w:rPr>
                <w:rFonts w:cs="Arial"/>
                <w:b/>
                <w:sz w:val="20"/>
              </w:rPr>
              <w:t>DRI Study Area</w:t>
            </w:r>
          </w:p>
        </w:tc>
        <w:tc>
          <w:tcPr>
            <w:tcW w:w="854" w:type="dxa"/>
            <w:tcBorders>
              <w:left w:val="nil"/>
            </w:tcBorders>
            <w:vAlign w:val="center"/>
          </w:tcPr>
          <w:p w:rsidR="00225952" w:rsidRDefault="00225952" w:rsidP="00225952">
            <w:pPr>
              <w:pStyle w:val="Check1"/>
              <w:jc w:val="center"/>
            </w:pPr>
            <w:r w:rsidRPr="009C28E0">
              <w:rPr>
                <w:noProof/>
                <w:color w:val="4F6228"/>
              </w:rPr>
              <w:t xml:space="preserve">Y </w:t>
            </w:r>
            <w:r>
              <w:rPr>
                <w:noProof/>
                <w:color w:val="4F6228"/>
              </w:rPr>
              <w:t xml:space="preserve"> </w:t>
            </w:r>
            <w:r w:rsidRPr="009C28E0">
              <w:rPr>
                <w:noProof/>
                <w:color w:val="4F6228"/>
              </w:rPr>
              <w:t xml:space="preserve"> </w:t>
            </w:r>
            <w:r w:rsidRPr="009C28E0">
              <w:rPr>
                <w:noProof/>
              </w:rPr>
              <w:t xml:space="preserve"> </w:t>
            </w:r>
            <w:r w:rsidRPr="009C28E0">
              <w:rPr>
                <w:noProof/>
                <w:color w:val="C00000"/>
              </w:rPr>
              <w:t>N</w:t>
            </w:r>
            <w:r w:rsidRPr="009C28E0">
              <w:rPr>
                <w:noProof/>
              </w:rPr>
              <w:t xml:space="preserve">  </w:t>
            </w:r>
          </w:p>
        </w:tc>
      </w:tr>
      <w:tr w:rsidR="00225952" w:rsidTr="00CB4748">
        <w:tc>
          <w:tcPr>
            <w:tcW w:w="3060" w:type="dxa"/>
            <w:vMerge w:val="restart"/>
            <w:tcBorders>
              <w:right w:val="nil"/>
            </w:tcBorders>
          </w:tcPr>
          <w:p w:rsidR="00225952" w:rsidRPr="00DC5E75" w:rsidRDefault="00225952" w:rsidP="00225952">
            <w:pPr>
              <w:pStyle w:val="CheckA"/>
              <w:rPr>
                <w:rFonts w:cs="Arial"/>
              </w:rPr>
            </w:pPr>
            <w:r>
              <w:t xml:space="preserve">A.  </w:t>
            </w:r>
            <w:r w:rsidRPr="009E1CC7">
              <w:t>High-occupancy vehicle lanes</w:t>
            </w:r>
          </w:p>
        </w:tc>
        <w:tc>
          <w:tcPr>
            <w:tcW w:w="6562" w:type="dxa"/>
            <w:tcBorders>
              <w:left w:val="nil"/>
              <w:right w:val="nil"/>
            </w:tcBorders>
          </w:tcPr>
          <w:p w:rsidR="00225952" w:rsidRPr="009E1CC7" w:rsidRDefault="00225952" w:rsidP="00AD2D7A">
            <w:pPr>
              <w:pStyle w:val="Check1"/>
              <w:numPr>
                <w:ilvl w:val="0"/>
                <w:numId w:val="46"/>
              </w:numPr>
              <w:ind w:left="342" w:hanging="342"/>
            </w:pPr>
            <w:r w:rsidRPr="009E1CC7">
              <w:t>Availability</w:t>
            </w:r>
          </w:p>
        </w:tc>
        <w:tc>
          <w:tcPr>
            <w:tcW w:w="854" w:type="dxa"/>
            <w:tcBorders>
              <w:left w:val="nil"/>
            </w:tcBorders>
            <w:vAlign w:val="center"/>
          </w:tcPr>
          <w:p w:rsidR="00225952" w:rsidRPr="009E1CC7" w:rsidRDefault="00225952" w:rsidP="00225952">
            <w:pPr>
              <w:pStyle w:val="Check1"/>
              <w:jc w:val="center"/>
            </w:pPr>
            <w:r w:rsidRPr="00F415D5">
              <w:rPr>
                <w:noProof/>
              </w:rPr>
              <w:drawing>
                <wp:inline distT="0" distB="0" distL="0" distR="0">
                  <wp:extent cx="320040" cy="152400"/>
                  <wp:effectExtent l="0" t="0" r="0" b="0"/>
                  <wp:docPr id="221" name="Picture 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diobuttons.png"/>
                          <pic:cNvPicPr>
                            <a:picLocks noChangeAspect="1" noChangeArrowheads="1"/>
                          </pic:cNvPicPr>
                        </pic:nvPicPr>
                        <pic:blipFill>
                          <a:blip r:embed="rId257" cstate="print"/>
                          <a:srcRect r="30769"/>
                          <a:stretch>
                            <a:fillRect/>
                          </a:stretch>
                        </pic:blipFill>
                        <pic:spPr bwMode="auto">
                          <a:xfrm>
                            <a:off x="0" y="0"/>
                            <a:ext cx="320040" cy="152400"/>
                          </a:xfrm>
                          <a:prstGeom prst="rect">
                            <a:avLst/>
                          </a:prstGeom>
                          <a:noFill/>
                          <a:ln w="9525">
                            <a:noFill/>
                            <a:miter lim="800000"/>
                            <a:headEnd/>
                            <a:tailEnd/>
                          </a:ln>
                        </pic:spPr>
                      </pic:pic>
                    </a:graphicData>
                  </a:graphic>
                </wp:inline>
              </w:drawing>
            </w:r>
          </w:p>
        </w:tc>
      </w:tr>
      <w:tr w:rsidR="00225952" w:rsidTr="00CB4748">
        <w:tc>
          <w:tcPr>
            <w:tcW w:w="3060" w:type="dxa"/>
            <w:vMerge/>
            <w:tcBorders>
              <w:right w:val="nil"/>
            </w:tcBorders>
          </w:tcPr>
          <w:p w:rsidR="00225952" w:rsidRPr="009E1CC7" w:rsidRDefault="00225952" w:rsidP="00225952">
            <w:pPr>
              <w:pStyle w:val="CheckA"/>
            </w:pPr>
          </w:p>
        </w:tc>
        <w:tc>
          <w:tcPr>
            <w:tcW w:w="6562" w:type="dxa"/>
            <w:tcBorders>
              <w:left w:val="nil"/>
              <w:right w:val="nil"/>
            </w:tcBorders>
          </w:tcPr>
          <w:p w:rsidR="00225952" w:rsidRPr="009E1CC7" w:rsidRDefault="00225952" w:rsidP="00AD2D7A">
            <w:pPr>
              <w:pStyle w:val="Check1"/>
              <w:numPr>
                <w:ilvl w:val="0"/>
                <w:numId w:val="46"/>
              </w:numPr>
              <w:ind w:left="342" w:hanging="342"/>
            </w:pPr>
            <w:r w:rsidRPr="009E1CC7">
              <w:t>Location</w:t>
            </w:r>
          </w:p>
        </w:tc>
        <w:tc>
          <w:tcPr>
            <w:tcW w:w="854" w:type="dxa"/>
            <w:tcBorders>
              <w:left w:val="nil"/>
            </w:tcBorders>
            <w:vAlign w:val="center"/>
          </w:tcPr>
          <w:p w:rsidR="00225952" w:rsidRPr="00F415D5" w:rsidRDefault="00225952" w:rsidP="00225952">
            <w:pPr>
              <w:pStyle w:val="Check1"/>
              <w:jc w:val="center"/>
            </w:pPr>
            <w:r w:rsidRPr="00A03CA0">
              <w:rPr>
                <w:noProof/>
              </w:rPr>
              <w:drawing>
                <wp:inline distT="0" distB="0" distL="0" distR="0">
                  <wp:extent cx="320040" cy="152400"/>
                  <wp:effectExtent l="0" t="0" r="0" b="0"/>
                  <wp:docPr id="436" name="Picture 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diobuttons.png"/>
                          <pic:cNvPicPr>
                            <a:picLocks noChangeAspect="1" noChangeArrowheads="1"/>
                          </pic:cNvPicPr>
                        </pic:nvPicPr>
                        <pic:blipFill>
                          <a:blip r:embed="rId257" cstate="print"/>
                          <a:srcRect r="30769"/>
                          <a:stretch>
                            <a:fillRect/>
                          </a:stretch>
                        </pic:blipFill>
                        <pic:spPr bwMode="auto">
                          <a:xfrm>
                            <a:off x="0" y="0"/>
                            <a:ext cx="320040" cy="152400"/>
                          </a:xfrm>
                          <a:prstGeom prst="rect">
                            <a:avLst/>
                          </a:prstGeom>
                          <a:noFill/>
                          <a:ln w="9525">
                            <a:noFill/>
                            <a:miter lim="800000"/>
                            <a:headEnd/>
                            <a:tailEnd/>
                          </a:ln>
                        </pic:spPr>
                      </pic:pic>
                    </a:graphicData>
                  </a:graphic>
                </wp:inline>
              </w:drawing>
            </w:r>
          </w:p>
        </w:tc>
      </w:tr>
      <w:tr w:rsidR="00225952" w:rsidTr="00CB4748">
        <w:tc>
          <w:tcPr>
            <w:tcW w:w="3060" w:type="dxa"/>
            <w:vMerge/>
            <w:tcBorders>
              <w:right w:val="nil"/>
            </w:tcBorders>
          </w:tcPr>
          <w:p w:rsidR="00225952" w:rsidRPr="009E1CC7" w:rsidRDefault="00225952" w:rsidP="00225952">
            <w:pPr>
              <w:pStyle w:val="CheckA"/>
            </w:pPr>
          </w:p>
        </w:tc>
        <w:tc>
          <w:tcPr>
            <w:tcW w:w="6562" w:type="dxa"/>
            <w:tcBorders>
              <w:left w:val="nil"/>
              <w:right w:val="nil"/>
            </w:tcBorders>
          </w:tcPr>
          <w:p w:rsidR="00225952" w:rsidRPr="009E1CC7" w:rsidRDefault="00225952" w:rsidP="00AD2D7A">
            <w:pPr>
              <w:pStyle w:val="Check1"/>
              <w:numPr>
                <w:ilvl w:val="0"/>
                <w:numId w:val="46"/>
              </w:numPr>
              <w:ind w:left="342" w:hanging="342"/>
            </w:pPr>
            <w:r w:rsidRPr="009E1CC7">
              <w:t>Usage</w:t>
            </w:r>
          </w:p>
        </w:tc>
        <w:tc>
          <w:tcPr>
            <w:tcW w:w="854" w:type="dxa"/>
            <w:tcBorders>
              <w:left w:val="nil"/>
            </w:tcBorders>
            <w:vAlign w:val="center"/>
          </w:tcPr>
          <w:p w:rsidR="00225952" w:rsidRPr="00F415D5" w:rsidRDefault="00225952" w:rsidP="00225952">
            <w:pPr>
              <w:pStyle w:val="Check1"/>
              <w:jc w:val="center"/>
            </w:pPr>
            <w:r w:rsidRPr="00A03CA0">
              <w:rPr>
                <w:noProof/>
              </w:rPr>
              <w:drawing>
                <wp:inline distT="0" distB="0" distL="0" distR="0">
                  <wp:extent cx="320040" cy="152400"/>
                  <wp:effectExtent l="0" t="0" r="0" b="0"/>
                  <wp:docPr id="437" name="Picture 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diobuttons.png"/>
                          <pic:cNvPicPr>
                            <a:picLocks noChangeAspect="1" noChangeArrowheads="1"/>
                          </pic:cNvPicPr>
                        </pic:nvPicPr>
                        <pic:blipFill>
                          <a:blip r:embed="rId257" cstate="print"/>
                          <a:srcRect r="30769"/>
                          <a:stretch>
                            <a:fillRect/>
                          </a:stretch>
                        </pic:blipFill>
                        <pic:spPr bwMode="auto">
                          <a:xfrm>
                            <a:off x="0" y="0"/>
                            <a:ext cx="320040" cy="152400"/>
                          </a:xfrm>
                          <a:prstGeom prst="rect">
                            <a:avLst/>
                          </a:prstGeom>
                          <a:noFill/>
                          <a:ln w="9525">
                            <a:noFill/>
                            <a:miter lim="800000"/>
                            <a:headEnd/>
                            <a:tailEnd/>
                          </a:ln>
                        </pic:spPr>
                      </pic:pic>
                    </a:graphicData>
                  </a:graphic>
                </wp:inline>
              </w:drawing>
            </w:r>
          </w:p>
        </w:tc>
      </w:tr>
      <w:tr w:rsidR="00225952" w:rsidTr="00CB4748">
        <w:tc>
          <w:tcPr>
            <w:tcW w:w="3060" w:type="dxa"/>
            <w:vMerge w:val="restart"/>
            <w:tcBorders>
              <w:right w:val="nil"/>
            </w:tcBorders>
          </w:tcPr>
          <w:p w:rsidR="00225952" w:rsidRPr="00DC5E75" w:rsidRDefault="00225952" w:rsidP="00225952">
            <w:pPr>
              <w:pStyle w:val="CheckA"/>
              <w:rPr>
                <w:rFonts w:cs="Arial"/>
              </w:rPr>
            </w:pPr>
            <w:r>
              <w:t xml:space="preserve">B.  </w:t>
            </w:r>
            <w:r w:rsidRPr="009E1CC7">
              <w:t>Transit service (rail and/or bus</w:t>
            </w:r>
            <w:r>
              <w:t>)</w:t>
            </w:r>
          </w:p>
        </w:tc>
        <w:tc>
          <w:tcPr>
            <w:tcW w:w="6562" w:type="dxa"/>
            <w:tcBorders>
              <w:left w:val="nil"/>
              <w:right w:val="nil"/>
            </w:tcBorders>
          </w:tcPr>
          <w:p w:rsidR="00225952" w:rsidRPr="009E1CC7" w:rsidRDefault="00225952" w:rsidP="00AD2D7A">
            <w:pPr>
              <w:pStyle w:val="Check1"/>
              <w:numPr>
                <w:ilvl w:val="0"/>
                <w:numId w:val="48"/>
              </w:numPr>
              <w:ind w:left="342" w:hanging="342"/>
            </w:pPr>
            <w:r w:rsidRPr="009E1CC7">
              <w:t xml:space="preserve">Availability </w:t>
            </w:r>
          </w:p>
        </w:tc>
        <w:tc>
          <w:tcPr>
            <w:tcW w:w="854" w:type="dxa"/>
            <w:tcBorders>
              <w:left w:val="nil"/>
            </w:tcBorders>
            <w:vAlign w:val="center"/>
          </w:tcPr>
          <w:p w:rsidR="00225952" w:rsidRPr="009E1CC7" w:rsidRDefault="00225952" w:rsidP="00225952">
            <w:pPr>
              <w:pStyle w:val="Check1"/>
              <w:jc w:val="center"/>
            </w:pPr>
            <w:r w:rsidRPr="00F415D5">
              <w:rPr>
                <w:noProof/>
              </w:rPr>
              <w:drawing>
                <wp:inline distT="0" distB="0" distL="0" distR="0">
                  <wp:extent cx="320040" cy="152400"/>
                  <wp:effectExtent l="0" t="0" r="0" b="0"/>
                  <wp:docPr id="222" name="Picture 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diobuttons.png"/>
                          <pic:cNvPicPr>
                            <a:picLocks noChangeAspect="1" noChangeArrowheads="1"/>
                          </pic:cNvPicPr>
                        </pic:nvPicPr>
                        <pic:blipFill>
                          <a:blip r:embed="rId257" cstate="print"/>
                          <a:srcRect r="30769"/>
                          <a:stretch>
                            <a:fillRect/>
                          </a:stretch>
                        </pic:blipFill>
                        <pic:spPr bwMode="auto">
                          <a:xfrm>
                            <a:off x="0" y="0"/>
                            <a:ext cx="320040" cy="152400"/>
                          </a:xfrm>
                          <a:prstGeom prst="rect">
                            <a:avLst/>
                          </a:prstGeom>
                          <a:noFill/>
                          <a:ln w="9525">
                            <a:noFill/>
                            <a:miter lim="800000"/>
                            <a:headEnd/>
                            <a:tailEnd/>
                          </a:ln>
                        </pic:spPr>
                      </pic:pic>
                    </a:graphicData>
                  </a:graphic>
                </wp:inline>
              </w:drawing>
            </w:r>
          </w:p>
        </w:tc>
      </w:tr>
      <w:tr w:rsidR="00225952" w:rsidTr="00CB4748">
        <w:tc>
          <w:tcPr>
            <w:tcW w:w="3060" w:type="dxa"/>
            <w:vMerge/>
            <w:tcBorders>
              <w:right w:val="nil"/>
            </w:tcBorders>
          </w:tcPr>
          <w:p w:rsidR="00225952" w:rsidRPr="009E1CC7" w:rsidRDefault="00225952" w:rsidP="00225952">
            <w:pPr>
              <w:pStyle w:val="CheckA"/>
            </w:pPr>
          </w:p>
        </w:tc>
        <w:tc>
          <w:tcPr>
            <w:tcW w:w="6562" w:type="dxa"/>
            <w:tcBorders>
              <w:left w:val="nil"/>
              <w:right w:val="nil"/>
            </w:tcBorders>
          </w:tcPr>
          <w:p w:rsidR="00225952" w:rsidRPr="009E1CC7" w:rsidRDefault="00225952" w:rsidP="00AD2D7A">
            <w:pPr>
              <w:pStyle w:val="Check1"/>
              <w:numPr>
                <w:ilvl w:val="0"/>
                <w:numId w:val="47"/>
              </w:numPr>
              <w:ind w:left="342" w:hanging="342"/>
            </w:pPr>
            <w:r w:rsidRPr="009E1CC7">
              <w:t>Location</w:t>
            </w:r>
          </w:p>
        </w:tc>
        <w:tc>
          <w:tcPr>
            <w:tcW w:w="854" w:type="dxa"/>
            <w:tcBorders>
              <w:left w:val="nil"/>
            </w:tcBorders>
            <w:vAlign w:val="center"/>
          </w:tcPr>
          <w:p w:rsidR="00225952" w:rsidRPr="00F415D5" w:rsidRDefault="00225952" w:rsidP="00225952">
            <w:pPr>
              <w:pStyle w:val="Check1"/>
              <w:jc w:val="center"/>
            </w:pPr>
            <w:r w:rsidRPr="00A03CA0">
              <w:rPr>
                <w:noProof/>
              </w:rPr>
              <w:drawing>
                <wp:inline distT="0" distB="0" distL="0" distR="0">
                  <wp:extent cx="320040" cy="152400"/>
                  <wp:effectExtent l="0" t="0" r="0" b="0"/>
                  <wp:docPr id="438" name="Picture 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diobuttons.png"/>
                          <pic:cNvPicPr>
                            <a:picLocks noChangeAspect="1" noChangeArrowheads="1"/>
                          </pic:cNvPicPr>
                        </pic:nvPicPr>
                        <pic:blipFill>
                          <a:blip r:embed="rId257" cstate="print"/>
                          <a:srcRect r="30769"/>
                          <a:stretch>
                            <a:fillRect/>
                          </a:stretch>
                        </pic:blipFill>
                        <pic:spPr bwMode="auto">
                          <a:xfrm>
                            <a:off x="0" y="0"/>
                            <a:ext cx="320040" cy="152400"/>
                          </a:xfrm>
                          <a:prstGeom prst="rect">
                            <a:avLst/>
                          </a:prstGeom>
                          <a:noFill/>
                          <a:ln w="9525">
                            <a:noFill/>
                            <a:miter lim="800000"/>
                            <a:headEnd/>
                            <a:tailEnd/>
                          </a:ln>
                        </pic:spPr>
                      </pic:pic>
                    </a:graphicData>
                  </a:graphic>
                </wp:inline>
              </w:drawing>
            </w:r>
          </w:p>
        </w:tc>
      </w:tr>
      <w:tr w:rsidR="00225952" w:rsidTr="00CB4748">
        <w:tc>
          <w:tcPr>
            <w:tcW w:w="3060" w:type="dxa"/>
            <w:vMerge/>
            <w:tcBorders>
              <w:right w:val="nil"/>
            </w:tcBorders>
          </w:tcPr>
          <w:p w:rsidR="00225952" w:rsidRPr="009E1CC7" w:rsidRDefault="00225952" w:rsidP="00225952">
            <w:pPr>
              <w:pStyle w:val="CheckA"/>
            </w:pPr>
          </w:p>
        </w:tc>
        <w:tc>
          <w:tcPr>
            <w:tcW w:w="6562" w:type="dxa"/>
            <w:tcBorders>
              <w:left w:val="nil"/>
              <w:right w:val="nil"/>
            </w:tcBorders>
          </w:tcPr>
          <w:p w:rsidR="00225952" w:rsidRPr="009E1CC7" w:rsidRDefault="00225952" w:rsidP="00AD2D7A">
            <w:pPr>
              <w:pStyle w:val="Check1"/>
              <w:numPr>
                <w:ilvl w:val="0"/>
                <w:numId w:val="47"/>
              </w:numPr>
              <w:ind w:left="342" w:hanging="342"/>
            </w:pPr>
            <w:r w:rsidRPr="009E1CC7">
              <w:t>Level of service</w:t>
            </w:r>
          </w:p>
        </w:tc>
        <w:tc>
          <w:tcPr>
            <w:tcW w:w="854" w:type="dxa"/>
            <w:tcBorders>
              <w:left w:val="nil"/>
            </w:tcBorders>
            <w:vAlign w:val="center"/>
          </w:tcPr>
          <w:p w:rsidR="00225952" w:rsidRPr="00F415D5" w:rsidRDefault="00225952" w:rsidP="00225952">
            <w:pPr>
              <w:pStyle w:val="Check1"/>
              <w:jc w:val="center"/>
            </w:pPr>
            <w:r w:rsidRPr="00A03CA0">
              <w:rPr>
                <w:noProof/>
              </w:rPr>
              <w:drawing>
                <wp:inline distT="0" distB="0" distL="0" distR="0">
                  <wp:extent cx="320040" cy="152400"/>
                  <wp:effectExtent l="0" t="0" r="0" b="0"/>
                  <wp:docPr id="439" name="Picture 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diobuttons.png"/>
                          <pic:cNvPicPr>
                            <a:picLocks noChangeAspect="1" noChangeArrowheads="1"/>
                          </pic:cNvPicPr>
                        </pic:nvPicPr>
                        <pic:blipFill>
                          <a:blip r:embed="rId257" cstate="print"/>
                          <a:srcRect r="30769"/>
                          <a:stretch>
                            <a:fillRect/>
                          </a:stretch>
                        </pic:blipFill>
                        <pic:spPr bwMode="auto">
                          <a:xfrm>
                            <a:off x="0" y="0"/>
                            <a:ext cx="320040" cy="152400"/>
                          </a:xfrm>
                          <a:prstGeom prst="rect">
                            <a:avLst/>
                          </a:prstGeom>
                          <a:noFill/>
                          <a:ln w="9525">
                            <a:noFill/>
                            <a:miter lim="800000"/>
                            <a:headEnd/>
                            <a:tailEnd/>
                          </a:ln>
                        </pic:spPr>
                      </pic:pic>
                    </a:graphicData>
                  </a:graphic>
                </wp:inline>
              </w:drawing>
            </w:r>
          </w:p>
        </w:tc>
      </w:tr>
      <w:tr w:rsidR="00225952" w:rsidTr="00CB4748">
        <w:tc>
          <w:tcPr>
            <w:tcW w:w="3060" w:type="dxa"/>
            <w:vMerge/>
            <w:tcBorders>
              <w:right w:val="nil"/>
            </w:tcBorders>
          </w:tcPr>
          <w:p w:rsidR="00225952" w:rsidRPr="009E1CC7" w:rsidRDefault="00225952" w:rsidP="00225952">
            <w:pPr>
              <w:pStyle w:val="CheckA"/>
            </w:pPr>
          </w:p>
        </w:tc>
        <w:tc>
          <w:tcPr>
            <w:tcW w:w="6562" w:type="dxa"/>
            <w:tcBorders>
              <w:left w:val="nil"/>
              <w:right w:val="nil"/>
            </w:tcBorders>
          </w:tcPr>
          <w:p w:rsidR="00225952" w:rsidRPr="009E1CC7" w:rsidRDefault="00225952" w:rsidP="00AD2D7A">
            <w:pPr>
              <w:pStyle w:val="Check1"/>
              <w:numPr>
                <w:ilvl w:val="0"/>
                <w:numId w:val="47"/>
              </w:numPr>
              <w:ind w:left="342" w:hanging="342"/>
            </w:pPr>
            <w:r w:rsidRPr="009E1CC7">
              <w:t>Duration</w:t>
            </w:r>
          </w:p>
        </w:tc>
        <w:tc>
          <w:tcPr>
            <w:tcW w:w="854" w:type="dxa"/>
            <w:tcBorders>
              <w:left w:val="nil"/>
            </w:tcBorders>
            <w:vAlign w:val="center"/>
          </w:tcPr>
          <w:p w:rsidR="00225952" w:rsidRPr="00F415D5" w:rsidRDefault="00225952" w:rsidP="00225952">
            <w:pPr>
              <w:pStyle w:val="Check1"/>
              <w:jc w:val="center"/>
            </w:pPr>
            <w:r w:rsidRPr="00A03CA0">
              <w:rPr>
                <w:noProof/>
              </w:rPr>
              <w:drawing>
                <wp:inline distT="0" distB="0" distL="0" distR="0">
                  <wp:extent cx="320040" cy="152400"/>
                  <wp:effectExtent l="0" t="0" r="0" b="0"/>
                  <wp:docPr id="440" name="Picture 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diobuttons.png"/>
                          <pic:cNvPicPr>
                            <a:picLocks noChangeAspect="1" noChangeArrowheads="1"/>
                          </pic:cNvPicPr>
                        </pic:nvPicPr>
                        <pic:blipFill>
                          <a:blip r:embed="rId257" cstate="print"/>
                          <a:srcRect r="30769"/>
                          <a:stretch>
                            <a:fillRect/>
                          </a:stretch>
                        </pic:blipFill>
                        <pic:spPr bwMode="auto">
                          <a:xfrm>
                            <a:off x="0" y="0"/>
                            <a:ext cx="320040" cy="152400"/>
                          </a:xfrm>
                          <a:prstGeom prst="rect">
                            <a:avLst/>
                          </a:prstGeom>
                          <a:noFill/>
                          <a:ln w="9525">
                            <a:noFill/>
                            <a:miter lim="800000"/>
                            <a:headEnd/>
                            <a:tailEnd/>
                          </a:ln>
                        </pic:spPr>
                      </pic:pic>
                    </a:graphicData>
                  </a:graphic>
                </wp:inline>
              </w:drawing>
            </w:r>
          </w:p>
        </w:tc>
      </w:tr>
      <w:tr w:rsidR="00225952" w:rsidTr="00CB4748">
        <w:tc>
          <w:tcPr>
            <w:tcW w:w="3060" w:type="dxa"/>
            <w:vMerge/>
            <w:tcBorders>
              <w:right w:val="nil"/>
            </w:tcBorders>
          </w:tcPr>
          <w:p w:rsidR="00225952" w:rsidRPr="009E1CC7" w:rsidRDefault="00225952" w:rsidP="00225952">
            <w:pPr>
              <w:pStyle w:val="CheckA"/>
            </w:pPr>
          </w:p>
        </w:tc>
        <w:tc>
          <w:tcPr>
            <w:tcW w:w="6562" w:type="dxa"/>
            <w:tcBorders>
              <w:left w:val="nil"/>
              <w:right w:val="nil"/>
            </w:tcBorders>
          </w:tcPr>
          <w:p w:rsidR="00225952" w:rsidRPr="009E1CC7" w:rsidRDefault="00225952" w:rsidP="00AD2D7A">
            <w:pPr>
              <w:pStyle w:val="Check1"/>
              <w:numPr>
                <w:ilvl w:val="0"/>
                <w:numId w:val="47"/>
              </w:numPr>
              <w:ind w:left="342" w:hanging="342"/>
            </w:pPr>
            <w:r w:rsidRPr="009E1CC7">
              <w:t>Frequency</w:t>
            </w:r>
          </w:p>
        </w:tc>
        <w:tc>
          <w:tcPr>
            <w:tcW w:w="854" w:type="dxa"/>
            <w:tcBorders>
              <w:left w:val="nil"/>
            </w:tcBorders>
            <w:vAlign w:val="center"/>
          </w:tcPr>
          <w:p w:rsidR="00225952" w:rsidRPr="00F415D5" w:rsidRDefault="00225952" w:rsidP="00225952">
            <w:pPr>
              <w:pStyle w:val="Check1"/>
              <w:jc w:val="center"/>
            </w:pPr>
            <w:r w:rsidRPr="00A03CA0">
              <w:rPr>
                <w:noProof/>
              </w:rPr>
              <w:drawing>
                <wp:inline distT="0" distB="0" distL="0" distR="0">
                  <wp:extent cx="320040" cy="152400"/>
                  <wp:effectExtent l="0" t="0" r="0" b="0"/>
                  <wp:docPr id="441" name="Picture 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diobuttons.png"/>
                          <pic:cNvPicPr>
                            <a:picLocks noChangeAspect="1" noChangeArrowheads="1"/>
                          </pic:cNvPicPr>
                        </pic:nvPicPr>
                        <pic:blipFill>
                          <a:blip r:embed="rId257" cstate="print"/>
                          <a:srcRect r="30769"/>
                          <a:stretch>
                            <a:fillRect/>
                          </a:stretch>
                        </pic:blipFill>
                        <pic:spPr bwMode="auto">
                          <a:xfrm>
                            <a:off x="0" y="0"/>
                            <a:ext cx="320040" cy="152400"/>
                          </a:xfrm>
                          <a:prstGeom prst="rect">
                            <a:avLst/>
                          </a:prstGeom>
                          <a:noFill/>
                          <a:ln w="9525">
                            <a:noFill/>
                            <a:miter lim="800000"/>
                            <a:headEnd/>
                            <a:tailEnd/>
                          </a:ln>
                        </pic:spPr>
                      </pic:pic>
                    </a:graphicData>
                  </a:graphic>
                </wp:inline>
              </w:drawing>
            </w:r>
          </w:p>
        </w:tc>
      </w:tr>
      <w:tr w:rsidR="00225952" w:rsidTr="00CB4748">
        <w:tc>
          <w:tcPr>
            <w:tcW w:w="3060" w:type="dxa"/>
            <w:vMerge/>
            <w:tcBorders>
              <w:right w:val="nil"/>
            </w:tcBorders>
          </w:tcPr>
          <w:p w:rsidR="00225952" w:rsidRPr="009E1CC7" w:rsidRDefault="00225952" w:rsidP="00225952">
            <w:pPr>
              <w:pStyle w:val="CheckA"/>
            </w:pPr>
          </w:p>
        </w:tc>
        <w:tc>
          <w:tcPr>
            <w:tcW w:w="6562" w:type="dxa"/>
            <w:tcBorders>
              <w:left w:val="nil"/>
              <w:right w:val="nil"/>
            </w:tcBorders>
          </w:tcPr>
          <w:p w:rsidR="00225952" w:rsidRPr="009E1CC7" w:rsidRDefault="00225952" w:rsidP="00AD2D7A">
            <w:pPr>
              <w:pStyle w:val="Check1"/>
              <w:numPr>
                <w:ilvl w:val="0"/>
                <w:numId w:val="47"/>
              </w:numPr>
              <w:ind w:left="342" w:hanging="342"/>
            </w:pPr>
            <w:r w:rsidRPr="009E1CC7">
              <w:t>Connectivity</w:t>
            </w:r>
          </w:p>
        </w:tc>
        <w:tc>
          <w:tcPr>
            <w:tcW w:w="854" w:type="dxa"/>
            <w:tcBorders>
              <w:left w:val="nil"/>
            </w:tcBorders>
            <w:vAlign w:val="center"/>
          </w:tcPr>
          <w:p w:rsidR="00225952" w:rsidRPr="00F415D5" w:rsidRDefault="00225952" w:rsidP="00225952">
            <w:pPr>
              <w:pStyle w:val="Check1"/>
              <w:jc w:val="center"/>
            </w:pPr>
            <w:r w:rsidRPr="00A03CA0">
              <w:rPr>
                <w:noProof/>
              </w:rPr>
              <w:drawing>
                <wp:inline distT="0" distB="0" distL="0" distR="0">
                  <wp:extent cx="320040" cy="152400"/>
                  <wp:effectExtent l="0" t="0" r="0" b="0"/>
                  <wp:docPr id="442" name="Picture 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diobuttons.png"/>
                          <pic:cNvPicPr>
                            <a:picLocks noChangeAspect="1" noChangeArrowheads="1"/>
                          </pic:cNvPicPr>
                        </pic:nvPicPr>
                        <pic:blipFill>
                          <a:blip r:embed="rId257" cstate="print"/>
                          <a:srcRect r="30769"/>
                          <a:stretch>
                            <a:fillRect/>
                          </a:stretch>
                        </pic:blipFill>
                        <pic:spPr bwMode="auto">
                          <a:xfrm>
                            <a:off x="0" y="0"/>
                            <a:ext cx="320040" cy="152400"/>
                          </a:xfrm>
                          <a:prstGeom prst="rect">
                            <a:avLst/>
                          </a:prstGeom>
                          <a:noFill/>
                          <a:ln w="9525">
                            <a:noFill/>
                            <a:miter lim="800000"/>
                            <a:headEnd/>
                            <a:tailEnd/>
                          </a:ln>
                        </pic:spPr>
                      </pic:pic>
                    </a:graphicData>
                  </a:graphic>
                </wp:inline>
              </w:drawing>
            </w:r>
          </w:p>
        </w:tc>
      </w:tr>
      <w:tr w:rsidR="00225952" w:rsidTr="00CB4748">
        <w:tc>
          <w:tcPr>
            <w:tcW w:w="3060" w:type="dxa"/>
            <w:vMerge/>
            <w:tcBorders>
              <w:right w:val="nil"/>
            </w:tcBorders>
          </w:tcPr>
          <w:p w:rsidR="00225952" w:rsidRPr="009E1CC7" w:rsidRDefault="00225952" w:rsidP="00225952">
            <w:pPr>
              <w:pStyle w:val="CheckA"/>
            </w:pPr>
          </w:p>
        </w:tc>
        <w:tc>
          <w:tcPr>
            <w:tcW w:w="6562" w:type="dxa"/>
            <w:tcBorders>
              <w:left w:val="nil"/>
              <w:right w:val="nil"/>
            </w:tcBorders>
          </w:tcPr>
          <w:p w:rsidR="00225952" w:rsidRPr="009E1CC7" w:rsidRDefault="00225952" w:rsidP="00AD2D7A">
            <w:pPr>
              <w:pStyle w:val="Check1"/>
              <w:numPr>
                <w:ilvl w:val="0"/>
                <w:numId w:val="47"/>
              </w:numPr>
              <w:ind w:left="342" w:hanging="342"/>
            </w:pPr>
            <w:r w:rsidRPr="009E1CC7">
              <w:t>Ridership</w:t>
            </w:r>
          </w:p>
        </w:tc>
        <w:tc>
          <w:tcPr>
            <w:tcW w:w="854" w:type="dxa"/>
            <w:tcBorders>
              <w:left w:val="nil"/>
            </w:tcBorders>
            <w:vAlign w:val="center"/>
          </w:tcPr>
          <w:p w:rsidR="00225952" w:rsidRPr="00F415D5" w:rsidRDefault="00225952" w:rsidP="00225952">
            <w:pPr>
              <w:pStyle w:val="Check1"/>
              <w:jc w:val="center"/>
            </w:pPr>
            <w:r w:rsidRPr="00A03CA0">
              <w:rPr>
                <w:noProof/>
              </w:rPr>
              <w:drawing>
                <wp:inline distT="0" distB="0" distL="0" distR="0">
                  <wp:extent cx="320040" cy="152400"/>
                  <wp:effectExtent l="0" t="0" r="0" b="0"/>
                  <wp:docPr id="443" name="Picture 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diobuttons.png"/>
                          <pic:cNvPicPr>
                            <a:picLocks noChangeAspect="1" noChangeArrowheads="1"/>
                          </pic:cNvPicPr>
                        </pic:nvPicPr>
                        <pic:blipFill>
                          <a:blip r:embed="rId257" cstate="print"/>
                          <a:srcRect r="30769"/>
                          <a:stretch>
                            <a:fillRect/>
                          </a:stretch>
                        </pic:blipFill>
                        <pic:spPr bwMode="auto">
                          <a:xfrm>
                            <a:off x="0" y="0"/>
                            <a:ext cx="320040" cy="152400"/>
                          </a:xfrm>
                          <a:prstGeom prst="rect">
                            <a:avLst/>
                          </a:prstGeom>
                          <a:noFill/>
                          <a:ln w="9525">
                            <a:noFill/>
                            <a:miter lim="800000"/>
                            <a:headEnd/>
                            <a:tailEnd/>
                          </a:ln>
                        </pic:spPr>
                      </pic:pic>
                    </a:graphicData>
                  </a:graphic>
                </wp:inline>
              </w:drawing>
            </w:r>
          </w:p>
        </w:tc>
      </w:tr>
      <w:tr w:rsidR="00225952" w:rsidTr="00CB4748">
        <w:tc>
          <w:tcPr>
            <w:tcW w:w="3060" w:type="dxa"/>
            <w:vMerge/>
            <w:tcBorders>
              <w:right w:val="nil"/>
            </w:tcBorders>
          </w:tcPr>
          <w:p w:rsidR="00225952" w:rsidRPr="009E1CC7" w:rsidRDefault="00225952" w:rsidP="00225952">
            <w:pPr>
              <w:pStyle w:val="CheckA"/>
            </w:pPr>
          </w:p>
        </w:tc>
        <w:tc>
          <w:tcPr>
            <w:tcW w:w="6562" w:type="dxa"/>
            <w:tcBorders>
              <w:left w:val="nil"/>
              <w:right w:val="nil"/>
            </w:tcBorders>
          </w:tcPr>
          <w:p w:rsidR="00225952" w:rsidRPr="009E1CC7" w:rsidRDefault="00225952" w:rsidP="00AD2D7A">
            <w:pPr>
              <w:pStyle w:val="Check1"/>
              <w:numPr>
                <w:ilvl w:val="0"/>
                <w:numId w:val="47"/>
              </w:numPr>
              <w:ind w:left="342" w:hanging="342"/>
            </w:pPr>
            <w:r>
              <w:t xml:space="preserve">Are </w:t>
            </w:r>
            <w:r w:rsidRPr="009E1CC7">
              <w:t>services limited to certain populations such as the elderly or disabled</w:t>
            </w:r>
          </w:p>
        </w:tc>
        <w:tc>
          <w:tcPr>
            <w:tcW w:w="854" w:type="dxa"/>
            <w:tcBorders>
              <w:left w:val="nil"/>
            </w:tcBorders>
            <w:vAlign w:val="center"/>
          </w:tcPr>
          <w:p w:rsidR="00225952" w:rsidRPr="00F415D5" w:rsidRDefault="00225952" w:rsidP="00225952">
            <w:pPr>
              <w:pStyle w:val="Check1"/>
              <w:jc w:val="center"/>
            </w:pPr>
            <w:r w:rsidRPr="00A03CA0">
              <w:rPr>
                <w:noProof/>
              </w:rPr>
              <w:drawing>
                <wp:inline distT="0" distB="0" distL="0" distR="0">
                  <wp:extent cx="320040" cy="152400"/>
                  <wp:effectExtent l="0" t="0" r="0" b="0"/>
                  <wp:docPr id="444" name="Picture 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diobuttons.png"/>
                          <pic:cNvPicPr>
                            <a:picLocks noChangeAspect="1" noChangeArrowheads="1"/>
                          </pic:cNvPicPr>
                        </pic:nvPicPr>
                        <pic:blipFill>
                          <a:blip r:embed="rId257" cstate="print"/>
                          <a:srcRect r="30769"/>
                          <a:stretch>
                            <a:fillRect/>
                          </a:stretch>
                        </pic:blipFill>
                        <pic:spPr bwMode="auto">
                          <a:xfrm>
                            <a:off x="0" y="0"/>
                            <a:ext cx="320040" cy="152400"/>
                          </a:xfrm>
                          <a:prstGeom prst="rect">
                            <a:avLst/>
                          </a:prstGeom>
                          <a:noFill/>
                          <a:ln w="9525">
                            <a:noFill/>
                            <a:miter lim="800000"/>
                            <a:headEnd/>
                            <a:tailEnd/>
                          </a:ln>
                        </pic:spPr>
                      </pic:pic>
                    </a:graphicData>
                  </a:graphic>
                </wp:inline>
              </w:drawing>
            </w:r>
          </w:p>
        </w:tc>
      </w:tr>
      <w:tr w:rsidR="00225952" w:rsidTr="00CB4748">
        <w:tc>
          <w:tcPr>
            <w:tcW w:w="3060" w:type="dxa"/>
            <w:vMerge w:val="restart"/>
            <w:tcBorders>
              <w:right w:val="nil"/>
            </w:tcBorders>
          </w:tcPr>
          <w:p w:rsidR="00225952" w:rsidRPr="00DC5E75" w:rsidRDefault="00225952" w:rsidP="00225952">
            <w:pPr>
              <w:pStyle w:val="CheckA"/>
              <w:rPr>
                <w:rFonts w:cs="Arial"/>
              </w:rPr>
            </w:pPr>
            <w:r>
              <w:t xml:space="preserve">C.  </w:t>
            </w:r>
            <w:r w:rsidRPr="009E1CC7">
              <w:t>Bus rapid transit</w:t>
            </w:r>
          </w:p>
        </w:tc>
        <w:tc>
          <w:tcPr>
            <w:tcW w:w="6562" w:type="dxa"/>
            <w:tcBorders>
              <w:left w:val="nil"/>
              <w:right w:val="nil"/>
            </w:tcBorders>
          </w:tcPr>
          <w:p w:rsidR="00225952" w:rsidRPr="009E1CC7" w:rsidRDefault="00225952" w:rsidP="00AD2D7A">
            <w:pPr>
              <w:pStyle w:val="Check1"/>
              <w:numPr>
                <w:ilvl w:val="0"/>
                <w:numId w:val="49"/>
              </w:numPr>
              <w:ind w:left="342" w:hanging="342"/>
            </w:pPr>
            <w:r w:rsidRPr="009E1CC7">
              <w:t xml:space="preserve">Availability </w:t>
            </w:r>
          </w:p>
        </w:tc>
        <w:tc>
          <w:tcPr>
            <w:tcW w:w="854" w:type="dxa"/>
            <w:tcBorders>
              <w:left w:val="nil"/>
            </w:tcBorders>
            <w:vAlign w:val="center"/>
          </w:tcPr>
          <w:p w:rsidR="00225952" w:rsidRPr="009E1CC7" w:rsidRDefault="00225952" w:rsidP="00225952">
            <w:pPr>
              <w:pStyle w:val="Check1"/>
              <w:jc w:val="center"/>
            </w:pPr>
            <w:r w:rsidRPr="00F415D5">
              <w:rPr>
                <w:noProof/>
              </w:rPr>
              <w:drawing>
                <wp:inline distT="0" distB="0" distL="0" distR="0">
                  <wp:extent cx="320040" cy="152400"/>
                  <wp:effectExtent l="0" t="0" r="0" b="0"/>
                  <wp:docPr id="223" name="Picture 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diobuttons.png"/>
                          <pic:cNvPicPr>
                            <a:picLocks noChangeAspect="1" noChangeArrowheads="1"/>
                          </pic:cNvPicPr>
                        </pic:nvPicPr>
                        <pic:blipFill>
                          <a:blip r:embed="rId257" cstate="print"/>
                          <a:srcRect r="30769"/>
                          <a:stretch>
                            <a:fillRect/>
                          </a:stretch>
                        </pic:blipFill>
                        <pic:spPr bwMode="auto">
                          <a:xfrm>
                            <a:off x="0" y="0"/>
                            <a:ext cx="320040" cy="152400"/>
                          </a:xfrm>
                          <a:prstGeom prst="rect">
                            <a:avLst/>
                          </a:prstGeom>
                          <a:noFill/>
                          <a:ln w="9525">
                            <a:noFill/>
                            <a:miter lim="800000"/>
                            <a:headEnd/>
                            <a:tailEnd/>
                          </a:ln>
                        </pic:spPr>
                      </pic:pic>
                    </a:graphicData>
                  </a:graphic>
                </wp:inline>
              </w:drawing>
            </w:r>
          </w:p>
        </w:tc>
      </w:tr>
      <w:tr w:rsidR="00225952" w:rsidTr="00CB4748">
        <w:tc>
          <w:tcPr>
            <w:tcW w:w="3060" w:type="dxa"/>
            <w:vMerge/>
            <w:tcBorders>
              <w:right w:val="nil"/>
            </w:tcBorders>
          </w:tcPr>
          <w:p w:rsidR="00225952" w:rsidRPr="009E1CC7" w:rsidRDefault="00225952" w:rsidP="00225952">
            <w:pPr>
              <w:pStyle w:val="CheckA"/>
            </w:pPr>
          </w:p>
        </w:tc>
        <w:tc>
          <w:tcPr>
            <w:tcW w:w="6562" w:type="dxa"/>
            <w:tcBorders>
              <w:left w:val="nil"/>
              <w:right w:val="nil"/>
            </w:tcBorders>
          </w:tcPr>
          <w:p w:rsidR="00225952" w:rsidRPr="009E1CC7" w:rsidRDefault="00225952" w:rsidP="00AD2D7A">
            <w:pPr>
              <w:pStyle w:val="Check1"/>
              <w:numPr>
                <w:ilvl w:val="0"/>
                <w:numId w:val="49"/>
              </w:numPr>
              <w:ind w:left="342" w:hanging="342"/>
            </w:pPr>
            <w:r w:rsidRPr="009E1CC7">
              <w:t>Location</w:t>
            </w:r>
          </w:p>
        </w:tc>
        <w:tc>
          <w:tcPr>
            <w:tcW w:w="854" w:type="dxa"/>
            <w:tcBorders>
              <w:left w:val="nil"/>
            </w:tcBorders>
            <w:vAlign w:val="center"/>
          </w:tcPr>
          <w:p w:rsidR="00225952" w:rsidRPr="00F415D5" w:rsidRDefault="00225952" w:rsidP="00225952">
            <w:pPr>
              <w:pStyle w:val="Check1"/>
              <w:jc w:val="center"/>
            </w:pPr>
            <w:r w:rsidRPr="00A03CA0">
              <w:rPr>
                <w:noProof/>
              </w:rPr>
              <w:drawing>
                <wp:inline distT="0" distB="0" distL="0" distR="0">
                  <wp:extent cx="320040" cy="152400"/>
                  <wp:effectExtent l="0" t="0" r="0" b="0"/>
                  <wp:docPr id="445" name="Picture 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diobuttons.png"/>
                          <pic:cNvPicPr>
                            <a:picLocks noChangeAspect="1" noChangeArrowheads="1"/>
                          </pic:cNvPicPr>
                        </pic:nvPicPr>
                        <pic:blipFill>
                          <a:blip r:embed="rId257" cstate="print"/>
                          <a:srcRect r="30769"/>
                          <a:stretch>
                            <a:fillRect/>
                          </a:stretch>
                        </pic:blipFill>
                        <pic:spPr bwMode="auto">
                          <a:xfrm>
                            <a:off x="0" y="0"/>
                            <a:ext cx="320040" cy="152400"/>
                          </a:xfrm>
                          <a:prstGeom prst="rect">
                            <a:avLst/>
                          </a:prstGeom>
                          <a:noFill/>
                          <a:ln w="9525">
                            <a:noFill/>
                            <a:miter lim="800000"/>
                            <a:headEnd/>
                            <a:tailEnd/>
                          </a:ln>
                        </pic:spPr>
                      </pic:pic>
                    </a:graphicData>
                  </a:graphic>
                </wp:inline>
              </w:drawing>
            </w:r>
          </w:p>
        </w:tc>
      </w:tr>
      <w:tr w:rsidR="00225952" w:rsidTr="00CB4748">
        <w:tc>
          <w:tcPr>
            <w:tcW w:w="3060" w:type="dxa"/>
            <w:vMerge/>
            <w:tcBorders>
              <w:right w:val="nil"/>
            </w:tcBorders>
          </w:tcPr>
          <w:p w:rsidR="00225952" w:rsidRPr="009E1CC7" w:rsidRDefault="00225952" w:rsidP="00225952">
            <w:pPr>
              <w:pStyle w:val="CheckA"/>
            </w:pPr>
          </w:p>
        </w:tc>
        <w:tc>
          <w:tcPr>
            <w:tcW w:w="6562" w:type="dxa"/>
            <w:tcBorders>
              <w:left w:val="nil"/>
              <w:right w:val="nil"/>
            </w:tcBorders>
          </w:tcPr>
          <w:p w:rsidR="00225952" w:rsidRPr="009E1CC7" w:rsidRDefault="00225952" w:rsidP="00AD2D7A">
            <w:pPr>
              <w:pStyle w:val="Check1"/>
              <w:numPr>
                <w:ilvl w:val="0"/>
                <w:numId w:val="49"/>
              </w:numPr>
              <w:ind w:left="342" w:hanging="342"/>
            </w:pPr>
            <w:r w:rsidRPr="009E1CC7">
              <w:t>Level of service</w:t>
            </w:r>
          </w:p>
        </w:tc>
        <w:tc>
          <w:tcPr>
            <w:tcW w:w="854" w:type="dxa"/>
            <w:tcBorders>
              <w:left w:val="nil"/>
            </w:tcBorders>
            <w:vAlign w:val="center"/>
          </w:tcPr>
          <w:p w:rsidR="00225952" w:rsidRPr="00F415D5" w:rsidRDefault="00225952" w:rsidP="00225952">
            <w:pPr>
              <w:pStyle w:val="Check1"/>
              <w:jc w:val="center"/>
            </w:pPr>
            <w:r w:rsidRPr="00A03CA0">
              <w:rPr>
                <w:noProof/>
              </w:rPr>
              <w:drawing>
                <wp:inline distT="0" distB="0" distL="0" distR="0">
                  <wp:extent cx="320040" cy="152400"/>
                  <wp:effectExtent l="0" t="0" r="0" b="0"/>
                  <wp:docPr id="446" name="Picture 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diobuttons.png"/>
                          <pic:cNvPicPr>
                            <a:picLocks noChangeAspect="1" noChangeArrowheads="1"/>
                          </pic:cNvPicPr>
                        </pic:nvPicPr>
                        <pic:blipFill>
                          <a:blip r:embed="rId257" cstate="print"/>
                          <a:srcRect r="30769"/>
                          <a:stretch>
                            <a:fillRect/>
                          </a:stretch>
                        </pic:blipFill>
                        <pic:spPr bwMode="auto">
                          <a:xfrm>
                            <a:off x="0" y="0"/>
                            <a:ext cx="320040" cy="152400"/>
                          </a:xfrm>
                          <a:prstGeom prst="rect">
                            <a:avLst/>
                          </a:prstGeom>
                          <a:noFill/>
                          <a:ln w="9525">
                            <a:noFill/>
                            <a:miter lim="800000"/>
                            <a:headEnd/>
                            <a:tailEnd/>
                          </a:ln>
                        </pic:spPr>
                      </pic:pic>
                    </a:graphicData>
                  </a:graphic>
                </wp:inline>
              </w:drawing>
            </w:r>
          </w:p>
        </w:tc>
      </w:tr>
      <w:tr w:rsidR="00225952" w:rsidTr="00CB4748">
        <w:tc>
          <w:tcPr>
            <w:tcW w:w="3060" w:type="dxa"/>
            <w:vMerge/>
            <w:tcBorders>
              <w:right w:val="nil"/>
            </w:tcBorders>
          </w:tcPr>
          <w:p w:rsidR="00225952" w:rsidRPr="009E1CC7" w:rsidRDefault="00225952" w:rsidP="00225952">
            <w:pPr>
              <w:pStyle w:val="CheckA"/>
            </w:pPr>
          </w:p>
        </w:tc>
        <w:tc>
          <w:tcPr>
            <w:tcW w:w="6562" w:type="dxa"/>
            <w:tcBorders>
              <w:left w:val="nil"/>
              <w:right w:val="nil"/>
            </w:tcBorders>
          </w:tcPr>
          <w:p w:rsidR="00225952" w:rsidRPr="009E1CC7" w:rsidRDefault="00225952" w:rsidP="00AD2D7A">
            <w:pPr>
              <w:pStyle w:val="Check1"/>
              <w:numPr>
                <w:ilvl w:val="0"/>
                <w:numId w:val="49"/>
              </w:numPr>
              <w:ind w:left="342" w:hanging="342"/>
            </w:pPr>
            <w:r w:rsidRPr="009E1CC7">
              <w:t>Ridership</w:t>
            </w:r>
          </w:p>
        </w:tc>
        <w:tc>
          <w:tcPr>
            <w:tcW w:w="854" w:type="dxa"/>
            <w:tcBorders>
              <w:left w:val="nil"/>
            </w:tcBorders>
            <w:vAlign w:val="center"/>
          </w:tcPr>
          <w:p w:rsidR="00225952" w:rsidRPr="00F415D5" w:rsidRDefault="00225952" w:rsidP="00225952">
            <w:pPr>
              <w:pStyle w:val="Check1"/>
              <w:jc w:val="center"/>
            </w:pPr>
            <w:r w:rsidRPr="00A03CA0">
              <w:rPr>
                <w:noProof/>
              </w:rPr>
              <w:drawing>
                <wp:inline distT="0" distB="0" distL="0" distR="0">
                  <wp:extent cx="320040" cy="152400"/>
                  <wp:effectExtent l="0" t="0" r="0" b="0"/>
                  <wp:docPr id="447" name="Picture 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diobuttons.png"/>
                          <pic:cNvPicPr>
                            <a:picLocks noChangeAspect="1" noChangeArrowheads="1"/>
                          </pic:cNvPicPr>
                        </pic:nvPicPr>
                        <pic:blipFill>
                          <a:blip r:embed="rId257" cstate="print"/>
                          <a:srcRect r="30769"/>
                          <a:stretch>
                            <a:fillRect/>
                          </a:stretch>
                        </pic:blipFill>
                        <pic:spPr bwMode="auto">
                          <a:xfrm>
                            <a:off x="0" y="0"/>
                            <a:ext cx="320040" cy="152400"/>
                          </a:xfrm>
                          <a:prstGeom prst="rect">
                            <a:avLst/>
                          </a:prstGeom>
                          <a:noFill/>
                          <a:ln w="9525">
                            <a:noFill/>
                            <a:miter lim="800000"/>
                            <a:headEnd/>
                            <a:tailEnd/>
                          </a:ln>
                        </pic:spPr>
                      </pic:pic>
                    </a:graphicData>
                  </a:graphic>
                </wp:inline>
              </w:drawing>
            </w:r>
          </w:p>
        </w:tc>
      </w:tr>
      <w:tr w:rsidR="00225952" w:rsidTr="00CB4748">
        <w:tc>
          <w:tcPr>
            <w:tcW w:w="3060" w:type="dxa"/>
            <w:vMerge w:val="restart"/>
            <w:tcBorders>
              <w:right w:val="nil"/>
            </w:tcBorders>
          </w:tcPr>
          <w:p w:rsidR="00225952" w:rsidRPr="00DC5E75" w:rsidRDefault="00225952" w:rsidP="00225952">
            <w:pPr>
              <w:pStyle w:val="CheckA"/>
              <w:rPr>
                <w:rFonts w:cs="Arial"/>
              </w:rPr>
            </w:pPr>
            <w:r>
              <w:t xml:space="preserve">D.  </w:t>
            </w:r>
            <w:r w:rsidRPr="009E1CC7">
              <w:t>Multi-use trails, local and regional (off-road)</w:t>
            </w:r>
          </w:p>
        </w:tc>
        <w:tc>
          <w:tcPr>
            <w:tcW w:w="6562" w:type="dxa"/>
            <w:tcBorders>
              <w:left w:val="nil"/>
              <w:right w:val="nil"/>
            </w:tcBorders>
          </w:tcPr>
          <w:p w:rsidR="00225952" w:rsidRPr="009E1CC7" w:rsidRDefault="00225952" w:rsidP="00AD2D7A">
            <w:pPr>
              <w:pStyle w:val="Check1"/>
              <w:numPr>
                <w:ilvl w:val="0"/>
                <w:numId w:val="50"/>
              </w:numPr>
              <w:ind w:left="342" w:hanging="342"/>
            </w:pPr>
            <w:r w:rsidRPr="009E1CC7">
              <w:t xml:space="preserve">Availability </w:t>
            </w:r>
          </w:p>
        </w:tc>
        <w:tc>
          <w:tcPr>
            <w:tcW w:w="854" w:type="dxa"/>
            <w:tcBorders>
              <w:left w:val="nil"/>
            </w:tcBorders>
            <w:vAlign w:val="center"/>
          </w:tcPr>
          <w:p w:rsidR="00225952" w:rsidRPr="009E1CC7" w:rsidRDefault="00225952" w:rsidP="00225952">
            <w:pPr>
              <w:pStyle w:val="Check1"/>
              <w:jc w:val="center"/>
            </w:pPr>
            <w:r w:rsidRPr="00F415D5">
              <w:rPr>
                <w:noProof/>
              </w:rPr>
              <w:drawing>
                <wp:inline distT="0" distB="0" distL="0" distR="0">
                  <wp:extent cx="320040" cy="152400"/>
                  <wp:effectExtent l="0" t="0" r="0" b="0"/>
                  <wp:docPr id="416" name="Picture 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diobuttons.png"/>
                          <pic:cNvPicPr>
                            <a:picLocks noChangeAspect="1" noChangeArrowheads="1"/>
                          </pic:cNvPicPr>
                        </pic:nvPicPr>
                        <pic:blipFill>
                          <a:blip r:embed="rId257" cstate="print"/>
                          <a:srcRect r="30769"/>
                          <a:stretch>
                            <a:fillRect/>
                          </a:stretch>
                        </pic:blipFill>
                        <pic:spPr bwMode="auto">
                          <a:xfrm>
                            <a:off x="0" y="0"/>
                            <a:ext cx="320040" cy="152400"/>
                          </a:xfrm>
                          <a:prstGeom prst="rect">
                            <a:avLst/>
                          </a:prstGeom>
                          <a:noFill/>
                          <a:ln w="9525">
                            <a:noFill/>
                            <a:miter lim="800000"/>
                            <a:headEnd/>
                            <a:tailEnd/>
                          </a:ln>
                        </pic:spPr>
                      </pic:pic>
                    </a:graphicData>
                  </a:graphic>
                </wp:inline>
              </w:drawing>
            </w:r>
          </w:p>
        </w:tc>
      </w:tr>
      <w:tr w:rsidR="00225952" w:rsidTr="00CB4748">
        <w:tc>
          <w:tcPr>
            <w:tcW w:w="3060" w:type="dxa"/>
            <w:vMerge/>
            <w:tcBorders>
              <w:right w:val="nil"/>
            </w:tcBorders>
          </w:tcPr>
          <w:p w:rsidR="00225952" w:rsidRPr="009E1CC7" w:rsidRDefault="00225952" w:rsidP="00225952">
            <w:pPr>
              <w:pStyle w:val="CheckA"/>
            </w:pPr>
          </w:p>
        </w:tc>
        <w:tc>
          <w:tcPr>
            <w:tcW w:w="6562" w:type="dxa"/>
            <w:tcBorders>
              <w:left w:val="nil"/>
              <w:right w:val="nil"/>
            </w:tcBorders>
          </w:tcPr>
          <w:p w:rsidR="00225952" w:rsidRPr="009E1CC7" w:rsidRDefault="00225952" w:rsidP="00AD2D7A">
            <w:pPr>
              <w:pStyle w:val="Check1"/>
              <w:numPr>
                <w:ilvl w:val="0"/>
                <w:numId w:val="50"/>
              </w:numPr>
              <w:ind w:left="342" w:hanging="342"/>
            </w:pPr>
            <w:r w:rsidRPr="009E1CC7">
              <w:t>Location</w:t>
            </w:r>
          </w:p>
        </w:tc>
        <w:tc>
          <w:tcPr>
            <w:tcW w:w="854" w:type="dxa"/>
            <w:tcBorders>
              <w:left w:val="nil"/>
            </w:tcBorders>
            <w:vAlign w:val="center"/>
          </w:tcPr>
          <w:p w:rsidR="00225952" w:rsidRPr="009E1CC7" w:rsidRDefault="00225952" w:rsidP="00225952">
            <w:pPr>
              <w:pStyle w:val="Check1"/>
              <w:jc w:val="center"/>
            </w:pPr>
            <w:r w:rsidRPr="00F415D5">
              <w:rPr>
                <w:noProof/>
              </w:rPr>
              <w:drawing>
                <wp:inline distT="0" distB="0" distL="0" distR="0">
                  <wp:extent cx="320040" cy="152400"/>
                  <wp:effectExtent l="0" t="0" r="0" b="0"/>
                  <wp:docPr id="417" name="Picture 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diobuttons.png"/>
                          <pic:cNvPicPr>
                            <a:picLocks noChangeAspect="1" noChangeArrowheads="1"/>
                          </pic:cNvPicPr>
                        </pic:nvPicPr>
                        <pic:blipFill>
                          <a:blip r:embed="rId257" cstate="print"/>
                          <a:srcRect r="30769"/>
                          <a:stretch>
                            <a:fillRect/>
                          </a:stretch>
                        </pic:blipFill>
                        <pic:spPr bwMode="auto">
                          <a:xfrm>
                            <a:off x="0" y="0"/>
                            <a:ext cx="320040" cy="152400"/>
                          </a:xfrm>
                          <a:prstGeom prst="rect">
                            <a:avLst/>
                          </a:prstGeom>
                          <a:noFill/>
                          <a:ln w="9525">
                            <a:noFill/>
                            <a:miter lim="800000"/>
                            <a:headEnd/>
                            <a:tailEnd/>
                          </a:ln>
                        </pic:spPr>
                      </pic:pic>
                    </a:graphicData>
                  </a:graphic>
                </wp:inline>
              </w:drawing>
            </w:r>
          </w:p>
        </w:tc>
      </w:tr>
      <w:tr w:rsidR="00225952" w:rsidTr="00CB4748">
        <w:tc>
          <w:tcPr>
            <w:tcW w:w="3060" w:type="dxa"/>
            <w:vMerge/>
            <w:tcBorders>
              <w:right w:val="nil"/>
            </w:tcBorders>
          </w:tcPr>
          <w:p w:rsidR="00225952" w:rsidRPr="009E1CC7" w:rsidRDefault="00225952" w:rsidP="00225952">
            <w:pPr>
              <w:pStyle w:val="CheckA"/>
            </w:pPr>
          </w:p>
        </w:tc>
        <w:tc>
          <w:tcPr>
            <w:tcW w:w="6562" w:type="dxa"/>
            <w:tcBorders>
              <w:left w:val="nil"/>
              <w:right w:val="nil"/>
            </w:tcBorders>
          </w:tcPr>
          <w:p w:rsidR="00225952" w:rsidRPr="009E1CC7" w:rsidRDefault="00225952" w:rsidP="00AD2D7A">
            <w:pPr>
              <w:pStyle w:val="Check1"/>
              <w:numPr>
                <w:ilvl w:val="0"/>
                <w:numId w:val="50"/>
              </w:numPr>
              <w:ind w:left="342" w:hanging="342"/>
            </w:pPr>
            <w:r w:rsidRPr="009E1CC7">
              <w:t>Standard of facility design</w:t>
            </w:r>
          </w:p>
        </w:tc>
        <w:tc>
          <w:tcPr>
            <w:tcW w:w="854" w:type="dxa"/>
            <w:tcBorders>
              <w:left w:val="nil"/>
            </w:tcBorders>
            <w:vAlign w:val="center"/>
          </w:tcPr>
          <w:p w:rsidR="00225952" w:rsidRPr="009E1CC7" w:rsidRDefault="00225952" w:rsidP="00225952">
            <w:pPr>
              <w:pStyle w:val="Check1"/>
              <w:jc w:val="center"/>
            </w:pPr>
            <w:r w:rsidRPr="00F415D5">
              <w:rPr>
                <w:noProof/>
              </w:rPr>
              <w:drawing>
                <wp:inline distT="0" distB="0" distL="0" distR="0">
                  <wp:extent cx="320040" cy="152400"/>
                  <wp:effectExtent l="0" t="0" r="0" b="0"/>
                  <wp:docPr id="418" name="Picture 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diobuttons.png"/>
                          <pic:cNvPicPr>
                            <a:picLocks noChangeAspect="1" noChangeArrowheads="1"/>
                          </pic:cNvPicPr>
                        </pic:nvPicPr>
                        <pic:blipFill>
                          <a:blip r:embed="rId257" cstate="print"/>
                          <a:srcRect r="30769"/>
                          <a:stretch>
                            <a:fillRect/>
                          </a:stretch>
                        </pic:blipFill>
                        <pic:spPr bwMode="auto">
                          <a:xfrm>
                            <a:off x="0" y="0"/>
                            <a:ext cx="320040" cy="152400"/>
                          </a:xfrm>
                          <a:prstGeom prst="rect">
                            <a:avLst/>
                          </a:prstGeom>
                          <a:noFill/>
                          <a:ln w="9525">
                            <a:noFill/>
                            <a:miter lim="800000"/>
                            <a:headEnd/>
                            <a:tailEnd/>
                          </a:ln>
                        </pic:spPr>
                      </pic:pic>
                    </a:graphicData>
                  </a:graphic>
                </wp:inline>
              </w:drawing>
            </w:r>
          </w:p>
        </w:tc>
      </w:tr>
      <w:tr w:rsidR="00225952" w:rsidTr="00CB4748">
        <w:tc>
          <w:tcPr>
            <w:tcW w:w="3060" w:type="dxa"/>
            <w:vMerge/>
            <w:tcBorders>
              <w:right w:val="nil"/>
            </w:tcBorders>
          </w:tcPr>
          <w:p w:rsidR="00225952" w:rsidRPr="009E1CC7" w:rsidRDefault="00225952" w:rsidP="00225952">
            <w:pPr>
              <w:pStyle w:val="CheckA"/>
            </w:pPr>
          </w:p>
        </w:tc>
        <w:tc>
          <w:tcPr>
            <w:tcW w:w="6562" w:type="dxa"/>
            <w:tcBorders>
              <w:left w:val="nil"/>
              <w:right w:val="nil"/>
            </w:tcBorders>
          </w:tcPr>
          <w:p w:rsidR="00225952" w:rsidRPr="009E1CC7" w:rsidRDefault="00225952" w:rsidP="00AD2D7A">
            <w:pPr>
              <w:pStyle w:val="Check1"/>
              <w:numPr>
                <w:ilvl w:val="0"/>
                <w:numId w:val="50"/>
              </w:numPr>
              <w:ind w:left="342" w:hanging="342"/>
            </w:pPr>
            <w:r w:rsidRPr="009E1CC7">
              <w:t>LOS, connectivity</w:t>
            </w:r>
          </w:p>
        </w:tc>
        <w:tc>
          <w:tcPr>
            <w:tcW w:w="854" w:type="dxa"/>
            <w:tcBorders>
              <w:left w:val="nil"/>
            </w:tcBorders>
            <w:vAlign w:val="center"/>
          </w:tcPr>
          <w:p w:rsidR="00225952" w:rsidRPr="009E1CC7" w:rsidRDefault="00225952" w:rsidP="00225952">
            <w:pPr>
              <w:pStyle w:val="Check1"/>
              <w:jc w:val="center"/>
            </w:pPr>
            <w:r w:rsidRPr="00F415D5">
              <w:rPr>
                <w:noProof/>
              </w:rPr>
              <w:drawing>
                <wp:inline distT="0" distB="0" distL="0" distR="0">
                  <wp:extent cx="320040" cy="152400"/>
                  <wp:effectExtent l="0" t="0" r="0" b="0"/>
                  <wp:docPr id="419" name="Picture 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diobuttons.png"/>
                          <pic:cNvPicPr>
                            <a:picLocks noChangeAspect="1" noChangeArrowheads="1"/>
                          </pic:cNvPicPr>
                        </pic:nvPicPr>
                        <pic:blipFill>
                          <a:blip r:embed="rId257" cstate="print"/>
                          <a:srcRect r="30769"/>
                          <a:stretch>
                            <a:fillRect/>
                          </a:stretch>
                        </pic:blipFill>
                        <pic:spPr bwMode="auto">
                          <a:xfrm>
                            <a:off x="0" y="0"/>
                            <a:ext cx="320040" cy="152400"/>
                          </a:xfrm>
                          <a:prstGeom prst="rect">
                            <a:avLst/>
                          </a:prstGeom>
                          <a:noFill/>
                          <a:ln w="9525">
                            <a:noFill/>
                            <a:miter lim="800000"/>
                            <a:headEnd/>
                            <a:tailEnd/>
                          </a:ln>
                        </pic:spPr>
                      </pic:pic>
                    </a:graphicData>
                  </a:graphic>
                </wp:inline>
              </w:drawing>
            </w:r>
          </w:p>
        </w:tc>
      </w:tr>
      <w:tr w:rsidR="00225952" w:rsidTr="00CB4748">
        <w:tc>
          <w:tcPr>
            <w:tcW w:w="3060" w:type="dxa"/>
            <w:vMerge/>
            <w:tcBorders>
              <w:right w:val="nil"/>
            </w:tcBorders>
          </w:tcPr>
          <w:p w:rsidR="00225952" w:rsidRPr="009E1CC7" w:rsidRDefault="00225952" w:rsidP="00225952">
            <w:pPr>
              <w:pStyle w:val="CheckA"/>
            </w:pPr>
          </w:p>
        </w:tc>
        <w:tc>
          <w:tcPr>
            <w:tcW w:w="6562" w:type="dxa"/>
            <w:tcBorders>
              <w:left w:val="nil"/>
              <w:right w:val="nil"/>
            </w:tcBorders>
          </w:tcPr>
          <w:p w:rsidR="00225952" w:rsidRPr="009E1CC7" w:rsidRDefault="00225952" w:rsidP="00AD2D7A">
            <w:pPr>
              <w:pStyle w:val="Check1"/>
              <w:numPr>
                <w:ilvl w:val="0"/>
                <w:numId w:val="50"/>
              </w:numPr>
              <w:ind w:left="342" w:hanging="342"/>
            </w:pPr>
            <w:r w:rsidRPr="009E1CC7">
              <w:t>Parking locations</w:t>
            </w:r>
          </w:p>
        </w:tc>
        <w:tc>
          <w:tcPr>
            <w:tcW w:w="854" w:type="dxa"/>
            <w:tcBorders>
              <w:left w:val="nil"/>
            </w:tcBorders>
            <w:vAlign w:val="center"/>
          </w:tcPr>
          <w:p w:rsidR="00225952" w:rsidRPr="009E1CC7" w:rsidRDefault="00225952" w:rsidP="00225952">
            <w:pPr>
              <w:pStyle w:val="Check1"/>
              <w:jc w:val="center"/>
            </w:pPr>
            <w:r w:rsidRPr="00F415D5">
              <w:rPr>
                <w:noProof/>
              </w:rPr>
              <w:drawing>
                <wp:inline distT="0" distB="0" distL="0" distR="0">
                  <wp:extent cx="320040" cy="152400"/>
                  <wp:effectExtent l="0" t="0" r="0" b="0"/>
                  <wp:docPr id="420" name="Picture 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diobuttons.png"/>
                          <pic:cNvPicPr>
                            <a:picLocks noChangeAspect="1" noChangeArrowheads="1"/>
                          </pic:cNvPicPr>
                        </pic:nvPicPr>
                        <pic:blipFill>
                          <a:blip r:embed="rId257" cstate="print"/>
                          <a:srcRect r="30769"/>
                          <a:stretch>
                            <a:fillRect/>
                          </a:stretch>
                        </pic:blipFill>
                        <pic:spPr bwMode="auto">
                          <a:xfrm>
                            <a:off x="0" y="0"/>
                            <a:ext cx="320040" cy="152400"/>
                          </a:xfrm>
                          <a:prstGeom prst="rect">
                            <a:avLst/>
                          </a:prstGeom>
                          <a:noFill/>
                          <a:ln w="9525">
                            <a:noFill/>
                            <a:miter lim="800000"/>
                            <a:headEnd/>
                            <a:tailEnd/>
                          </a:ln>
                        </pic:spPr>
                      </pic:pic>
                    </a:graphicData>
                  </a:graphic>
                </wp:inline>
              </w:drawing>
            </w:r>
          </w:p>
        </w:tc>
      </w:tr>
      <w:tr w:rsidR="00225952" w:rsidTr="00CB4748">
        <w:tc>
          <w:tcPr>
            <w:tcW w:w="3060" w:type="dxa"/>
            <w:vMerge/>
            <w:tcBorders>
              <w:right w:val="nil"/>
            </w:tcBorders>
          </w:tcPr>
          <w:p w:rsidR="00225952" w:rsidRPr="00DC5E75" w:rsidRDefault="00225952" w:rsidP="00225952">
            <w:pPr>
              <w:pStyle w:val="CheckA"/>
              <w:rPr>
                <w:rFonts w:cs="Arial"/>
              </w:rPr>
            </w:pPr>
          </w:p>
        </w:tc>
        <w:tc>
          <w:tcPr>
            <w:tcW w:w="6562" w:type="dxa"/>
            <w:tcBorders>
              <w:left w:val="nil"/>
              <w:right w:val="nil"/>
            </w:tcBorders>
          </w:tcPr>
          <w:p w:rsidR="00225952" w:rsidRPr="009E1CC7" w:rsidRDefault="00225952" w:rsidP="00AD2D7A">
            <w:pPr>
              <w:pStyle w:val="Check1"/>
              <w:numPr>
                <w:ilvl w:val="0"/>
                <w:numId w:val="50"/>
              </w:numPr>
              <w:ind w:left="342" w:hanging="342"/>
            </w:pPr>
            <w:r w:rsidRPr="009E1CC7">
              <w:t>Usage</w:t>
            </w:r>
          </w:p>
        </w:tc>
        <w:tc>
          <w:tcPr>
            <w:tcW w:w="854" w:type="dxa"/>
            <w:tcBorders>
              <w:left w:val="nil"/>
            </w:tcBorders>
            <w:vAlign w:val="center"/>
          </w:tcPr>
          <w:p w:rsidR="00225952" w:rsidRPr="009E1CC7" w:rsidRDefault="00225952" w:rsidP="00225952">
            <w:pPr>
              <w:pStyle w:val="Check1"/>
              <w:jc w:val="center"/>
            </w:pPr>
            <w:r w:rsidRPr="00F415D5">
              <w:rPr>
                <w:noProof/>
              </w:rPr>
              <w:drawing>
                <wp:inline distT="0" distB="0" distL="0" distR="0">
                  <wp:extent cx="320040" cy="152400"/>
                  <wp:effectExtent l="0" t="0" r="0" b="0"/>
                  <wp:docPr id="421" name="Picture 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diobuttons.png"/>
                          <pic:cNvPicPr>
                            <a:picLocks noChangeAspect="1" noChangeArrowheads="1"/>
                          </pic:cNvPicPr>
                        </pic:nvPicPr>
                        <pic:blipFill>
                          <a:blip r:embed="rId257" cstate="print"/>
                          <a:srcRect r="30769"/>
                          <a:stretch>
                            <a:fillRect/>
                          </a:stretch>
                        </pic:blipFill>
                        <pic:spPr bwMode="auto">
                          <a:xfrm>
                            <a:off x="0" y="0"/>
                            <a:ext cx="320040" cy="152400"/>
                          </a:xfrm>
                          <a:prstGeom prst="rect">
                            <a:avLst/>
                          </a:prstGeom>
                          <a:noFill/>
                          <a:ln w="9525">
                            <a:noFill/>
                            <a:miter lim="800000"/>
                            <a:headEnd/>
                            <a:tailEnd/>
                          </a:ln>
                        </pic:spPr>
                      </pic:pic>
                    </a:graphicData>
                  </a:graphic>
                </wp:inline>
              </w:drawing>
            </w:r>
          </w:p>
        </w:tc>
      </w:tr>
      <w:tr w:rsidR="00225952" w:rsidTr="00CB4748">
        <w:tc>
          <w:tcPr>
            <w:tcW w:w="3060" w:type="dxa"/>
            <w:vMerge w:val="restart"/>
            <w:tcBorders>
              <w:right w:val="nil"/>
            </w:tcBorders>
          </w:tcPr>
          <w:p w:rsidR="00225952" w:rsidRPr="00DC5E75" w:rsidRDefault="00225952" w:rsidP="00225952">
            <w:pPr>
              <w:pStyle w:val="CheckA"/>
              <w:rPr>
                <w:rFonts w:cs="Arial"/>
              </w:rPr>
            </w:pPr>
            <w:r>
              <w:t xml:space="preserve">E.  </w:t>
            </w:r>
            <w:r w:rsidRPr="009E1CC7">
              <w:t>Bicycle lanes (on-road)</w:t>
            </w:r>
          </w:p>
        </w:tc>
        <w:tc>
          <w:tcPr>
            <w:tcW w:w="6562" w:type="dxa"/>
            <w:tcBorders>
              <w:left w:val="nil"/>
              <w:right w:val="nil"/>
            </w:tcBorders>
          </w:tcPr>
          <w:p w:rsidR="00225952" w:rsidRPr="009E1CC7" w:rsidRDefault="00225952" w:rsidP="00AD2D7A">
            <w:pPr>
              <w:pStyle w:val="Check1"/>
              <w:numPr>
                <w:ilvl w:val="0"/>
                <w:numId w:val="51"/>
              </w:numPr>
              <w:ind w:left="342" w:hanging="342"/>
            </w:pPr>
            <w:r w:rsidRPr="009E1CC7">
              <w:t>Availability</w:t>
            </w:r>
          </w:p>
        </w:tc>
        <w:tc>
          <w:tcPr>
            <w:tcW w:w="854" w:type="dxa"/>
            <w:tcBorders>
              <w:left w:val="nil"/>
            </w:tcBorders>
            <w:vAlign w:val="center"/>
          </w:tcPr>
          <w:p w:rsidR="00225952" w:rsidRPr="009E1CC7" w:rsidRDefault="00225952" w:rsidP="00225952">
            <w:pPr>
              <w:pStyle w:val="Check1"/>
              <w:jc w:val="center"/>
            </w:pPr>
            <w:r w:rsidRPr="00F415D5">
              <w:rPr>
                <w:noProof/>
              </w:rPr>
              <w:drawing>
                <wp:inline distT="0" distB="0" distL="0" distR="0">
                  <wp:extent cx="320040" cy="152400"/>
                  <wp:effectExtent l="0" t="0" r="0" b="0"/>
                  <wp:docPr id="422" name="Picture 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diobuttons.png"/>
                          <pic:cNvPicPr>
                            <a:picLocks noChangeAspect="1" noChangeArrowheads="1"/>
                          </pic:cNvPicPr>
                        </pic:nvPicPr>
                        <pic:blipFill>
                          <a:blip r:embed="rId257" cstate="print"/>
                          <a:srcRect r="30769"/>
                          <a:stretch>
                            <a:fillRect/>
                          </a:stretch>
                        </pic:blipFill>
                        <pic:spPr bwMode="auto">
                          <a:xfrm>
                            <a:off x="0" y="0"/>
                            <a:ext cx="320040" cy="152400"/>
                          </a:xfrm>
                          <a:prstGeom prst="rect">
                            <a:avLst/>
                          </a:prstGeom>
                          <a:noFill/>
                          <a:ln w="9525">
                            <a:noFill/>
                            <a:miter lim="800000"/>
                            <a:headEnd/>
                            <a:tailEnd/>
                          </a:ln>
                        </pic:spPr>
                      </pic:pic>
                    </a:graphicData>
                  </a:graphic>
                </wp:inline>
              </w:drawing>
            </w:r>
          </w:p>
        </w:tc>
      </w:tr>
      <w:tr w:rsidR="00225952" w:rsidTr="00CB4748">
        <w:tc>
          <w:tcPr>
            <w:tcW w:w="3060" w:type="dxa"/>
            <w:vMerge/>
            <w:tcBorders>
              <w:right w:val="nil"/>
            </w:tcBorders>
          </w:tcPr>
          <w:p w:rsidR="00225952" w:rsidRPr="00DC5E75" w:rsidRDefault="00225952" w:rsidP="00225952">
            <w:pPr>
              <w:pStyle w:val="CheckA"/>
              <w:rPr>
                <w:rFonts w:cs="Arial"/>
              </w:rPr>
            </w:pPr>
          </w:p>
        </w:tc>
        <w:tc>
          <w:tcPr>
            <w:tcW w:w="6562" w:type="dxa"/>
            <w:tcBorders>
              <w:left w:val="nil"/>
              <w:right w:val="nil"/>
            </w:tcBorders>
          </w:tcPr>
          <w:p w:rsidR="00225952" w:rsidRPr="009E1CC7" w:rsidRDefault="00225952" w:rsidP="00AD2D7A">
            <w:pPr>
              <w:pStyle w:val="Check1"/>
              <w:numPr>
                <w:ilvl w:val="0"/>
                <w:numId w:val="51"/>
              </w:numPr>
              <w:ind w:left="342" w:hanging="342"/>
            </w:pPr>
            <w:r w:rsidRPr="009E1CC7">
              <w:t>Location</w:t>
            </w:r>
          </w:p>
        </w:tc>
        <w:tc>
          <w:tcPr>
            <w:tcW w:w="854" w:type="dxa"/>
            <w:tcBorders>
              <w:left w:val="nil"/>
            </w:tcBorders>
            <w:vAlign w:val="center"/>
          </w:tcPr>
          <w:p w:rsidR="00225952" w:rsidRPr="009E1CC7" w:rsidRDefault="00225952" w:rsidP="00225952">
            <w:pPr>
              <w:pStyle w:val="Check1"/>
              <w:jc w:val="center"/>
            </w:pPr>
            <w:r w:rsidRPr="00F415D5">
              <w:rPr>
                <w:noProof/>
              </w:rPr>
              <w:drawing>
                <wp:inline distT="0" distB="0" distL="0" distR="0">
                  <wp:extent cx="320040" cy="152400"/>
                  <wp:effectExtent l="0" t="0" r="0" b="0"/>
                  <wp:docPr id="423" name="Picture 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diobuttons.png"/>
                          <pic:cNvPicPr>
                            <a:picLocks noChangeAspect="1" noChangeArrowheads="1"/>
                          </pic:cNvPicPr>
                        </pic:nvPicPr>
                        <pic:blipFill>
                          <a:blip r:embed="rId257" cstate="print"/>
                          <a:srcRect r="30769"/>
                          <a:stretch>
                            <a:fillRect/>
                          </a:stretch>
                        </pic:blipFill>
                        <pic:spPr bwMode="auto">
                          <a:xfrm>
                            <a:off x="0" y="0"/>
                            <a:ext cx="320040" cy="152400"/>
                          </a:xfrm>
                          <a:prstGeom prst="rect">
                            <a:avLst/>
                          </a:prstGeom>
                          <a:noFill/>
                          <a:ln w="9525">
                            <a:noFill/>
                            <a:miter lim="800000"/>
                            <a:headEnd/>
                            <a:tailEnd/>
                          </a:ln>
                        </pic:spPr>
                      </pic:pic>
                    </a:graphicData>
                  </a:graphic>
                </wp:inline>
              </w:drawing>
            </w:r>
          </w:p>
        </w:tc>
      </w:tr>
      <w:tr w:rsidR="00225952" w:rsidTr="00CB4748">
        <w:tc>
          <w:tcPr>
            <w:tcW w:w="3060" w:type="dxa"/>
            <w:vMerge/>
            <w:tcBorders>
              <w:right w:val="nil"/>
            </w:tcBorders>
          </w:tcPr>
          <w:p w:rsidR="00225952" w:rsidRPr="00DC5E75" w:rsidRDefault="00225952" w:rsidP="00225952">
            <w:pPr>
              <w:pStyle w:val="CheckA"/>
              <w:rPr>
                <w:rFonts w:cs="Arial"/>
              </w:rPr>
            </w:pPr>
          </w:p>
        </w:tc>
        <w:tc>
          <w:tcPr>
            <w:tcW w:w="6562" w:type="dxa"/>
            <w:tcBorders>
              <w:left w:val="nil"/>
              <w:right w:val="nil"/>
            </w:tcBorders>
          </w:tcPr>
          <w:p w:rsidR="00225952" w:rsidRPr="009E1CC7" w:rsidRDefault="00225952" w:rsidP="00AD2D7A">
            <w:pPr>
              <w:pStyle w:val="Check1"/>
              <w:numPr>
                <w:ilvl w:val="0"/>
                <w:numId w:val="51"/>
              </w:numPr>
              <w:ind w:left="342" w:hanging="342"/>
            </w:pPr>
            <w:r w:rsidRPr="009E1CC7">
              <w:t>Standard of facility design</w:t>
            </w:r>
          </w:p>
        </w:tc>
        <w:tc>
          <w:tcPr>
            <w:tcW w:w="854" w:type="dxa"/>
            <w:tcBorders>
              <w:left w:val="nil"/>
            </w:tcBorders>
            <w:vAlign w:val="center"/>
          </w:tcPr>
          <w:p w:rsidR="00225952" w:rsidRPr="009E1CC7" w:rsidRDefault="00225952" w:rsidP="00225952">
            <w:pPr>
              <w:pStyle w:val="Check1"/>
              <w:jc w:val="center"/>
            </w:pPr>
            <w:r w:rsidRPr="00F415D5">
              <w:rPr>
                <w:noProof/>
              </w:rPr>
              <w:drawing>
                <wp:inline distT="0" distB="0" distL="0" distR="0">
                  <wp:extent cx="320040" cy="152400"/>
                  <wp:effectExtent l="0" t="0" r="0" b="0"/>
                  <wp:docPr id="424" name="Picture 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diobuttons.png"/>
                          <pic:cNvPicPr>
                            <a:picLocks noChangeAspect="1" noChangeArrowheads="1"/>
                          </pic:cNvPicPr>
                        </pic:nvPicPr>
                        <pic:blipFill>
                          <a:blip r:embed="rId257" cstate="print"/>
                          <a:srcRect r="30769"/>
                          <a:stretch>
                            <a:fillRect/>
                          </a:stretch>
                        </pic:blipFill>
                        <pic:spPr bwMode="auto">
                          <a:xfrm>
                            <a:off x="0" y="0"/>
                            <a:ext cx="320040" cy="152400"/>
                          </a:xfrm>
                          <a:prstGeom prst="rect">
                            <a:avLst/>
                          </a:prstGeom>
                          <a:noFill/>
                          <a:ln w="9525">
                            <a:noFill/>
                            <a:miter lim="800000"/>
                            <a:headEnd/>
                            <a:tailEnd/>
                          </a:ln>
                        </pic:spPr>
                      </pic:pic>
                    </a:graphicData>
                  </a:graphic>
                </wp:inline>
              </w:drawing>
            </w:r>
          </w:p>
        </w:tc>
      </w:tr>
      <w:tr w:rsidR="00225952" w:rsidTr="00CB4748">
        <w:tc>
          <w:tcPr>
            <w:tcW w:w="3060" w:type="dxa"/>
            <w:vMerge/>
            <w:tcBorders>
              <w:right w:val="nil"/>
            </w:tcBorders>
          </w:tcPr>
          <w:p w:rsidR="00225952" w:rsidRPr="00DC5E75" w:rsidRDefault="00225952" w:rsidP="00225952">
            <w:pPr>
              <w:pStyle w:val="CheckA"/>
              <w:rPr>
                <w:rFonts w:cs="Arial"/>
              </w:rPr>
            </w:pPr>
          </w:p>
        </w:tc>
        <w:tc>
          <w:tcPr>
            <w:tcW w:w="6562" w:type="dxa"/>
            <w:tcBorders>
              <w:left w:val="nil"/>
              <w:right w:val="nil"/>
            </w:tcBorders>
          </w:tcPr>
          <w:p w:rsidR="00225952" w:rsidRPr="009E1CC7" w:rsidRDefault="00225952" w:rsidP="00AD2D7A">
            <w:pPr>
              <w:pStyle w:val="Check1"/>
              <w:numPr>
                <w:ilvl w:val="0"/>
                <w:numId w:val="51"/>
              </w:numPr>
              <w:ind w:left="342" w:hanging="342"/>
            </w:pPr>
            <w:r w:rsidRPr="009E1CC7">
              <w:t>Los</w:t>
            </w:r>
          </w:p>
        </w:tc>
        <w:tc>
          <w:tcPr>
            <w:tcW w:w="854" w:type="dxa"/>
            <w:tcBorders>
              <w:left w:val="nil"/>
            </w:tcBorders>
            <w:vAlign w:val="center"/>
          </w:tcPr>
          <w:p w:rsidR="00225952" w:rsidRPr="009E1CC7" w:rsidRDefault="00225952" w:rsidP="00225952">
            <w:pPr>
              <w:pStyle w:val="Check1"/>
              <w:jc w:val="center"/>
            </w:pPr>
            <w:r w:rsidRPr="00A03CA0">
              <w:rPr>
                <w:noProof/>
              </w:rPr>
              <w:drawing>
                <wp:inline distT="0" distB="0" distL="0" distR="0">
                  <wp:extent cx="320040" cy="152400"/>
                  <wp:effectExtent l="0" t="0" r="0" b="0"/>
                  <wp:docPr id="425" name="Picture 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diobuttons.png"/>
                          <pic:cNvPicPr>
                            <a:picLocks noChangeAspect="1" noChangeArrowheads="1"/>
                          </pic:cNvPicPr>
                        </pic:nvPicPr>
                        <pic:blipFill>
                          <a:blip r:embed="rId257" cstate="print"/>
                          <a:srcRect r="30769"/>
                          <a:stretch>
                            <a:fillRect/>
                          </a:stretch>
                        </pic:blipFill>
                        <pic:spPr bwMode="auto">
                          <a:xfrm>
                            <a:off x="0" y="0"/>
                            <a:ext cx="320040" cy="152400"/>
                          </a:xfrm>
                          <a:prstGeom prst="rect">
                            <a:avLst/>
                          </a:prstGeom>
                          <a:noFill/>
                          <a:ln w="9525">
                            <a:noFill/>
                            <a:miter lim="800000"/>
                            <a:headEnd/>
                            <a:tailEnd/>
                          </a:ln>
                        </pic:spPr>
                      </pic:pic>
                    </a:graphicData>
                  </a:graphic>
                </wp:inline>
              </w:drawing>
            </w:r>
          </w:p>
        </w:tc>
      </w:tr>
      <w:tr w:rsidR="00225952" w:rsidTr="00CB4748">
        <w:tc>
          <w:tcPr>
            <w:tcW w:w="3060" w:type="dxa"/>
            <w:vMerge/>
            <w:tcBorders>
              <w:right w:val="nil"/>
            </w:tcBorders>
          </w:tcPr>
          <w:p w:rsidR="00225952" w:rsidRPr="00DC5E75" w:rsidRDefault="00225952" w:rsidP="00225952">
            <w:pPr>
              <w:pStyle w:val="CheckA"/>
              <w:rPr>
                <w:rFonts w:cs="Arial"/>
              </w:rPr>
            </w:pPr>
          </w:p>
        </w:tc>
        <w:tc>
          <w:tcPr>
            <w:tcW w:w="6562" w:type="dxa"/>
            <w:tcBorders>
              <w:left w:val="nil"/>
              <w:right w:val="nil"/>
            </w:tcBorders>
          </w:tcPr>
          <w:p w:rsidR="00225952" w:rsidRPr="009E1CC7" w:rsidRDefault="00225952" w:rsidP="00AD2D7A">
            <w:pPr>
              <w:pStyle w:val="Check1"/>
              <w:numPr>
                <w:ilvl w:val="0"/>
                <w:numId w:val="51"/>
              </w:numPr>
              <w:ind w:left="342" w:hanging="342"/>
            </w:pPr>
            <w:r w:rsidRPr="009E1CC7">
              <w:t>Connectivity</w:t>
            </w:r>
          </w:p>
        </w:tc>
        <w:tc>
          <w:tcPr>
            <w:tcW w:w="854" w:type="dxa"/>
            <w:tcBorders>
              <w:left w:val="nil"/>
            </w:tcBorders>
            <w:vAlign w:val="center"/>
          </w:tcPr>
          <w:p w:rsidR="00225952" w:rsidRPr="009E1CC7" w:rsidRDefault="00225952" w:rsidP="00225952">
            <w:pPr>
              <w:pStyle w:val="Check1"/>
              <w:jc w:val="center"/>
            </w:pPr>
            <w:r w:rsidRPr="00A03CA0">
              <w:rPr>
                <w:noProof/>
              </w:rPr>
              <w:drawing>
                <wp:inline distT="0" distB="0" distL="0" distR="0">
                  <wp:extent cx="320040" cy="152400"/>
                  <wp:effectExtent l="0" t="0" r="0" b="0"/>
                  <wp:docPr id="426" name="Picture 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diobuttons.png"/>
                          <pic:cNvPicPr>
                            <a:picLocks noChangeAspect="1" noChangeArrowheads="1"/>
                          </pic:cNvPicPr>
                        </pic:nvPicPr>
                        <pic:blipFill>
                          <a:blip r:embed="rId257" cstate="print"/>
                          <a:srcRect r="30769"/>
                          <a:stretch>
                            <a:fillRect/>
                          </a:stretch>
                        </pic:blipFill>
                        <pic:spPr bwMode="auto">
                          <a:xfrm>
                            <a:off x="0" y="0"/>
                            <a:ext cx="320040" cy="152400"/>
                          </a:xfrm>
                          <a:prstGeom prst="rect">
                            <a:avLst/>
                          </a:prstGeom>
                          <a:noFill/>
                          <a:ln w="9525">
                            <a:noFill/>
                            <a:miter lim="800000"/>
                            <a:headEnd/>
                            <a:tailEnd/>
                          </a:ln>
                        </pic:spPr>
                      </pic:pic>
                    </a:graphicData>
                  </a:graphic>
                </wp:inline>
              </w:drawing>
            </w:r>
          </w:p>
        </w:tc>
      </w:tr>
      <w:tr w:rsidR="00225952" w:rsidTr="00CB4748">
        <w:tc>
          <w:tcPr>
            <w:tcW w:w="3060" w:type="dxa"/>
            <w:vMerge/>
            <w:tcBorders>
              <w:right w:val="nil"/>
            </w:tcBorders>
          </w:tcPr>
          <w:p w:rsidR="00225952" w:rsidRPr="00DC5E75" w:rsidRDefault="00225952" w:rsidP="00225952">
            <w:pPr>
              <w:pStyle w:val="CheckA"/>
              <w:rPr>
                <w:rFonts w:cs="Arial"/>
              </w:rPr>
            </w:pPr>
          </w:p>
        </w:tc>
        <w:tc>
          <w:tcPr>
            <w:tcW w:w="6562" w:type="dxa"/>
            <w:tcBorders>
              <w:left w:val="nil"/>
              <w:right w:val="nil"/>
            </w:tcBorders>
          </w:tcPr>
          <w:p w:rsidR="00225952" w:rsidRPr="009E1CC7" w:rsidRDefault="00225952" w:rsidP="00AD2D7A">
            <w:pPr>
              <w:pStyle w:val="Check1"/>
              <w:numPr>
                <w:ilvl w:val="0"/>
                <w:numId w:val="51"/>
              </w:numPr>
              <w:ind w:left="342" w:hanging="342"/>
            </w:pPr>
            <w:r w:rsidRPr="009E1CC7">
              <w:t>Usage</w:t>
            </w:r>
          </w:p>
        </w:tc>
        <w:tc>
          <w:tcPr>
            <w:tcW w:w="854" w:type="dxa"/>
            <w:tcBorders>
              <w:left w:val="nil"/>
            </w:tcBorders>
            <w:vAlign w:val="center"/>
          </w:tcPr>
          <w:p w:rsidR="00225952" w:rsidRPr="009E1CC7" w:rsidRDefault="00225952" w:rsidP="00225952">
            <w:pPr>
              <w:pStyle w:val="Check1"/>
              <w:jc w:val="center"/>
            </w:pPr>
            <w:r w:rsidRPr="00A03CA0">
              <w:rPr>
                <w:noProof/>
              </w:rPr>
              <w:drawing>
                <wp:inline distT="0" distB="0" distL="0" distR="0">
                  <wp:extent cx="320040" cy="152400"/>
                  <wp:effectExtent l="0" t="0" r="0" b="0"/>
                  <wp:docPr id="427" name="Picture 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diobuttons.png"/>
                          <pic:cNvPicPr>
                            <a:picLocks noChangeAspect="1" noChangeArrowheads="1"/>
                          </pic:cNvPicPr>
                        </pic:nvPicPr>
                        <pic:blipFill>
                          <a:blip r:embed="rId257" cstate="print"/>
                          <a:srcRect r="30769"/>
                          <a:stretch>
                            <a:fillRect/>
                          </a:stretch>
                        </pic:blipFill>
                        <pic:spPr bwMode="auto">
                          <a:xfrm>
                            <a:off x="0" y="0"/>
                            <a:ext cx="320040" cy="152400"/>
                          </a:xfrm>
                          <a:prstGeom prst="rect">
                            <a:avLst/>
                          </a:prstGeom>
                          <a:noFill/>
                          <a:ln w="9525">
                            <a:noFill/>
                            <a:miter lim="800000"/>
                            <a:headEnd/>
                            <a:tailEnd/>
                          </a:ln>
                        </pic:spPr>
                      </pic:pic>
                    </a:graphicData>
                  </a:graphic>
                </wp:inline>
              </w:drawing>
            </w:r>
          </w:p>
        </w:tc>
      </w:tr>
      <w:tr w:rsidR="00225952" w:rsidTr="00CB4748">
        <w:tc>
          <w:tcPr>
            <w:tcW w:w="3060" w:type="dxa"/>
            <w:vMerge/>
            <w:tcBorders>
              <w:right w:val="nil"/>
            </w:tcBorders>
          </w:tcPr>
          <w:p w:rsidR="00225952" w:rsidRPr="00DC5E75" w:rsidRDefault="00225952" w:rsidP="00225952">
            <w:pPr>
              <w:pStyle w:val="CheckA"/>
              <w:rPr>
                <w:rFonts w:cs="Arial"/>
              </w:rPr>
            </w:pPr>
          </w:p>
        </w:tc>
        <w:tc>
          <w:tcPr>
            <w:tcW w:w="6562" w:type="dxa"/>
            <w:tcBorders>
              <w:left w:val="nil"/>
              <w:right w:val="nil"/>
            </w:tcBorders>
          </w:tcPr>
          <w:p w:rsidR="00225952" w:rsidRPr="009E1CC7" w:rsidRDefault="00225952" w:rsidP="00AD2D7A">
            <w:pPr>
              <w:pStyle w:val="Check1"/>
              <w:numPr>
                <w:ilvl w:val="0"/>
                <w:numId w:val="51"/>
              </w:numPr>
              <w:ind w:left="342" w:hanging="342"/>
            </w:pPr>
            <w:r w:rsidRPr="009E1CC7">
              <w:t>Bicycle facility sweeping and maintenance</w:t>
            </w:r>
          </w:p>
        </w:tc>
        <w:tc>
          <w:tcPr>
            <w:tcW w:w="854" w:type="dxa"/>
            <w:tcBorders>
              <w:left w:val="nil"/>
            </w:tcBorders>
            <w:vAlign w:val="center"/>
          </w:tcPr>
          <w:p w:rsidR="00225952" w:rsidRPr="009E1CC7" w:rsidRDefault="00225952" w:rsidP="00225952">
            <w:pPr>
              <w:pStyle w:val="Check1"/>
              <w:jc w:val="center"/>
            </w:pPr>
            <w:r w:rsidRPr="00A03CA0">
              <w:rPr>
                <w:noProof/>
              </w:rPr>
              <w:drawing>
                <wp:inline distT="0" distB="0" distL="0" distR="0">
                  <wp:extent cx="320040" cy="152400"/>
                  <wp:effectExtent l="0" t="0" r="0" b="0"/>
                  <wp:docPr id="428" name="Picture 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diobuttons.png"/>
                          <pic:cNvPicPr>
                            <a:picLocks noChangeAspect="1" noChangeArrowheads="1"/>
                          </pic:cNvPicPr>
                        </pic:nvPicPr>
                        <pic:blipFill>
                          <a:blip r:embed="rId257" cstate="print"/>
                          <a:srcRect r="30769"/>
                          <a:stretch>
                            <a:fillRect/>
                          </a:stretch>
                        </pic:blipFill>
                        <pic:spPr bwMode="auto">
                          <a:xfrm>
                            <a:off x="0" y="0"/>
                            <a:ext cx="320040" cy="152400"/>
                          </a:xfrm>
                          <a:prstGeom prst="rect">
                            <a:avLst/>
                          </a:prstGeom>
                          <a:noFill/>
                          <a:ln w="9525">
                            <a:noFill/>
                            <a:miter lim="800000"/>
                            <a:headEnd/>
                            <a:tailEnd/>
                          </a:ln>
                        </pic:spPr>
                      </pic:pic>
                    </a:graphicData>
                  </a:graphic>
                </wp:inline>
              </w:drawing>
            </w:r>
          </w:p>
        </w:tc>
      </w:tr>
    </w:tbl>
    <w:p w:rsidR="00225952" w:rsidRDefault="00225952">
      <w:r>
        <w:br w:type="page"/>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3060"/>
        <w:gridCol w:w="6562"/>
        <w:gridCol w:w="8"/>
        <w:gridCol w:w="846"/>
      </w:tblGrid>
      <w:tr w:rsidR="00CB4748" w:rsidTr="00225952">
        <w:tc>
          <w:tcPr>
            <w:tcW w:w="9630" w:type="dxa"/>
            <w:gridSpan w:val="3"/>
            <w:tcBorders>
              <w:right w:val="nil"/>
            </w:tcBorders>
          </w:tcPr>
          <w:p w:rsidR="00CB4748" w:rsidRPr="007F64D9" w:rsidRDefault="00CB4748" w:rsidP="00225952">
            <w:pPr>
              <w:pStyle w:val="Check1"/>
              <w:rPr>
                <w:rFonts w:cs="Arial"/>
                <w:b/>
                <w:color w:val="4F81BD" w:themeColor="accent1"/>
                <w:sz w:val="20"/>
              </w:rPr>
            </w:pPr>
          </w:p>
        </w:tc>
        <w:tc>
          <w:tcPr>
            <w:tcW w:w="846" w:type="dxa"/>
            <w:tcBorders>
              <w:left w:val="nil"/>
            </w:tcBorders>
          </w:tcPr>
          <w:p w:rsidR="00CB4748" w:rsidRPr="009C28E0" w:rsidRDefault="00CB4748" w:rsidP="00225952">
            <w:pPr>
              <w:pStyle w:val="Check1"/>
              <w:jc w:val="center"/>
              <w:rPr>
                <w:noProof/>
                <w:color w:val="4F6228"/>
              </w:rPr>
            </w:pPr>
            <w:r>
              <w:rPr>
                <w:noProof/>
                <w:color w:val="4F6228"/>
              </w:rPr>
              <w:t>3 of 3</w:t>
            </w:r>
          </w:p>
        </w:tc>
      </w:tr>
      <w:tr w:rsidR="00225952" w:rsidTr="00225952">
        <w:tc>
          <w:tcPr>
            <w:tcW w:w="9630" w:type="dxa"/>
            <w:gridSpan w:val="3"/>
            <w:tcBorders>
              <w:right w:val="nil"/>
            </w:tcBorders>
          </w:tcPr>
          <w:p w:rsidR="00225952" w:rsidRPr="007F64D9" w:rsidRDefault="00225952" w:rsidP="00225952">
            <w:pPr>
              <w:pStyle w:val="Check1"/>
              <w:rPr>
                <w:color w:val="4F81BD" w:themeColor="accent1"/>
              </w:rPr>
            </w:pPr>
            <w:r w:rsidRPr="007F64D9">
              <w:rPr>
                <w:rFonts w:cs="Arial"/>
                <w:b/>
                <w:color w:val="4F81BD" w:themeColor="accent1"/>
                <w:sz w:val="20"/>
              </w:rPr>
              <w:t>DRI Study Area</w:t>
            </w:r>
            <w:r w:rsidR="00CB4748">
              <w:rPr>
                <w:rFonts w:cs="Arial"/>
                <w:b/>
                <w:color w:val="4F81BD" w:themeColor="accent1"/>
                <w:sz w:val="20"/>
              </w:rPr>
              <w:t xml:space="preserve"> continued</w:t>
            </w:r>
          </w:p>
        </w:tc>
        <w:tc>
          <w:tcPr>
            <w:tcW w:w="846" w:type="dxa"/>
            <w:tcBorders>
              <w:left w:val="nil"/>
            </w:tcBorders>
          </w:tcPr>
          <w:p w:rsidR="00225952" w:rsidRPr="007F64D9" w:rsidRDefault="00225952" w:rsidP="00225952">
            <w:pPr>
              <w:pStyle w:val="Check1"/>
              <w:jc w:val="center"/>
              <w:rPr>
                <w:color w:val="4F81BD" w:themeColor="accent1"/>
              </w:rPr>
            </w:pPr>
            <w:r w:rsidRPr="009C28E0">
              <w:rPr>
                <w:noProof/>
                <w:color w:val="4F6228"/>
              </w:rPr>
              <w:t xml:space="preserve">Y </w:t>
            </w:r>
            <w:r>
              <w:rPr>
                <w:noProof/>
                <w:color w:val="4F6228"/>
              </w:rPr>
              <w:t xml:space="preserve"> </w:t>
            </w:r>
            <w:r w:rsidRPr="009C28E0">
              <w:rPr>
                <w:noProof/>
                <w:color w:val="4F6228"/>
              </w:rPr>
              <w:t xml:space="preserve"> </w:t>
            </w:r>
            <w:r w:rsidRPr="009C28E0">
              <w:rPr>
                <w:noProof/>
              </w:rPr>
              <w:t xml:space="preserve"> </w:t>
            </w:r>
            <w:r w:rsidRPr="009C28E0">
              <w:rPr>
                <w:noProof/>
                <w:color w:val="C00000"/>
              </w:rPr>
              <w:t>N</w:t>
            </w:r>
          </w:p>
        </w:tc>
      </w:tr>
      <w:tr w:rsidR="00225952" w:rsidTr="00225952">
        <w:tc>
          <w:tcPr>
            <w:tcW w:w="3060" w:type="dxa"/>
            <w:vMerge w:val="restart"/>
            <w:tcBorders>
              <w:right w:val="nil"/>
            </w:tcBorders>
          </w:tcPr>
          <w:p w:rsidR="00225952" w:rsidRPr="00DC5E75" w:rsidRDefault="00225952" w:rsidP="00225952">
            <w:pPr>
              <w:pStyle w:val="CheckA"/>
              <w:rPr>
                <w:rFonts w:cs="Arial"/>
              </w:rPr>
            </w:pPr>
            <w:r>
              <w:t xml:space="preserve">F.  </w:t>
            </w:r>
            <w:r w:rsidRPr="009E1CC7">
              <w:t>Sidewalks/pedestrian facilities</w:t>
            </w:r>
          </w:p>
        </w:tc>
        <w:tc>
          <w:tcPr>
            <w:tcW w:w="6562" w:type="dxa"/>
            <w:tcBorders>
              <w:left w:val="nil"/>
              <w:right w:val="nil"/>
            </w:tcBorders>
          </w:tcPr>
          <w:p w:rsidR="00225952" w:rsidRPr="009E1CC7" w:rsidRDefault="00225952" w:rsidP="00AD2D7A">
            <w:pPr>
              <w:pStyle w:val="Check1"/>
              <w:numPr>
                <w:ilvl w:val="0"/>
                <w:numId w:val="52"/>
              </w:numPr>
              <w:ind w:left="342" w:hanging="342"/>
            </w:pPr>
            <w:r w:rsidRPr="009E1CC7">
              <w:t xml:space="preserve">Availability </w:t>
            </w:r>
          </w:p>
        </w:tc>
        <w:tc>
          <w:tcPr>
            <w:tcW w:w="854" w:type="dxa"/>
            <w:gridSpan w:val="2"/>
            <w:tcBorders>
              <w:left w:val="nil"/>
            </w:tcBorders>
            <w:vAlign w:val="center"/>
          </w:tcPr>
          <w:p w:rsidR="00225952" w:rsidRPr="009E1CC7" w:rsidRDefault="00225952" w:rsidP="00225952">
            <w:pPr>
              <w:pStyle w:val="Check1"/>
              <w:jc w:val="center"/>
            </w:pPr>
            <w:r w:rsidRPr="00A03CA0">
              <w:rPr>
                <w:noProof/>
              </w:rPr>
              <w:drawing>
                <wp:inline distT="0" distB="0" distL="0" distR="0">
                  <wp:extent cx="320040" cy="152400"/>
                  <wp:effectExtent l="0" t="0" r="0" b="0"/>
                  <wp:docPr id="429" name="Picture 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diobuttons.png"/>
                          <pic:cNvPicPr>
                            <a:picLocks noChangeAspect="1" noChangeArrowheads="1"/>
                          </pic:cNvPicPr>
                        </pic:nvPicPr>
                        <pic:blipFill>
                          <a:blip r:embed="rId257" cstate="print"/>
                          <a:srcRect r="30769"/>
                          <a:stretch>
                            <a:fillRect/>
                          </a:stretch>
                        </pic:blipFill>
                        <pic:spPr bwMode="auto">
                          <a:xfrm>
                            <a:off x="0" y="0"/>
                            <a:ext cx="320040" cy="152400"/>
                          </a:xfrm>
                          <a:prstGeom prst="rect">
                            <a:avLst/>
                          </a:prstGeom>
                          <a:noFill/>
                          <a:ln w="9525">
                            <a:noFill/>
                            <a:miter lim="800000"/>
                            <a:headEnd/>
                            <a:tailEnd/>
                          </a:ln>
                        </pic:spPr>
                      </pic:pic>
                    </a:graphicData>
                  </a:graphic>
                </wp:inline>
              </w:drawing>
            </w:r>
          </w:p>
        </w:tc>
      </w:tr>
      <w:tr w:rsidR="00225952" w:rsidTr="00225952">
        <w:tc>
          <w:tcPr>
            <w:tcW w:w="3060" w:type="dxa"/>
            <w:vMerge/>
            <w:tcBorders>
              <w:right w:val="nil"/>
            </w:tcBorders>
          </w:tcPr>
          <w:p w:rsidR="00225952" w:rsidRPr="00DC5E75" w:rsidRDefault="00225952" w:rsidP="00225952">
            <w:pPr>
              <w:pStyle w:val="CheckA"/>
              <w:rPr>
                <w:rFonts w:cs="Arial"/>
              </w:rPr>
            </w:pPr>
          </w:p>
        </w:tc>
        <w:tc>
          <w:tcPr>
            <w:tcW w:w="6562" w:type="dxa"/>
            <w:tcBorders>
              <w:left w:val="nil"/>
              <w:right w:val="nil"/>
            </w:tcBorders>
          </w:tcPr>
          <w:p w:rsidR="00225952" w:rsidRPr="009E1CC7" w:rsidRDefault="00225952" w:rsidP="00AD2D7A">
            <w:pPr>
              <w:pStyle w:val="Check1"/>
              <w:numPr>
                <w:ilvl w:val="0"/>
                <w:numId w:val="52"/>
              </w:numPr>
              <w:ind w:left="342" w:hanging="342"/>
            </w:pPr>
            <w:r w:rsidRPr="009E1CC7">
              <w:t>Location</w:t>
            </w:r>
          </w:p>
        </w:tc>
        <w:tc>
          <w:tcPr>
            <w:tcW w:w="854" w:type="dxa"/>
            <w:gridSpan w:val="2"/>
            <w:tcBorders>
              <w:left w:val="nil"/>
            </w:tcBorders>
            <w:vAlign w:val="center"/>
          </w:tcPr>
          <w:p w:rsidR="00225952" w:rsidRPr="009E1CC7" w:rsidRDefault="00225952" w:rsidP="00225952">
            <w:pPr>
              <w:pStyle w:val="Check1"/>
              <w:jc w:val="center"/>
            </w:pPr>
            <w:r w:rsidRPr="00A03CA0">
              <w:rPr>
                <w:noProof/>
              </w:rPr>
              <w:drawing>
                <wp:inline distT="0" distB="0" distL="0" distR="0">
                  <wp:extent cx="320040" cy="152400"/>
                  <wp:effectExtent l="0" t="0" r="0" b="0"/>
                  <wp:docPr id="430" name="Picture 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diobuttons.png"/>
                          <pic:cNvPicPr>
                            <a:picLocks noChangeAspect="1" noChangeArrowheads="1"/>
                          </pic:cNvPicPr>
                        </pic:nvPicPr>
                        <pic:blipFill>
                          <a:blip r:embed="rId257" cstate="print"/>
                          <a:srcRect r="30769"/>
                          <a:stretch>
                            <a:fillRect/>
                          </a:stretch>
                        </pic:blipFill>
                        <pic:spPr bwMode="auto">
                          <a:xfrm>
                            <a:off x="0" y="0"/>
                            <a:ext cx="320040" cy="152400"/>
                          </a:xfrm>
                          <a:prstGeom prst="rect">
                            <a:avLst/>
                          </a:prstGeom>
                          <a:noFill/>
                          <a:ln w="9525">
                            <a:noFill/>
                            <a:miter lim="800000"/>
                            <a:headEnd/>
                            <a:tailEnd/>
                          </a:ln>
                        </pic:spPr>
                      </pic:pic>
                    </a:graphicData>
                  </a:graphic>
                </wp:inline>
              </w:drawing>
            </w:r>
          </w:p>
        </w:tc>
      </w:tr>
      <w:tr w:rsidR="00225952" w:rsidTr="00225952">
        <w:tc>
          <w:tcPr>
            <w:tcW w:w="3060" w:type="dxa"/>
            <w:vMerge/>
            <w:tcBorders>
              <w:right w:val="nil"/>
            </w:tcBorders>
          </w:tcPr>
          <w:p w:rsidR="00225952" w:rsidRPr="00DC5E75" w:rsidRDefault="00225952" w:rsidP="00225952">
            <w:pPr>
              <w:pStyle w:val="CheckA"/>
              <w:rPr>
                <w:rFonts w:cs="Arial"/>
              </w:rPr>
            </w:pPr>
          </w:p>
        </w:tc>
        <w:tc>
          <w:tcPr>
            <w:tcW w:w="6562" w:type="dxa"/>
            <w:tcBorders>
              <w:left w:val="nil"/>
              <w:right w:val="nil"/>
            </w:tcBorders>
          </w:tcPr>
          <w:p w:rsidR="00225952" w:rsidRPr="009E1CC7" w:rsidRDefault="00225952" w:rsidP="00AD2D7A">
            <w:pPr>
              <w:pStyle w:val="Check1"/>
              <w:numPr>
                <w:ilvl w:val="0"/>
                <w:numId w:val="52"/>
              </w:numPr>
              <w:ind w:left="342" w:hanging="342"/>
            </w:pPr>
            <w:r w:rsidRPr="009E1CC7">
              <w:t>Standard of facility design</w:t>
            </w:r>
          </w:p>
        </w:tc>
        <w:tc>
          <w:tcPr>
            <w:tcW w:w="854" w:type="dxa"/>
            <w:gridSpan w:val="2"/>
            <w:tcBorders>
              <w:left w:val="nil"/>
            </w:tcBorders>
            <w:vAlign w:val="center"/>
          </w:tcPr>
          <w:p w:rsidR="00225952" w:rsidRPr="009E1CC7" w:rsidRDefault="00225952" w:rsidP="00225952">
            <w:pPr>
              <w:pStyle w:val="Check1"/>
              <w:jc w:val="center"/>
            </w:pPr>
            <w:r w:rsidRPr="00A03CA0">
              <w:rPr>
                <w:noProof/>
              </w:rPr>
              <w:drawing>
                <wp:inline distT="0" distB="0" distL="0" distR="0">
                  <wp:extent cx="320040" cy="152400"/>
                  <wp:effectExtent l="0" t="0" r="0" b="0"/>
                  <wp:docPr id="431" name="Picture 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diobuttons.png"/>
                          <pic:cNvPicPr>
                            <a:picLocks noChangeAspect="1" noChangeArrowheads="1"/>
                          </pic:cNvPicPr>
                        </pic:nvPicPr>
                        <pic:blipFill>
                          <a:blip r:embed="rId257" cstate="print"/>
                          <a:srcRect r="30769"/>
                          <a:stretch>
                            <a:fillRect/>
                          </a:stretch>
                        </pic:blipFill>
                        <pic:spPr bwMode="auto">
                          <a:xfrm>
                            <a:off x="0" y="0"/>
                            <a:ext cx="320040" cy="152400"/>
                          </a:xfrm>
                          <a:prstGeom prst="rect">
                            <a:avLst/>
                          </a:prstGeom>
                          <a:noFill/>
                          <a:ln w="9525">
                            <a:noFill/>
                            <a:miter lim="800000"/>
                            <a:headEnd/>
                            <a:tailEnd/>
                          </a:ln>
                        </pic:spPr>
                      </pic:pic>
                    </a:graphicData>
                  </a:graphic>
                </wp:inline>
              </w:drawing>
            </w:r>
          </w:p>
        </w:tc>
      </w:tr>
      <w:tr w:rsidR="00225952" w:rsidTr="00225952">
        <w:tc>
          <w:tcPr>
            <w:tcW w:w="3060" w:type="dxa"/>
            <w:vMerge/>
            <w:tcBorders>
              <w:right w:val="nil"/>
            </w:tcBorders>
          </w:tcPr>
          <w:p w:rsidR="00225952" w:rsidRPr="00DC5E75" w:rsidRDefault="00225952" w:rsidP="00225952">
            <w:pPr>
              <w:pStyle w:val="CheckA"/>
              <w:rPr>
                <w:rFonts w:cs="Arial"/>
              </w:rPr>
            </w:pPr>
          </w:p>
        </w:tc>
        <w:tc>
          <w:tcPr>
            <w:tcW w:w="6562" w:type="dxa"/>
            <w:tcBorders>
              <w:left w:val="nil"/>
              <w:right w:val="nil"/>
            </w:tcBorders>
          </w:tcPr>
          <w:p w:rsidR="00225952" w:rsidRPr="009E1CC7" w:rsidRDefault="00225952" w:rsidP="00AD2D7A">
            <w:pPr>
              <w:pStyle w:val="Check1"/>
              <w:numPr>
                <w:ilvl w:val="0"/>
                <w:numId w:val="52"/>
              </w:numPr>
              <w:ind w:left="342" w:hanging="342"/>
            </w:pPr>
            <w:r w:rsidRPr="009E1CC7">
              <w:t>LOS</w:t>
            </w:r>
          </w:p>
        </w:tc>
        <w:tc>
          <w:tcPr>
            <w:tcW w:w="854" w:type="dxa"/>
            <w:gridSpan w:val="2"/>
            <w:tcBorders>
              <w:left w:val="nil"/>
            </w:tcBorders>
            <w:vAlign w:val="center"/>
          </w:tcPr>
          <w:p w:rsidR="00225952" w:rsidRPr="009E1CC7" w:rsidRDefault="00225952" w:rsidP="00225952">
            <w:pPr>
              <w:pStyle w:val="Check1"/>
              <w:jc w:val="center"/>
            </w:pPr>
            <w:r w:rsidRPr="00A03CA0">
              <w:rPr>
                <w:noProof/>
              </w:rPr>
              <w:drawing>
                <wp:inline distT="0" distB="0" distL="0" distR="0">
                  <wp:extent cx="320040" cy="152400"/>
                  <wp:effectExtent l="0" t="0" r="0" b="0"/>
                  <wp:docPr id="432" name="Picture 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diobuttons.png"/>
                          <pic:cNvPicPr>
                            <a:picLocks noChangeAspect="1" noChangeArrowheads="1"/>
                          </pic:cNvPicPr>
                        </pic:nvPicPr>
                        <pic:blipFill>
                          <a:blip r:embed="rId257" cstate="print"/>
                          <a:srcRect r="30769"/>
                          <a:stretch>
                            <a:fillRect/>
                          </a:stretch>
                        </pic:blipFill>
                        <pic:spPr bwMode="auto">
                          <a:xfrm>
                            <a:off x="0" y="0"/>
                            <a:ext cx="320040" cy="152400"/>
                          </a:xfrm>
                          <a:prstGeom prst="rect">
                            <a:avLst/>
                          </a:prstGeom>
                          <a:noFill/>
                          <a:ln w="9525">
                            <a:noFill/>
                            <a:miter lim="800000"/>
                            <a:headEnd/>
                            <a:tailEnd/>
                          </a:ln>
                        </pic:spPr>
                      </pic:pic>
                    </a:graphicData>
                  </a:graphic>
                </wp:inline>
              </w:drawing>
            </w:r>
          </w:p>
        </w:tc>
      </w:tr>
      <w:tr w:rsidR="00225952" w:rsidTr="00225952">
        <w:tc>
          <w:tcPr>
            <w:tcW w:w="3060" w:type="dxa"/>
            <w:vMerge/>
            <w:tcBorders>
              <w:right w:val="nil"/>
            </w:tcBorders>
          </w:tcPr>
          <w:p w:rsidR="00225952" w:rsidRPr="00DC5E75" w:rsidRDefault="00225952" w:rsidP="00225952">
            <w:pPr>
              <w:pStyle w:val="CheckA"/>
              <w:rPr>
                <w:rFonts w:cs="Arial"/>
              </w:rPr>
            </w:pPr>
          </w:p>
        </w:tc>
        <w:tc>
          <w:tcPr>
            <w:tcW w:w="6562" w:type="dxa"/>
            <w:tcBorders>
              <w:left w:val="nil"/>
              <w:right w:val="nil"/>
            </w:tcBorders>
          </w:tcPr>
          <w:p w:rsidR="00225952" w:rsidRPr="009E1CC7" w:rsidRDefault="00225952" w:rsidP="00AD2D7A">
            <w:pPr>
              <w:pStyle w:val="Check1"/>
              <w:numPr>
                <w:ilvl w:val="0"/>
                <w:numId w:val="52"/>
              </w:numPr>
              <w:ind w:left="342" w:hanging="342"/>
            </w:pPr>
            <w:r w:rsidRPr="009E1CC7">
              <w:t>Connectivity</w:t>
            </w:r>
          </w:p>
        </w:tc>
        <w:tc>
          <w:tcPr>
            <w:tcW w:w="854" w:type="dxa"/>
            <w:gridSpan w:val="2"/>
            <w:tcBorders>
              <w:left w:val="nil"/>
            </w:tcBorders>
            <w:vAlign w:val="center"/>
          </w:tcPr>
          <w:p w:rsidR="00225952" w:rsidRPr="009E1CC7" w:rsidRDefault="00225952" w:rsidP="00225952">
            <w:pPr>
              <w:pStyle w:val="Check1"/>
              <w:jc w:val="center"/>
            </w:pPr>
            <w:r w:rsidRPr="00A03CA0">
              <w:rPr>
                <w:noProof/>
              </w:rPr>
              <w:drawing>
                <wp:inline distT="0" distB="0" distL="0" distR="0">
                  <wp:extent cx="320040" cy="152400"/>
                  <wp:effectExtent l="0" t="0" r="0" b="0"/>
                  <wp:docPr id="433" name="Picture 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diobuttons.png"/>
                          <pic:cNvPicPr>
                            <a:picLocks noChangeAspect="1" noChangeArrowheads="1"/>
                          </pic:cNvPicPr>
                        </pic:nvPicPr>
                        <pic:blipFill>
                          <a:blip r:embed="rId257" cstate="print"/>
                          <a:srcRect r="30769"/>
                          <a:stretch>
                            <a:fillRect/>
                          </a:stretch>
                        </pic:blipFill>
                        <pic:spPr bwMode="auto">
                          <a:xfrm>
                            <a:off x="0" y="0"/>
                            <a:ext cx="320040" cy="152400"/>
                          </a:xfrm>
                          <a:prstGeom prst="rect">
                            <a:avLst/>
                          </a:prstGeom>
                          <a:noFill/>
                          <a:ln w="9525">
                            <a:noFill/>
                            <a:miter lim="800000"/>
                            <a:headEnd/>
                            <a:tailEnd/>
                          </a:ln>
                        </pic:spPr>
                      </pic:pic>
                    </a:graphicData>
                  </a:graphic>
                </wp:inline>
              </w:drawing>
            </w:r>
          </w:p>
        </w:tc>
      </w:tr>
      <w:tr w:rsidR="00225952" w:rsidTr="00225952">
        <w:tc>
          <w:tcPr>
            <w:tcW w:w="3060" w:type="dxa"/>
            <w:vMerge/>
            <w:tcBorders>
              <w:right w:val="nil"/>
            </w:tcBorders>
          </w:tcPr>
          <w:p w:rsidR="00225952" w:rsidRPr="00DC5E75" w:rsidRDefault="00225952" w:rsidP="00225952">
            <w:pPr>
              <w:pStyle w:val="CheckA"/>
              <w:rPr>
                <w:rFonts w:cs="Arial"/>
              </w:rPr>
            </w:pPr>
          </w:p>
        </w:tc>
        <w:tc>
          <w:tcPr>
            <w:tcW w:w="6562" w:type="dxa"/>
            <w:tcBorders>
              <w:left w:val="nil"/>
              <w:right w:val="nil"/>
            </w:tcBorders>
          </w:tcPr>
          <w:p w:rsidR="00225952" w:rsidRPr="009E1CC7" w:rsidRDefault="00225952" w:rsidP="00AD2D7A">
            <w:pPr>
              <w:pStyle w:val="Check1"/>
              <w:numPr>
                <w:ilvl w:val="0"/>
                <w:numId w:val="52"/>
              </w:numPr>
              <w:ind w:left="342" w:hanging="342"/>
            </w:pPr>
            <w:r w:rsidRPr="009E1CC7">
              <w:t>Usage</w:t>
            </w:r>
          </w:p>
        </w:tc>
        <w:tc>
          <w:tcPr>
            <w:tcW w:w="854" w:type="dxa"/>
            <w:gridSpan w:val="2"/>
            <w:tcBorders>
              <w:left w:val="nil"/>
            </w:tcBorders>
            <w:vAlign w:val="center"/>
          </w:tcPr>
          <w:p w:rsidR="00225952" w:rsidRPr="009E1CC7" w:rsidRDefault="00225952" w:rsidP="00225952">
            <w:pPr>
              <w:pStyle w:val="Check1"/>
              <w:jc w:val="center"/>
            </w:pPr>
            <w:r w:rsidRPr="00A03CA0">
              <w:rPr>
                <w:noProof/>
              </w:rPr>
              <w:drawing>
                <wp:inline distT="0" distB="0" distL="0" distR="0">
                  <wp:extent cx="320040" cy="152400"/>
                  <wp:effectExtent l="0" t="0" r="0" b="0"/>
                  <wp:docPr id="434" name="Picture 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diobuttons.png"/>
                          <pic:cNvPicPr>
                            <a:picLocks noChangeAspect="1" noChangeArrowheads="1"/>
                          </pic:cNvPicPr>
                        </pic:nvPicPr>
                        <pic:blipFill>
                          <a:blip r:embed="rId257" cstate="print"/>
                          <a:srcRect r="30769"/>
                          <a:stretch>
                            <a:fillRect/>
                          </a:stretch>
                        </pic:blipFill>
                        <pic:spPr bwMode="auto">
                          <a:xfrm>
                            <a:off x="0" y="0"/>
                            <a:ext cx="320040" cy="152400"/>
                          </a:xfrm>
                          <a:prstGeom prst="rect">
                            <a:avLst/>
                          </a:prstGeom>
                          <a:noFill/>
                          <a:ln w="9525">
                            <a:noFill/>
                            <a:miter lim="800000"/>
                            <a:headEnd/>
                            <a:tailEnd/>
                          </a:ln>
                        </pic:spPr>
                      </pic:pic>
                    </a:graphicData>
                  </a:graphic>
                </wp:inline>
              </w:drawing>
            </w:r>
          </w:p>
        </w:tc>
      </w:tr>
      <w:tr w:rsidR="00225952" w:rsidTr="00225952">
        <w:tc>
          <w:tcPr>
            <w:tcW w:w="3060" w:type="dxa"/>
            <w:tcBorders>
              <w:right w:val="nil"/>
            </w:tcBorders>
          </w:tcPr>
          <w:p w:rsidR="00225952" w:rsidRPr="00DC5E75" w:rsidRDefault="00225952" w:rsidP="00225952">
            <w:pPr>
              <w:pStyle w:val="CheckA"/>
              <w:rPr>
                <w:rFonts w:cs="Arial"/>
              </w:rPr>
            </w:pPr>
            <w:r>
              <w:t xml:space="preserve">G.  </w:t>
            </w:r>
            <w:r w:rsidRPr="009E1CC7">
              <w:t>Parking management</w:t>
            </w:r>
          </w:p>
        </w:tc>
        <w:tc>
          <w:tcPr>
            <w:tcW w:w="6562" w:type="dxa"/>
            <w:tcBorders>
              <w:left w:val="nil"/>
              <w:right w:val="nil"/>
            </w:tcBorders>
          </w:tcPr>
          <w:p w:rsidR="00225952" w:rsidRPr="009E1CC7" w:rsidRDefault="00225952" w:rsidP="00AD2D7A">
            <w:pPr>
              <w:pStyle w:val="Check1"/>
              <w:numPr>
                <w:ilvl w:val="0"/>
                <w:numId w:val="53"/>
              </w:numPr>
              <w:ind w:left="342" w:hanging="342"/>
            </w:pPr>
            <w:r>
              <w:t>Parking management</w:t>
            </w:r>
          </w:p>
        </w:tc>
        <w:tc>
          <w:tcPr>
            <w:tcW w:w="854" w:type="dxa"/>
            <w:gridSpan w:val="2"/>
            <w:tcBorders>
              <w:left w:val="nil"/>
            </w:tcBorders>
            <w:vAlign w:val="center"/>
          </w:tcPr>
          <w:p w:rsidR="00225952" w:rsidRPr="009E1CC7" w:rsidRDefault="00225952" w:rsidP="00225952">
            <w:pPr>
              <w:pStyle w:val="Check1"/>
              <w:jc w:val="center"/>
            </w:pPr>
            <w:r w:rsidRPr="00A03CA0">
              <w:rPr>
                <w:noProof/>
              </w:rPr>
              <w:drawing>
                <wp:inline distT="0" distB="0" distL="0" distR="0">
                  <wp:extent cx="320040" cy="152400"/>
                  <wp:effectExtent l="0" t="0" r="0" b="0"/>
                  <wp:docPr id="213" name="Picture 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diobuttons.png"/>
                          <pic:cNvPicPr>
                            <a:picLocks noChangeAspect="1" noChangeArrowheads="1"/>
                          </pic:cNvPicPr>
                        </pic:nvPicPr>
                        <pic:blipFill>
                          <a:blip r:embed="rId257" cstate="print"/>
                          <a:srcRect r="30769"/>
                          <a:stretch>
                            <a:fillRect/>
                          </a:stretch>
                        </pic:blipFill>
                        <pic:spPr bwMode="auto">
                          <a:xfrm>
                            <a:off x="0" y="0"/>
                            <a:ext cx="320040" cy="152400"/>
                          </a:xfrm>
                          <a:prstGeom prst="rect">
                            <a:avLst/>
                          </a:prstGeom>
                          <a:noFill/>
                          <a:ln w="9525">
                            <a:noFill/>
                            <a:miter lim="800000"/>
                            <a:headEnd/>
                            <a:tailEnd/>
                          </a:ln>
                        </pic:spPr>
                      </pic:pic>
                    </a:graphicData>
                  </a:graphic>
                </wp:inline>
              </w:drawing>
            </w:r>
          </w:p>
        </w:tc>
      </w:tr>
      <w:tr w:rsidR="00225952" w:rsidTr="00225952">
        <w:tc>
          <w:tcPr>
            <w:tcW w:w="3060" w:type="dxa"/>
            <w:vMerge w:val="restart"/>
            <w:tcBorders>
              <w:right w:val="nil"/>
            </w:tcBorders>
          </w:tcPr>
          <w:p w:rsidR="00225952" w:rsidRPr="00DC5E75" w:rsidRDefault="00225952" w:rsidP="00225952">
            <w:pPr>
              <w:pStyle w:val="CheckA"/>
              <w:rPr>
                <w:rFonts w:cs="Arial"/>
              </w:rPr>
            </w:pPr>
            <w:r>
              <w:rPr>
                <w:rFonts w:cs="Arial"/>
              </w:rPr>
              <w:t>H.  TDM</w:t>
            </w:r>
            <w:r w:rsidRPr="009E1CC7">
              <w:t xml:space="preserve"> Transportation demand management</w:t>
            </w:r>
          </w:p>
        </w:tc>
        <w:tc>
          <w:tcPr>
            <w:tcW w:w="6562" w:type="dxa"/>
            <w:tcBorders>
              <w:left w:val="nil"/>
              <w:right w:val="nil"/>
            </w:tcBorders>
          </w:tcPr>
          <w:p w:rsidR="00225952" w:rsidRPr="009E1CC7" w:rsidRDefault="00225952" w:rsidP="00AD2D7A">
            <w:pPr>
              <w:pStyle w:val="Check1"/>
              <w:numPr>
                <w:ilvl w:val="0"/>
                <w:numId w:val="54"/>
              </w:numPr>
              <w:ind w:left="342" w:hanging="342"/>
            </w:pPr>
            <w:r w:rsidRPr="009E1CC7">
              <w:t>Commuter assistance services (i.e., vanpools,</w:t>
            </w:r>
            <w:r w:rsidRPr="009E1CC7">
              <w:rPr>
                <w:rStyle w:val="FootnoteReference"/>
              </w:rPr>
              <w:t>*</w:t>
            </w:r>
            <w:r w:rsidRPr="009E1CC7">
              <w:t xml:space="preserve"> guaranteed ride home) </w:t>
            </w:r>
          </w:p>
        </w:tc>
        <w:tc>
          <w:tcPr>
            <w:tcW w:w="854" w:type="dxa"/>
            <w:gridSpan w:val="2"/>
            <w:tcBorders>
              <w:left w:val="nil"/>
            </w:tcBorders>
            <w:vAlign w:val="center"/>
          </w:tcPr>
          <w:p w:rsidR="00225952" w:rsidRPr="009E1CC7" w:rsidRDefault="00225952" w:rsidP="00225952">
            <w:pPr>
              <w:pStyle w:val="Check1"/>
              <w:jc w:val="center"/>
            </w:pPr>
            <w:r w:rsidRPr="00A03CA0">
              <w:rPr>
                <w:noProof/>
              </w:rPr>
              <w:drawing>
                <wp:inline distT="0" distB="0" distL="0" distR="0">
                  <wp:extent cx="320040" cy="152400"/>
                  <wp:effectExtent l="0" t="0" r="0" b="0"/>
                  <wp:docPr id="214" name="Picture 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diobuttons.png"/>
                          <pic:cNvPicPr>
                            <a:picLocks noChangeAspect="1" noChangeArrowheads="1"/>
                          </pic:cNvPicPr>
                        </pic:nvPicPr>
                        <pic:blipFill>
                          <a:blip r:embed="rId257" cstate="print"/>
                          <a:srcRect r="30769"/>
                          <a:stretch>
                            <a:fillRect/>
                          </a:stretch>
                        </pic:blipFill>
                        <pic:spPr bwMode="auto">
                          <a:xfrm>
                            <a:off x="0" y="0"/>
                            <a:ext cx="320040" cy="152400"/>
                          </a:xfrm>
                          <a:prstGeom prst="rect">
                            <a:avLst/>
                          </a:prstGeom>
                          <a:noFill/>
                          <a:ln w="9525">
                            <a:noFill/>
                            <a:miter lim="800000"/>
                            <a:headEnd/>
                            <a:tailEnd/>
                          </a:ln>
                        </pic:spPr>
                      </pic:pic>
                    </a:graphicData>
                  </a:graphic>
                </wp:inline>
              </w:drawing>
            </w:r>
          </w:p>
        </w:tc>
      </w:tr>
      <w:tr w:rsidR="00225952" w:rsidTr="00225952">
        <w:tc>
          <w:tcPr>
            <w:tcW w:w="3060" w:type="dxa"/>
            <w:vMerge/>
            <w:tcBorders>
              <w:right w:val="nil"/>
            </w:tcBorders>
          </w:tcPr>
          <w:p w:rsidR="00225952" w:rsidRPr="00DC5E75" w:rsidRDefault="00225952" w:rsidP="00225952">
            <w:pPr>
              <w:pStyle w:val="CheckA"/>
              <w:rPr>
                <w:rFonts w:cs="Arial"/>
              </w:rPr>
            </w:pPr>
          </w:p>
        </w:tc>
        <w:tc>
          <w:tcPr>
            <w:tcW w:w="6562" w:type="dxa"/>
            <w:tcBorders>
              <w:left w:val="nil"/>
              <w:right w:val="nil"/>
            </w:tcBorders>
          </w:tcPr>
          <w:p w:rsidR="00225952" w:rsidRPr="009E1CC7" w:rsidRDefault="00225952" w:rsidP="00AD2D7A">
            <w:pPr>
              <w:pStyle w:val="Check1"/>
              <w:numPr>
                <w:ilvl w:val="0"/>
                <w:numId w:val="54"/>
              </w:numPr>
              <w:ind w:left="342" w:hanging="342"/>
            </w:pPr>
            <w:r w:rsidRPr="009E1CC7">
              <w:t>Availability</w:t>
            </w:r>
          </w:p>
        </w:tc>
        <w:tc>
          <w:tcPr>
            <w:tcW w:w="854" w:type="dxa"/>
            <w:gridSpan w:val="2"/>
            <w:tcBorders>
              <w:left w:val="nil"/>
            </w:tcBorders>
            <w:vAlign w:val="center"/>
          </w:tcPr>
          <w:p w:rsidR="00225952" w:rsidRPr="009E1CC7" w:rsidRDefault="00225952" w:rsidP="00225952">
            <w:pPr>
              <w:pStyle w:val="Check1"/>
              <w:jc w:val="center"/>
            </w:pPr>
            <w:r w:rsidRPr="00A03CA0">
              <w:rPr>
                <w:noProof/>
              </w:rPr>
              <w:drawing>
                <wp:inline distT="0" distB="0" distL="0" distR="0">
                  <wp:extent cx="320040" cy="152400"/>
                  <wp:effectExtent l="0" t="0" r="0" b="0"/>
                  <wp:docPr id="215" name="Picture 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diobuttons.png"/>
                          <pic:cNvPicPr>
                            <a:picLocks noChangeAspect="1" noChangeArrowheads="1"/>
                          </pic:cNvPicPr>
                        </pic:nvPicPr>
                        <pic:blipFill>
                          <a:blip r:embed="rId257" cstate="print"/>
                          <a:srcRect r="30769"/>
                          <a:stretch>
                            <a:fillRect/>
                          </a:stretch>
                        </pic:blipFill>
                        <pic:spPr bwMode="auto">
                          <a:xfrm>
                            <a:off x="0" y="0"/>
                            <a:ext cx="320040" cy="152400"/>
                          </a:xfrm>
                          <a:prstGeom prst="rect">
                            <a:avLst/>
                          </a:prstGeom>
                          <a:noFill/>
                          <a:ln w="9525">
                            <a:noFill/>
                            <a:miter lim="800000"/>
                            <a:headEnd/>
                            <a:tailEnd/>
                          </a:ln>
                        </pic:spPr>
                      </pic:pic>
                    </a:graphicData>
                  </a:graphic>
                </wp:inline>
              </w:drawing>
            </w:r>
          </w:p>
        </w:tc>
      </w:tr>
      <w:tr w:rsidR="00225952" w:rsidTr="00225952">
        <w:tc>
          <w:tcPr>
            <w:tcW w:w="3060" w:type="dxa"/>
            <w:vMerge/>
            <w:tcBorders>
              <w:right w:val="nil"/>
            </w:tcBorders>
          </w:tcPr>
          <w:p w:rsidR="00225952" w:rsidRPr="00DC5E75" w:rsidRDefault="00225952" w:rsidP="00225952">
            <w:pPr>
              <w:pStyle w:val="CheckA"/>
              <w:rPr>
                <w:rFonts w:cs="Arial"/>
              </w:rPr>
            </w:pPr>
          </w:p>
        </w:tc>
        <w:tc>
          <w:tcPr>
            <w:tcW w:w="6562" w:type="dxa"/>
            <w:tcBorders>
              <w:left w:val="nil"/>
              <w:right w:val="nil"/>
            </w:tcBorders>
          </w:tcPr>
          <w:p w:rsidR="00225952" w:rsidRPr="009E1CC7" w:rsidRDefault="00225952" w:rsidP="00AD2D7A">
            <w:pPr>
              <w:pStyle w:val="Check1"/>
              <w:numPr>
                <w:ilvl w:val="0"/>
                <w:numId w:val="54"/>
              </w:numPr>
              <w:ind w:left="342" w:hanging="342"/>
            </w:pPr>
            <w:r w:rsidRPr="009E1CC7">
              <w:t>Usage</w:t>
            </w:r>
          </w:p>
        </w:tc>
        <w:tc>
          <w:tcPr>
            <w:tcW w:w="854" w:type="dxa"/>
            <w:gridSpan w:val="2"/>
            <w:tcBorders>
              <w:left w:val="nil"/>
            </w:tcBorders>
            <w:vAlign w:val="center"/>
          </w:tcPr>
          <w:p w:rsidR="00225952" w:rsidRPr="009E1CC7" w:rsidRDefault="00225952" w:rsidP="00225952">
            <w:pPr>
              <w:pStyle w:val="Check1"/>
              <w:jc w:val="center"/>
            </w:pPr>
            <w:r w:rsidRPr="00A03CA0">
              <w:rPr>
                <w:noProof/>
              </w:rPr>
              <w:drawing>
                <wp:inline distT="0" distB="0" distL="0" distR="0">
                  <wp:extent cx="320040" cy="152400"/>
                  <wp:effectExtent l="0" t="0" r="0" b="0"/>
                  <wp:docPr id="216" name="Picture 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diobuttons.png"/>
                          <pic:cNvPicPr>
                            <a:picLocks noChangeAspect="1" noChangeArrowheads="1"/>
                          </pic:cNvPicPr>
                        </pic:nvPicPr>
                        <pic:blipFill>
                          <a:blip r:embed="rId257" cstate="print"/>
                          <a:srcRect r="30769"/>
                          <a:stretch>
                            <a:fillRect/>
                          </a:stretch>
                        </pic:blipFill>
                        <pic:spPr bwMode="auto">
                          <a:xfrm>
                            <a:off x="0" y="0"/>
                            <a:ext cx="320040" cy="152400"/>
                          </a:xfrm>
                          <a:prstGeom prst="rect">
                            <a:avLst/>
                          </a:prstGeom>
                          <a:noFill/>
                          <a:ln w="9525">
                            <a:noFill/>
                            <a:miter lim="800000"/>
                            <a:headEnd/>
                            <a:tailEnd/>
                          </a:ln>
                        </pic:spPr>
                      </pic:pic>
                    </a:graphicData>
                  </a:graphic>
                </wp:inline>
              </w:drawing>
            </w:r>
          </w:p>
        </w:tc>
      </w:tr>
      <w:tr w:rsidR="00225952" w:rsidTr="00225952">
        <w:tc>
          <w:tcPr>
            <w:tcW w:w="3060" w:type="dxa"/>
            <w:tcBorders>
              <w:right w:val="nil"/>
            </w:tcBorders>
          </w:tcPr>
          <w:p w:rsidR="00225952" w:rsidRPr="00DC5E75" w:rsidRDefault="00225952" w:rsidP="00225952">
            <w:pPr>
              <w:pStyle w:val="CheckA"/>
              <w:rPr>
                <w:rFonts w:cs="Arial"/>
              </w:rPr>
            </w:pPr>
            <w:r>
              <w:t xml:space="preserve">I.  </w:t>
            </w:r>
            <w:r w:rsidRPr="009E1CC7">
              <w:t>Broadband/wireless</w:t>
            </w:r>
          </w:p>
        </w:tc>
        <w:tc>
          <w:tcPr>
            <w:tcW w:w="6562" w:type="dxa"/>
            <w:tcBorders>
              <w:left w:val="nil"/>
              <w:right w:val="nil"/>
            </w:tcBorders>
          </w:tcPr>
          <w:p w:rsidR="00225952" w:rsidRPr="009E1CC7" w:rsidRDefault="00225952" w:rsidP="00AD2D7A">
            <w:pPr>
              <w:pStyle w:val="Check1"/>
              <w:numPr>
                <w:ilvl w:val="0"/>
                <w:numId w:val="55"/>
              </w:numPr>
              <w:ind w:left="342" w:hanging="342"/>
            </w:pPr>
            <w:r w:rsidRPr="009E1CC7">
              <w:t>Availability (to allow telework, teleconferencing, etc.)</w:t>
            </w:r>
          </w:p>
        </w:tc>
        <w:tc>
          <w:tcPr>
            <w:tcW w:w="854" w:type="dxa"/>
            <w:gridSpan w:val="2"/>
            <w:tcBorders>
              <w:left w:val="nil"/>
            </w:tcBorders>
            <w:vAlign w:val="center"/>
          </w:tcPr>
          <w:p w:rsidR="00225952" w:rsidRPr="009E1CC7" w:rsidRDefault="00225952" w:rsidP="00225952">
            <w:pPr>
              <w:pStyle w:val="Check1"/>
              <w:jc w:val="center"/>
            </w:pPr>
            <w:r w:rsidRPr="00A03CA0">
              <w:rPr>
                <w:noProof/>
              </w:rPr>
              <w:drawing>
                <wp:inline distT="0" distB="0" distL="0" distR="0">
                  <wp:extent cx="320040" cy="152400"/>
                  <wp:effectExtent l="0" t="0" r="0" b="0"/>
                  <wp:docPr id="217" name="Picture 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diobuttons.png"/>
                          <pic:cNvPicPr>
                            <a:picLocks noChangeAspect="1" noChangeArrowheads="1"/>
                          </pic:cNvPicPr>
                        </pic:nvPicPr>
                        <pic:blipFill>
                          <a:blip r:embed="rId257" cstate="print"/>
                          <a:srcRect r="30769"/>
                          <a:stretch>
                            <a:fillRect/>
                          </a:stretch>
                        </pic:blipFill>
                        <pic:spPr bwMode="auto">
                          <a:xfrm>
                            <a:off x="0" y="0"/>
                            <a:ext cx="320040" cy="152400"/>
                          </a:xfrm>
                          <a:prstGeom prst="rect">
                            <a:avLst/>
                          </a:prstGeom>
                          <a:noFill/>
                          <a:ln w="9525">
                            <a:noFill/>
                            <a:miter lim="800000"/>
                            <a:headEnd/>
                            <a:tailEnd/>
                          </a:ln>
                        </pic:spPr>
                      </pic:pic>
                    </a:graphicData>
                  </a:graphic>
                </wp:inline>
              </w:drawing>
            </w:r>
          </w:p>
        </w:tc>
      </w:tr>
      <w:tr w:rsidR="00225952" w:rsidTr="00225952">
        <w:tc>
          <w:tcPr>
            <w:tcW w:w="3060" w:type="dxa"/>
            <w:tcBorders>
              <w:right w:val="nil"/>
            </w:tcBorders>
          </w:tcPr>
          <w:p w:rsidR="00225952" w:rsidRPr="00DC5E75" w:rsidRDefault="00225952" w:rsidP="00225952">
            <w:pPr>
              <w:pStyle w:val="CheckA"/>
              <w:rPr>
                <w:rFonts w:cs="Arial"/>
              </w:rPr>
            </w:pPr>
            <w:r>
              <w:rPr>
                <w:rFonts w:cs="Arial"/>
              </w:rPr>
              <w:t>J.  Modal Split</w:t>
            </w:r>
          </w:p>
        </w:tc>
        <w:tc>
          <w:tcPr>
            <w:tcW w:w="6562" w:type="dxa"/>
            <w:tcBorders>
              <w:left w:val="nil"/>
              <w:right w:val="nil"/>
            </w:tcBorders>
          </w:tcPr>
          <w:p w:rsidR="00225952" w:rsidRPr="009E1CC7" w:rsidRDefault="00225952" w:rsidP="00AD2D7A">
            <w:pPr>
              <w:pStyle w:val="Check1"/>
              <w:numPr>
                <w:ilvl w:val="0"/>
                <w:numId w:val="56"/>
              </w:numPr>
              <w:ind w:left="342" w:hanging="342"/>
            </w:pPr>
            <w:r w:rsidRPr="009E1CC7">
              <w:t>Baseline modal split of alternative modes</w:t>
            </w:r>
          </w:p>
        </w:tc>
        <w:tc>
          <w:tcPr>
            <w:tcW w:w="854" w:type="dxa"/>
            <w:gridSpan w:val="2"/>
            <w:tcBorders>
              <w:left w:val="nil"/>
            </w:tcBorders>
            <w:vAlign w:val="center"/>
          </w:tcPr>
          <w:p w:rsidR="00225952" w:rsidRPr="009E1CC7" w:rsidRDefault="00225952" w:rsidP="00225952">
            <w:pPr>
              <w:pStyle w:val="Check1"/>
              <w:jc w:val="center"/>
            </w:pPr>
            <w:r w:rsidRPr="00A03CA0">
              <w:rPr>
                <w:noProof/>
              </w:rPr>
              <w:drawing>
                <wp:inline distT="0" distB="0" distL="0" distR="0">
                  <wp:extent cx="320040" cy="152400"/>
                  <wp:effectExtent l="0" t="0" r="0" b="0"/>
                  <wp:docPr id="218" name="Picture 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diobuttons.png"/>
                          <pic:cNvPicPr>
                            <a:picLocks noChangeAspect="1" noChangeArrowheads="1"/>
                          </pic:cNvPicPr>
                        </pic:nvPicPr>
                        <pic:blipFill>
                          <a:blip r:embed="rId257" cstate="print"/>
                          <a:srcRect r="30769"/>
                          <a:stretch>
                            <a:fillRect/>
                          </a:stretch>
                        </pic:blipFill>
                        <pic:spPr bwMode="auto">
                          <a:xfrm>
                            <a:off x="0" y="0"/>
                            <a:ext cx="320040" cy="152400"/>
                          </a:xfrm>
                          <a:prstGeom prst="rect">
                            <a:avLst/>
                          </a:prstGeom>
                          <a:noFill/>
                          <a:ln w="9525">
                            <a:noFill/>
                            <a:miter lim="800000"/>
                            <a:headEnd/>
                            <a:tailEnd/>
                          </a:ln>
                        </pic:spPr>
                      </pic:pic>
                    </a:graphicData>
                  </a:graphic>
                </wp:inline>
              </w:drawing>
            </w:r>
          </w:p>
        </w:tc>
      </w:tr>
      <w:tr w:rsidR="00225952" w:rsidTr="00225952">
        <w:tc>
          <w:tcPr>
            <w:tcW w:w="3060" w:type="dxa"/>
            <w:vMerge w:val="restart"/>
            <w:tcBorders>
              <w:right w:val="nil"/>
            </w:tcBorders>
          </w:tcPr>
          <w:p w:rsidR="00225952" w:rsidRPr="00DC5E75" w:rsidRDefault="00225952" w:rsidP="00225952">
            <w:pPr>
              <w:pStyle w:val="CheckA"/>
              <w:rPr>
                <w:rFonts w:cs="Arial"/>
              </w:rPr>
            </w:pPr>
            <w:r>
              <w:rPr>
                <w:rFonts w:cs="Arial"/>
              </w:rPr>
              <w:t>K.  Multimodal facility improvements</w:t>
            </w:r>
          </w:p>
        </w:tc>
        <w:tc>
          <w:tcPr>
            <w:tcW w:w="6562" w:type="dxa"/>
            <w:tcBorders>
              <w:left w:val="nil"/>
              <w:right w:val="nil"/>
            </w:tcBorders>
          </w:tcPr>
          <w:p w:rsidR="00225952" w:rsidRPr="009E1CC7" w:rsidRDefault="00225952" w:rsidP="00AD2D7A">
            <w:pPr>
              <w:pStyle w:val="Check1"/>
              <w:numPr>
                <w:ilvl w:val="0"/>
                <w:numId w:val="57"/>
              </w:numPr>
              <w:ind w:left="342" w:hanging="342"/>
            </w:pPr>
            <w:r w:rsidRPr="009E1CC7">
              <w:t xml:space="preserve">Planned, programmed or committed improvements to existing or new multimodal facilities </w:t>
            </w:r>
          </w:p>
        </w:tc>
        <w:tc>
          <w:tcPr>
            <w:tcW w:w="854" w:type="dxa"/>
            <w:gridSpan w:val="2"/>
            <w:tcBorders>
              <w:left w:val="nil"/>
            </w:tcBorders>
            <w:vAlign w:val="center"/>
          </w:tcPr>
          <w:p w:rsidR="00225952" w:rsidRPr="009E1CC7" w:rsidRDefault="00225952" w:rsidP="00225952">
            <w:pPr>
              <w:pStyle w:val="Check1"/>
              <w:jc w:val="center"/>
            </w:pPr>
            <w:r w:rsidRPr="00A03CA0">
              <w:rPr>
                <w:noProof/>
              </w:rPr>
              <w:drawing>
                <wp:inline distT="0" distB="0" distL="0" distR="0">
                  <wp:extent cx="320040" cy="152400"/>
                  <wp:effectExtent l="0" t="0" r="0" b="0"/>
                  <wp:docPr id="435" name="Picture 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diobuttons.png"/>
                          <pic:cNvPicPr>
                            <a:picLocks noChangeAspect="1" noChangeArrowheads="1"/>
                          </pic:cNvPicPr>
                        </pic:nvPicPr>
                        <pic:blipFill>
                          <a:blip r:embed="rId257" cstate="print"/>
                          <a:srcRect r="30769"/>
                          <a:stretch>
                            <a:fillRect/>
                          </a:stretch>
                        </pic:blipFill>
                        <pic:spPr bwMode="auto">
                          <a:xfrm>
                            <a:off x="0" y="0"/>
                            <a:ext cx="320040" cy="152400"/>
                          </a:xfrm>
                          <a:prstGeom prst="rect">
                            <a:avLst/>
                          </a:prstGeom>
                          <a:noFill/>
                          <a:ln w="9525">
                            <a:noFill/>
                            <a:miter lim="800000"/>
                            <a:headEnd/>
                            <a:tailEnd/>
                          </a:ln>
                        </pic:spPr>
                      </pic:pic>
                    </a:graphicData>
                  </a:graphic>
                </wp:inline>
              </w:drawing>
            </w:r>
          </w:p>
        </w:tc>
      </w:tr>
      <w:tr w:rsidR="00225952" w:rsidTr="00225952">
        <w:tc>
          <w:tcPr>
            <w:tcW w:w="3060" w:type="dxa"/>
            <w:vMerge/>
            <w:tcBorders>
              <w:right w:val="nil"/>
            </w:tcBorders>
          </w:tcPr>
          <w:p w:rsidR="00225952" w:rsidRPr="009E1CC7" w:rsidRDefault="00225952" w:rsidP="00225952">
            <w:pPr>
              <w:pStyle w:val="CheckA"/>
            </w:pPr>
          </w:p>
        </w:tc>
        <w:tc>
          <w:tcPr>
            <w:tcW w:w="6562" w:type="dxa"/>
            <w:tcBorders>
              <w:left w:val="nil"/>
              <w:right w:val="nil"/>
            </w:tcBorders>
          </w:tcPr>
          <w:p w:rsidR="00225952" w:rsidRDefault="00225952" w:rsidP="00AD2D7A">
            <w:pPr>
              <w:pStyle w:val="Check1"/>
              <w:numPr>
                <w:ilvl w:val="0"/>
                <w:numId w:val="57"/>
              </w:numPr>
              <w:ind w:left="342" w:hanging="342"/>
            </w:pPr>
            <w:r>
              <w:t>D</w:t>
            </w:r>
            <w:r w:rsidRPr="009E1CC7">
              <w:t>ocumentation of designated corridor space for transit or multimodal options</w:t>
            </w:r>
          </w:p>
        </w:tc>
        <w:tc>
          <w:tcPr>
            <w:tcW w:w="854" w:type="dxa"/>
            <w:gridSpan w:val="2"/>
            <w:tcBorders>
              <w:left w:val="nil"/>
            </w:tcBorders>
            <w:vAlign w:val="center"/>
          </w:tcPr>
          <w:p w:rsidR="00225952" w:rsidRPr="00A03CA0" w:rsidRDefault="00225952" w:rsidP="00225952">
            <w:pPr>
              <w:pStyle w:val="Check1"/>
              <w:jc w:val="center"/>
            </w:pPr>
          </w:p>
        </w:tc>
      </w:tr>
      <w:tr w:rsidR="00225952" w:rsidTr="00225952">
        <w:tc>
          <w:tcPr>
            <w:tcW w:w="3060" w:type="dxa"/>
            <w:tcBorders>
              <w:right w:val="nil"/>
            </w:tcBorders>
          </w:tcPr>
          <w:p w:rsidR="00225952" w:rsidRPr="00DC5E75" w:rsidRDefault="00225952" w:rsidP="00225952">
            <w:pPr>
              <w:pStyle w:val="CheckA"/>
              <w:rPr>
                <w:rFonts w:cs="Arial"/>
              </w:rPr>
            </w:pPr>
            <w:r>
              <w:rPr>
                <w:rFonts w:cs="Arial"/>
              </w:rPr>
              <w:t>L.  Existing LOS</w:t>
            </w:r>
          </w:p>
        </w:tc>
        <w:tc>
          <w:tcPr>
            <w:tcW w:w="6562" w:type="dxa"/>
            <w:tcBorders>
              <w:left w:val="nil"/>
              <w:right w:val="nil"/>
            </w:tcBorders>
          </w:tcPr>
          <w:p w:rsidR="00225952" w:rsidRPr="009E1CC7" w:rsidRDefault="00225952" w:rsidP="00AD2D7A">
            <w:pPr>
              <w:pStyle w:val="Check1"/>
              <w:numPr>
                <w:ilvl w:val="0"/>
                <w:numId w:val="58"/>
              </w:numPr>
              <w:ind w:left="342" w:hanging="342"/>
            </w:pPr>
            <w:r w:rsidRPr="009E1CC7">
              <w:t>The existing level of service for transit or multimodal alternatives, if the local government or transit agency has adopted such LOS standards</w:t>
            </w:r>
          </w:p>
        </w:tc>
        <w:tc>
          <w:tcPr>
            <w:tcW w:w="854" w:type="dxa"/>
            <w:gridSpan w:val="2"/>
            <w:tcBorders>
              <w:left w:val="nil"/>
            </w:tcBorders>
            <w:vAlign w:val="center"/>
          </w:tcPr>
          <w:p w:rsidR="00225952" w:rsidRPr="009E1CC7" w:rsidRDefault="00225952" w:rsidP="00225952">
            <w:pPr>
              <w:pStyle w:val="Check1"/>
              <w:jc w:val="center"/>
            </w:pPr>
            <w:r w:rsidRPr="00A03CA0">
              <w:rPr>
                <w:noProof/>
              </w:rPr>
              <w:drawing>
                <wp:inline distT="0" distB="0" distL="0" distR="0">
                  <wp:extent cx="320040" cy="152400"/>
                  <wp:effectExtent l="0" t="0" r="0" b="0"/>
                  <wp:docPr id="220" name="Picture 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diobuttons.png"/>
                          <pic:cNvPicPr>
                            <a:picLocks noChangeAspect="1" noChangeArrowheads="1"/>
                          </pic:cNvPicPr>
                        </pic:nvPicPr>
                        <pic:blipFill>
                          <a:blip r:embed="rId257" cstate="print"/>
                          <a:srcRect r="30769"/>
                          <a:stretch>
                            <a:fillRect/>
                          </a:stretch>
                        </pic:blipFill>
                        <pic:spPr bwMode="auto">
                          <a:xfrm>
                            <a:off x="0" y="0"/>
                            <a:ext cx="320040" cy="152400"/>
                          </a:xfrm>
                          <a:prstGeom prst="rect">
                            <a:avLst/>
                          </a:prstGeom>
                          <a:noFill/>
                          <a:ln w="9525">
                            <a:noFill/>
                            <a:miter lim="800000"/>
                            <a:headEnd/>
                            <a:tailEnd/>
                          </a:ln>
                        </pic:spPr>
                      </pic:pic>
                    </a:graphicData>
                  </a:graphic>
                </wp:inline>
              </w:drawing>
            </w:r>
          </w:p>
        </w:tc>
      </w:tr>
      <w:tr w:rsidR="00225952" w:rsidTr="00225952">
        <w:tc>
          <w:tcPr>
            <w:tcW w:w="9622" w:type="dxa"/>
            <w:gridSpan w:val="2"/>
            <w:tcBorders>
              <w:right w:val="nil"/>
            </w:tcBorders>
          </w:tcPr>
          <w:p w:rsidR="00225952" w:rsidRPr="00A03CA0" w:rsidRDefault="00225952" w:rsidP="00225952">
            <w:pPr>
              <w:spacing w:after="0"/>
              <w:ind w:left="702"/>
              <w:rPr>
                <w:sz w:val="16"/>
              </w:rPr>
            </w:pPr>
            <w:r>
              <w:rPr>
                <w:rFonts w:cs="Arial"/>
                <w:sz w:val="16"/>
              </w:rPr>
              <w:t xml:space="preserve">* </w:t>
            </w:r>
            <w:r w:rsidRPr="00A03CA0">
              <w:rPr>
                <w:rFonts w:cs="Arial"/>
                <w:sz w:val="16"/>
              </w:rPr>
              <w:t xml:space="preserve">Many developments restrict parking for vehicles with logos or do not have a public parking space to handle a 15-22 person van. </w:t>
            </w:r>
            <w:r>
              <w:rPr>
                <w:rFonts w:cs="Arial"/>
                <w:sz w:val="16"/>
              </w:rPr>
              <w:t xml:space="preserve">  </w:t>
            </w:r>
            <w:r w:rsidRPr="00A03CA0">
              <w:rPr>
                <w:rFonts w:cs="Arial"/>
                <w:sz w:val="16"/>
              </w:rPr>
              <w:t>Allowance for overnight parking for vanpool vans is critical to implementing this TDM strategy.</w:t>
            </w:r>
            <w:r w:rsidRPr="00A03CA0">
              <w:rPr>
                <w:sz w:val="16"/>
              </w:rPr>
              <w:t xml:space="preserve"> </w:t>
            </w:r>
          </w:p>
        </w:tc>
        <w:tc>
          <w:tcPr>
            <w:tcW w:w="854" w:type="dxa"/>
            <w:gridSpan w:val="2"/>
            <w:tcBorders>
              <w:left w:val="nil"/>
            </w:tcBorders>
            <w:vAlign w:val="center"/>
          </w:tcPr>
          <w:p w:rsidR="00225952" w:rsidRPr="00A03CA0" w:rsidRDefault="00225952" w:rsidP="00225952">
            <w:pPr>
              <w:pStyle w:val="Check1"/>
              <w:jc w:val="center"/>
            </w:pPr>
          </w:p>
        </w:tc>
      </w:tr>
      <w:tr w:rsidR="00225952" w:rsidTr="00225952">
        <w:tc>
          <w:tcPr>
            <w:tcW w:w="9622" w:type="dxa"/>
            <w:gridSpan w:val="2"/>
            <w:tcBorders>
              <w:right w:val="nil"/>
            </w:tcBorders>
            <w:shd w:val="clear" w:color="auto" w:fill="DBE5F1" w:themeFill="accent1" w:themeFillTint="33"/>
          </w:tcPr>
          <w:p w:rsidR="00225952" w:rsidRPr="009E1CC7" w:rsidRDefault="00225952" w:rsidP="00225952">
            <w:pPr>
              <w:pStyle w:val="Check1"/>
              <w:ind w:left="0" w:firstLine="0"/>
            </w:pPr>
            <w:r w:rsidRPr="00203C7D">
              <w:rPr>
                <w:rFonts w:cs="Arial"/>
                <w:b/>
                <w:sz w:val="20"/>
              </w:rPr>
              <w:t>Land Use/Site Design</w:t>
            </w:r>
          </w:p>
        </w:tc>
        <w:tc>
          <w:tcPr>
            <w:tcW w:w="854" w:type="dxa"/>
            <w:gridSpan w:val="2"/>
            <w:tcBorders>
              <w:left w:val="nil"/>
            </w:tcBorders>
            <w:vAlign w:val="center"/>
          </w:tcPr>
          <w:p w:rsidR="00225952" w:rsidRPr="009E1CC7" w:rsidRDefault="00225952" w:rsidP="00225952">
            <w:pPr>
              <w:pStyle w:val="Check1"/>
              <w:jc w:val="center"/>
            </w:pPr>
          </w:p>
        </w:tc>
      </w:tr>
      <w:tr w:rsidR="00225952" w:rsidTr="00225952">
        <w:tc>
          <w:tcPr>
            <w:tcW w:w="3060" w:type="dxa"/>
            <w:vMerge w:val="restart"/>
            <w:tcBorders>
              <w:right w:val="nil"/>
            </w:tcBorders>
          </w:tcPr>
          <w:p w:rsidR="00225952" w:rsidRPr="00DC5E75" w:rsidRDefault="00225952" w:rsidP="00225952">
            <w:pPr>
              <w:pStyle w:val="CheckA"/>
              <w:rPr>
                <w:rFonts w:cs="Arial"/>
              </w:rPr>
            </w:pPr>
            <w:r>
              <w:rPr>
                <w:rFonts w:cs="Arial"/>
                <w:sz w:val="18"/>
              </w:rPr>
              <w:tab/>
            </w:r>
            <w:r w:rsidRPr="009E1CC7">
              <w:rPr>
                <w:rFonts w:cs="Arial"/>
                <w:sz w:val="18"/>
              </w:rPr>
              <w:t>Discuss how development is consistent with local government comprehensive plans, land development regulations, special area plans, or other applicable mechanisms. For multimodal purposes, the information should include the following:</w:t>
            </w:r>
          </w:p>
        </w:tc>
        <w:tc>
          <w:tcPr>
            <w:tcW w:w="6562" w:type="dxa"/>
            <w:tcBorders>
              <w:left w:val="nil"/>
              <w:right w:val="nil"/>
            </w:tcBorders>
          </w:tcPr>
          <w:p w:rsidR="00225952" w:rsidRPr="009E1CC7" w:rsidRDefault="00225952" w:rsidP="00AD2D7A">
            <w:pPr>
              <w:numPr>
                <w:ilvl w:val="0"/>
                <w:numId w:val="28"/>
              </w:numPr>
              <w:tabs>
                <w:tab w:val="clear" w:pos="1080"/>
                <w:tab w:val="num" w:pos="360"/>
              </w:tabs>
              <w:spacing w:before="20" w:after="20" w:line="240" w:lineRule="auto"/>
              <w:ind w:left="360"/>
              <w:rPr>
                <w:rFonts w:cs="Arial"/>
                <w:sz w:val="18"/>
              </w:rPr>
            </w:pPr>
            <w:r w:rsidRPr="009E1CC7">
              <w:rPr>
                <w:rFonts w:cs="Arial"/>
                <w:sz w:val="18"/>
              </w:rPr>
              <w:t>Variety of land uses, including both employment and residential</w:t>
            </w:r>
          </w:p>
        </w:tc>
        <w:tc>
          <w:tcPr>
            <w:tcW w:w="854" w:type="dxa"/>
            <w:gridSpan w:val="2"/>
            <w:tcBorders>
              <w:left w:val="nil"/>
            </w:tcBorders>
            <w:vAlign w:val="center"/>
          </w:tcPr>
          <w:p w:rsidR="00225952" w:rsidRDefault="00225952" w:rsidP="00225952">
            <w:pPr>
              <w:pStyle w:val="Check1"/>
              <w:jc w:val="center"/>
            </w:pPr>
            <w:r w:rsidRPr="009E1CC7">
              <w:rPr>
                <w:noProof/>
              </w:rPr>
              <w:drawing>
                <wp:inline distT="0" distB="0" distL="0" distR="0">
                  <wp:extent cx="320040" cy="152400"/>
                  <wp:effectExtent l="0" t="0" r="0" b="0"/>
                  <wp:docPr id="372" name="Picture 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diobuttons.png"/>
                          <pic:cNvPicPr>
                            <a:picLocks noChangeAspect="1" noChangeArrowheads="1"/>
                          </pic:cNvPicPr>
                        </pic:nvPicPr>
                        <pic:blipFill>
                          <a:blip r:embed="rId257" cstate="print"/>
                          <a:srcRect r="30769"/>
                          <a:stretch>
                            <a:fillRect/>
                          </a:stretch>
                        </pic:blipFill>
                        <pic:spPr bwMode="auto">
                          <a:xfrm>
                            <a:off x="0" y="0"/>
                            <a:ext cx="320040" cy="152400"/>
                          </a:xfrm>
                          <a:prstGeom prst="rect">
                            <a:avLst/>
                          </a:prstGeom>
                          <a:noFill/>
                          <a:ln w="9525">
                            <a:noFill/>
                            <a:miter lim="800000"/>
                            <a:headEnd/>
                            <a:tailEnd/>
                          </a:ln>
                        </pic:spPr>
                      </pic:pic>
                    </a:graphicData>
                  </a:graphic>
                </wp:inline>
              </w:drawing>
            </w:r>
          </w:p>
        </w:tc>
      </w:tr>
      <w:tr w:rsidR="00225952" w:rsidTr="00225952">
        <w:tc>
          <w:tcPr>
            <w:tcW w:w="3060" w:type="dxa"/>
            <w:vMerge/>
            <w:tcBorders>
              <w:right w:val="nil"/>
            </w:tcBorders>
          </w:tcPr>
          <w:p w:rsidR="00225952" w:rsidRPr="00DC5E75" w:rsidRDefault="00225952" w:rsidP="00225952">
            <w:pPr>
              <w:pStyle w:val="CheckA"/>
              <w:rPr>
                <w:rFonts w:cs="Arial"/>
              </w:rPr>
            </w:pPr>
          </w:p>
        </w:tc>
        <w:tc>
          <w:tcPr>
            <w:tcW w:w="6562" w:type="dxa"/>
            <w:tcBorders>
              <w:left w:val="nil"/>
              <w:right w:val="nil"/>
            </w:tcBorders>
          </w:tcPr>
          <w:p w:rsidR="00225952" w:rsidRPr="009E1CC7" w:rsidRDefault="00225952" w:rsidP="00AD2D7A">
            <w:pPr>
              <w:numPr>
                <w:ilvl w:val="0"/>
                <w:numId w:val="28"/>
              </w:numPr>
              <w:tabs>
                <w:tab w:val="clear" w:pos="1080"/>
                <w:tab w:val="num" w:pos="360"/>
              </w:tabs>
              <w:spacing w:before="20" w:after="20" w:line="240" w:lineRule="auto"/>
              <w:ind w:left="360"/>
              <w:rPr>
                <w:rFonts w:cs="Arial"/>
                <w:sz w:val="18"/>
              </w:rPr>
            </w:pPr>
            <w:r w:rsidRPr="009E1CC7">
              <w:rPr>
                <w:rFonts w:cs="Arial"/>
                <w:sz w:val="18"/>
              </w:rPr>
              <w:t>Land uses that promote pedestrian, bicycle, and transit use</w:t>
            </w:r>
          </w:p>
        </w:tc>
        <w:tc>
          <w:tcPr>
            <w:tcW w:w="854" w:type="dxa"/>
            <w:gridSpan w:val="2"/>
            <w:tcBorders>
              <w:left w:val="nil"/>
            </w:tcBorders>
            <w:vAlign w:val="center"/>
          </w:tcPr>
          <w:p w:rsidR="00225952" w:rsidRDefault="00225952" w:rsidP="00225952">
            <w:pPr>
              <w:pStyle w:val="Check1"/>
              <w:jc w:val="center"/>
            </w:pPr>
            <w:r w:rsidRPr="009E1CC7">
              <w:rPr>
                <w:noProof/>
              </w:rPr>
              <w:drawing>
                <wp:inline distT="0" distB="0" distL="0" distR="0">
                  <wp:extent cx="320040" cy="152400"/>
                  <wp:effectExtent l="0" t="0" r="0" b="0"/>
                  <wp:docPr id="373" name="Picture 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diobuttons.png"/>
                          <pic:cNvPicPr>
                            <a:picLocks noChangeAspect="1" noChangeArrowheads="1"/>
                          </pic:cNvPicPr>
                        </pic:nvPicPr>
                        <pic:blipFill>
                          <a:blip r:embed="rId257" cstate="print"/>
                          <a:srcRect r="30769"/>
                          <a:stretch>
                            <a:fillRect/>
                          </a:stretch>
                        </pic:blipFill>
                        <pic:spPr bwMode="auto">
                          <a:xfrm>
                            <a:off x="0" y="0"/>
                            <a:ext cx="320040" cy="152400"/>
                          </a:xfrm>
                          <a:prstGeom prst="rect">
                            <a:avLst/>
                          </a:prstGeom>
                          <a:noFill/>
                          <a:ln w="9525">
                            <a:noFill/>
                            <a:miter lim="800000"/>
                            <a:headEnd/>
                            <a:tailEnd/>
                          </a:ln>
                        </pic:spPr>
                      </pic:pic>
                    </a:graphicData>
                  </a:graphic>
                </wp:inline>
              </w:drawing>
            </w:r>
          </w:p>
        </w:tc>
      </w:tr>
      <w:tr w:rsidR="00225952" w:rsidTr="00225952">
        <w:tc>
          <w:tcPr>
            <w:tcW w:w="3060" w:type="dxa"/>
            <w:vMerge/>
            <w:tcBorders>
              <w:right w:val="nil"/>
            </w:tcBorders>
          </w:tcPr>
          <w:p w:rsidR="00225952" w:rsidRPr="00DC5E75" w:rsidRDefault="00225952" w:rsidP="00225952">
            <w:pPr>
              <w:pStyle w:val="CheckA"/>
              <w:rPr>
                <w:rFonts w:cs="Arial"/>
              </w:rPr>
            </w:pPr>
          </w:p>
        </w:tc>
        <w:tc>
          <w:tcPr>
            <w:tcW w:w="6562" w:type="dxa"/>
            <w:tcBorders>
              <w:left w:val="nil"/>
              <w:right w:val="nil"/>
            </w:tcBorders>
          </w:tcPr>
          <w:p w:rsidR="00225952" w:rsidRPr="009E1CC7" w:rsidRDefault="00225952" w:rsidP="00AD2D7A">
            <w:pPr>
              <w:numPr>
                <w:ilvl w:val="0"/>
                <w:numId w:val="28"/>
              </w:numPr>
              <w:tabs>
                <w:tab w:val="clear" w:pos="1080"/>
                <w:tab w:val="num" w:pos="360"/>
              </w:tabs>
              <w:spacing w:before="20" w:after="20" w:line="240" w:lineRule="auto"/>
              <w:ind w:left="360"/>
              <w:rPr>
                <w:rFonts w:cs="Arial"/>
                <w:sz w:val="18"/>
              </w:rPr>
            </w:pPr>
            <w:r w:rsidRPr="009E1CC7">
              <w:rPr>
                <w:rFonts w:cs="Arial"/>
                <w:sz w:val="18"/>
              </w:rPr>
              <w:t>Sufficient densities to support transit ridership</w:t>
            </w:r>
          </w:p>
        </w:tc>
        <w:tc>
          <w:tcPr>
            <w:tcW w:w="854" w:type="dxa"/>
            <w:gridSpan w:val="2"/>
            <w:tcBorders>
              <w:left w:val="nil"/>
            </w:tcBorders>
            <w:vAlign w:val="center"/>
          </w:tcPr>
          <w:p w:rsidR="00225952" w:rsidRDefault="00225952" w:rsidP="00225952">
            <w:pPr>
              <w:pStyle w:val="Check1"/>
              <w:jc w:val="center"/>
            </w:pPr>
            <w:r w:rsidRPr="009E1CC7">
              <w:rPr>
                <w:noProof/>
              </w:rPr>
              <w:drawing>
                <wp:inline distT="0" distB="0" distL="0" distR="0">
                  <wp:extent cx="320040" cy="152400"/>
                  <wp:effectExtent l="0" t="0" r="0" b="0"/>
                  <wp:docPr id="374" name="Picture 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diobuttons.png"/>
                          <pic:cNvPicPr>
                            <a:picLocks noChangeAspect="1" noChangeArrowheads="1"/>
                          </pic:cNvPicPr>
                        </pic:nvPicPr>
                        <pic:blipFill>
                          <a:blip r:embed="rId257" cstate="print"/>
                          <a:srcRect r="30769"/>
                          <a:stretch>
                            <a:fillRect/>
                          </a:stretch>
                        </pic:blipFill>
                        <pic:spPr bwMode="auto">
                          <a:xfrm>
                            <a:off x="0" y="0"/>
                            <a:ext cx="320040" cy="152400"/>
                          </a:xfrm>
                          <a:prstGeom prst="rect">
                            <a:avLst/>
                          </a:prstGeom>
                          <a:noFill/>
                          <a:ln w="9525">
                            <a:noFill/>
                            <a:miter lim="800000"/>
                            <a:headEnd/>
                            <a:tailEnd/>
                          </a:ln>
                        </pic:spPr>
                      </pic:pic>
                    </a:graphicData>
                  </a:graphic>
                </wp:inline>
              </w:drawing>
            </w:r>
          </w:p>
        </w:tc>
      </w:tr>
      <w:tr w:rsidR="00225952" w:rsidTr="00225952">
        <w:tc>
          <w:tcPr>
            <w:tcW w:w="3060" w:type="dxa"/>
            <w:vMerge/>
            <w:tcBorders>
              <w:right w:val="nil"/>
            </w:tcBorders>
          </w:tcPr>
          <w:p w:rsidR="00225952" w:rsidRPr="00DC5E75" w:rsidRDefault="00225952" w:rsidP="00225952">
            <w:pPr>
              <w:pStyle w:val="CheckA"/>
              <w:rPr>
                <w:rFonts w:cs="Arial"/>
              </w:rPr>
            </w:pPr>
          </w:p>
        </w:tc>
        <w:tc>
          <w:tcPr>
            <w:tcW w:w="6562" w:type="dxa"/>
            <w:tcBorders>
              <w:left w:val="nil"/>
              <w:right w:val="nil"/>
            </w:tcBorders>
          </w:tcPr>
          <w:p w:rsidR="00225952" w:rsidRPr="009E1CC7" w:rsidRDefault="00225952" w:rsidP="00AD2D7A">
            <w:pPr>
              <w:numPr>
                <w:ilvl w:val="0"/>
                <w:numId w:val="28"/>
              </w:numPr>
              <w:tabs>
                <w:tab w:val="clear" w:pos="1080"/>
                <w:tab w:val="num" w:pos="360"/>
              </w:tabs>
              <w:spacing w:before="20" w:after="20" w:line="240" w:lineRule="auto"/>
              <w:ind w:left="360"/>
              <w:rPr>
                <w:rFonts w:cs="Arial"/>
                <w:sz w:val="18"/>
              </w:rPr>
            </w:pPr>
            <w:r w:rsidRPr="009E1CC7">
              <w:rPr>
                <w:rFonts w:cs="Arial"/>
                <w:sz w:val="18"/>
              </w:rPr>
              <w:t>Sufficient intensity along major transit corridors</w:t>
            </w:r>
          </w:p>
        </w:tc>
        <w:tc>
          <w:tcPr>
            <w:tcW w:w="854" w:type="dxa"/>
            <w:gridSpan w:val="2"/>
            <w:tcBorders>
              <w:left w:val="nil"/>
            </w:tcBorders>
            <w:vAlign w:val="center"/>
          </w:tcPr>
          <w:p w:rsidR="00225952" w:rsidRDefault="00225952" w:rsidP="00225952">
            <w:pPr>
              <w:pStyle w:val="Check1"/>
              <w:jc w:val="center"/>
            </w:pPr>
            <w:r w:rsidRPr="009E1CC7">
              <w:rPr>
                <w:noProof/>
              </w:rPr>
              <w:drawing>
                <wp:inline distT="0" distB="0" distL="0" distR="0">
                  <wp:extent cx="320040" cy="152400"/>
                  <wp:effectExtent l="0" t="0" r="0" b="0"/>
                  <wp:docPr id="375" name="Picture 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diobuttons.png"/>
                          <pic:cNvPicPr>
                            <a:picLocks noChangeAspect="1" noChangeArrowheads="1"/>
                          </pic:cNvPicPr>
                        </pic:nvPicPr>
                        <pic:blipFill>
                          <a:blip r:embed="rId257" cstate="print"/>
                          <a:srcRect r="30769"/>
                          <a:stretch>
                            <a:fillRect/>
                          </a:stretch>
                        </pic:blipFill>
                        <pic:spPr bwMode="auto">
                          <a:xfrm>
                            <a:off x="0" y="0"/>
                            <a:ext cx="320040" cy="152400"/>
                          </a:xfrm>
                          <a:prstGeom prst="rect">
                            <a:avLst/>
                          </a:prstGeom>
                          <a:noFill/>
                          <a:ln w="9525">
                            <a:noFill/>
                            <a:miter lim="800000"/>
                            <a:headEnd/>
                            <a:tailEnd/>
                          </a:ln>
                        </pic:spPr>
                      </pic:pic>
                    </a:graphicData>
                  </a:graphic>
                </wp:inline>
              </w:drawing>
            </w:r>
          </w:p>
        </w:tc>
      </w:tr>
      <w:tr w:rsidR="00225952" w:rsidTr="00225952">
        <w:tc>
          <w:tcPr>
            <w:tcW w:w="3060" w:type="dxa"/>
            <w:vMerge/>
            <w:tcBorders>
              <w:right w:val="nil"/>
            </w:tcBorders>
          </w:tcPr>
          <w:p w:rsidR="00225952" w:rsidRPr="00DC5E75" w:rsidRDefault="00225952" w:rsidP="00225952">
            <w:pPr>
              <w:pStyle w:val="CheckA"/>
              <w:rPr>
                <w:rFonts w:cs="Arial"/>
              </w:rPr>
            </w:pPr>
          </w:p>
        </w:tc>
        <w:tc>
          <w:tcPr>
            <w:tcW w:w="6562" w:type="dxa"/>
            <w:tcBorders>
              <w:left w:val="nil"/>
              <w:right w:val="nil"/>
            </w:tcBorders>
          </w:tcPr>
          <w:p w:rsidR="00225952" w:rsidRPr="009E1CC7" w:rsidRDefault="00225952" w:rsidP="00AD2D7A">
            <w:pPr>
              <w:numPr>
                <w:ilvl w:val="0"/>
                <w:numId w:val="28"/>
              </w:numPr>
              <w:tabs>
                <w:tab w:val="clear" w:pos="1080"/>
                <w:tab w:val="num" w:pos="360"/>
              </w:tabs>
              <w:spacing w:before="20" w:after="20" w:line="240" w:lineRule="auto"/>
              <w:ind w:left="360"/>
              <w:rPr>
                <w:rFonts w:cs="Arial"/>
                <w:sz w:val="18"/>
              </w:rPr>
            </w:pPr>
            <w:r w:rsidRPr="009E1CC7">
              <w:rPr>
                <w:rFonts w:cs="Arial"/>
                <w:sz w:val="18"/>
              </w:rPr>
              <w:t>Sufficient intensities in and around core areas</w:t>
            </w:r>
          </w:p>
        </w:tc>
        <w:tc>
          <w:tcPr>
            <w:tcW w:w="854" w:type="dxa"/>
            <w:gridSpan w:val="2"/>
            <w:tcBorders>
              <w:left w:val="nil"/>
            </w:tcBorders>
            <w:vAlign w:val="center"/>
          </w:tcPr>
          <w:p w:rsidR="00225952" w:rsidRDefault="00225952" w:rsidP="00225952">
            <w:pPr>
              <w:pStyle w:val="Check1"/>
              <w:jc w:val="center"/>
            </w:pPr>
            <w:r w:rsidRPr="009E1CC7">
              <w:rPr>
                <w:noProof/>
              </w:rPr>
              <w:drawing>
                <wp:inline distT="0" distB="0" distL="0" distR="0">
                  <wp:extent cx="320040" cy="152400"/>
                  <wp:effectExtent l="0" t="0" r="0" b="0"/>
                  <wp:docPr id="396" name="Picture 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diobuttons.png"/>
                          <pic:cNvPicPr>
                            <a:picLocks noChangeAspect="1" noChangeArrowheads="1"/>
                          </pic:cNvPicPr>
                        </pic:nvPicPr>
                        <pic:blipFill>
                          <a:blip r:embed="rId257" cstate="print"/>
                          <a:srcRect r="30769"/>
                          <a:stretch>
                            <a:fillRect/>
                          </a:stretch>
                        </pic:blipFill>
                        <pic:spPr bwMode="auto">
                          <a:xfrm>
                            <a:off x="0" y="0"/>
                            <a:ext cx="320040" cy="152400"/>
                          </a:xfrm>
                          <a:prstGeom prst="rect">
                            <a:avLst/>
                          </a:prstGeom>
                          <a:noFill/>
                          <a:ln w="9525">
                            <a:noFill/>
                            <a:miter lim="800000"/>
                            <a:headEnd/>
                            <a:tailEnd/>
                          </a:ln>
                        </pic:spPr>
                      </pic:pic>
                    </a:graphicData>
                  </a:graphic>
                </wp:inline>
              </w:drawing>
            </w:r>
          </w:p>
        </w:tc>
      </w:tr>
      <w:tr w:rsidR="00225952" w:rsidTr="00225952">
        <w:tc>
          <w:tcPr>
            <w:tcW w:w="3060" w:type="dxa"/>
            <w:vMerge/>
            <w:tcBorders>
              <w:right w:val="nil"/>
            </w:tcBorders>
          </w:tcPr>
          <w:p w:rsidR="00225952" w:rsidRPr="00DC5E75" w:rsidRDefault="00225952" w:rsidP="00225952">
            <w:pPr>
              <w:pStyle w:val="CheckA"/>
              <w:rPr>
                <w:rFonts w:cs="Arial"/>
              </w:rPr>
            </w:pPr>
          </w:p>
        </w:tc>
        <w:tc>
          <w:tcPr>
            <w:tcW w:w="6562" w:type="dxa"/>
            <w:tcBorders>
              <w:left w:val="nil"/>
              <w:right w:val="nil"/>
            </w:tcBorders>
          </w:tcPr>
          <w:p w:rsidR="00225952" w:rsidRPr="009E1CC7" w:rsidRDefault="00225952" w:rsidP="00AD2D7A">
            <w:pPr>
              <w:numPr>
                <w:ilvl w:val="0"/>
                <w:numId w:val="28"/>
              </w:numPr>
              <w:tabs>
                <w:tab w:val="clear" w:pos="1080"/>
                <w:tab w:val="num" w:pos="360"/>
              </w:tabs>
              <w:spacing w:before="20" w:after="20" w:line="240" w:lineRule="auto"/>
              <w:ind w:left="360"/>
              <w:rPr>
                <w:rFonts w:cs="Arial"/>
                <w:sz w:val="18"/>
              </w:rPr>
            </w:pPr>
            <w:r w:rsidRPr="009E1CC7">
              <w:rPr>
                <w:rFonts w:cs="Arial"/>
                <w:sz w:val="18"/>
              </w:rPr>
              <w:t>Connectivity to adjacent properties, surrounding communities, and the surrounding street network; include multimodal connectivity analysis</w:t>
            </w:r>
          </w:p>
        </w:tc>
        <w:tc>
          <w:tcPr>
            <w:tcW w:w="854" w:type="dxa"/>
            <w:gridSpan w:val="2"/>
            <w:tcBorders>
              <w:left w:val="nil"/>
            </w:tcBorders>
            <w:vAlign w:val="center"/>
          </w:tcPr>
          <w:p w:rsidR="00225952" w:rsidRDefault="00225952" w:rsidP="00225952">
            <w:pPr>
              <w:pStyle w:val="Check1"/>
              <w:jc w:val="center"/>
            </w:pPr>
            <w:r w:rsidRPr="009E1CC7">
              <w:rPr>
                <w:noProof/>
              </w:rPr>
              <w:drawing>
                <wp:inline distT="0" distB="0" distL="0" distR="0">
                  <wp:extent cx="320040" cy="152400"/>
                  <wp:effectExtent l="0" t="0" r="0" b="0"/>
                  <wp:docPr id="397" name="Picture 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diobuttons.png"/>
                          <pic:cNvPicPr>
                            <a:picLocks noChangeAspect="1" noChangeArrowheads="1"/>
                          </pic:cNvPicPr>
                        </pic:nvPicPr>
                        <pic:blipFill>
                          <a:blip r:embed="rId257" cstate="print"/>
                          <a:srcRect r="30769"/>
                          <a:stretch>
                            <a:fillRect/>
                          </a:stretch>
                        </pic:blipFill>
                        <pic:spPr bwMode="auto">
                          <a:xfrm>
                            <a:off x="0" y="0"/>
                            <a:ext cx="320040" cy="152400"/>
                          </a:xfrm>
                          <a:prstGeom prst="rect">
                            <a:avLst/>
                          </a:prstGeom>
                          <a:noFill/>
                          <a:ln w="9525">
                            <a:noFill/>
                            <a:miter lim="800000"/>
                            <a:headEnd/>
                            <a:tailEnd/>
                          </a:ln>
                        </pic:spPr>
                      </pic:pic>
                    </a:graphicData>
                  </a:graphic>
                </wp:inline>
              </w:drawing>
            </w:r>
          </w:p>
        </w:tc>
      </w:tr>
      <w:tr w:rsidR="00225952" w:rsidTr="00225952">
        <w:tc>
          <w:tcPr>
            <w:tcW w:w="3060" w:type="dxa"/>
            <w:vMerge/>
            <w:tcBorders>
              <w:right w:val="nil"/>
            </w:tcBorders>
          </w:tcPr>
          <w:p w:rsidR="00225952" w:rsidRPr="00DC5E75" w:rsidRDefault="00225952" w:rsidP="00225952">
            <w:pPr>
              <w:pStyle w:val="CheckA"/>
              <w:rPr>
                <w:rFonts w:cs="Arial"/>
              </w:rPr>
            </w:pPr>
          </w:p>
        </w:tc>
        <w:tc>
          <w:tcPr>
            <w:tcW w:w="6562" w:type="dxa"/>
            <w:tcBorders>
              <w:left w:val="nil"/>
              <w:right w:val="nil"/>
            </w:tcBorders>
          </w:tcPr>
          <w:p w:rsidR="00225952" w:rsidRPr="009E1CC7" w:rsidRDefault="00225952" w:rsidP="00AD2D7A">
            <w:pPr>
              <w:numPr>
                <w:ilvl w:val="0"/>
                <w:numId w:val="28"/>
              </w:numPr>
              <w:tabs>
                <w:tab w:val="clear" w:pos="1080"/>
                <w:tab w:val="num" w:pos="360"/>
              </w:tabs>
              <w:spacing w:before="20" w:after="20" w:line="240" w:lineRule="auto"/>
              <w:ind w:left="360"/>
              <w:rPr>
                <w:rFonts w:cs="Arial"/>
                <w:sz w:val="18"/>
              </w:rPr>
            </w:pPr>
            <w:r w:rsidRPr="009E1CC7">
              <w:rPr>
                <w:rFonts w:cs="Arial"/>
                <w:sz w:val="18"/>
              </w:rPr>
              <w:t>Appropriate numbers of connections within the street network</w:t>
            </w:r>
          </w:p>
        </w:tc>
        <w:tc>
          <w:tcPr>
            <w:tcW w:w="854" w:type="dxa"/>
            <w:gridSpan w:val="2"/>
            <w:tcBorders>
              <w:left w:val="nil"/>
            </w:tcBorders>
            <w:vAlign w:val="center"/>
          </w:tcPr>
          <w:p w:rsidR="00225952" w:rsidRDefault="00225952" w:rsidP="00225952">
            <w:pPr>
              <w:pStyle w:val="Check1"/>
              <w:jc w:val="center"/>
            </w:pPr>
            <w:r w:rsidRPr="009E1CC7">
              <w:rPr>
                <w:noProof/>
              </w:rPr>
              <w:drawing>
                <wp:inline distT="0" distB="0" distL="0" distR="0">
                  <wp:extent cx="320040" cy="152400"/>
                  <wp:effectExtent l="0" t="0" r="0" b="0"/>
                  <wp:docPr id="398" name="Picture 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diobuttons.png"/>
                          <pic:cNvPicPr>
                            <a:picLocks noChangeAspect="1" noChangeArrowheads="1"/>
                          </pic:cNvPicPr>
                        </pic:nvPicPr>
                        <pic:blipFill>
                          <a:blip r:embed="rId257" cstate="print"/>
                          <a:srcRect r="30769"/>
                          <a:stretch>
                            <a:fillRect/>
                          </a:stretch>
                        </pic:blipFill>
                        <pic:spPr bwMode="auto">
                          <a:xfrm>
                            <a:off x="0" y="0"/>
                            <a:ext cx="320040" cy="152400"/>
                          </a:xfrm>
                          <a:prstGeom prst="rect">
                            <a:avLst/>
                          </a:prstGeom>
                          <a:noFill/>
                          <a:ln w="9525">
                            <a:noFill/>
                            <a:miter lim="800000"/>
                            <a:headEnd/>
                            <a:tailEnd/>
                          </a:ln>
                        </pic:spPr>
                      </pic:pic>
                    </a:graphicData>
                  </a:graphic>
                </wp:inline>
              </w:drawing>
            </w:r>
          </w:p>
        </w:tc>
      </w:tr>
      <w:tr w:rsidR="00225952" w:rsidTr="00225952">
        <w:tc>
          <w:tcPr>
            <w:tcW w:w="3060" w:type="dxa"/>
            <w:vMerge/>
            <w:tcBorders>
              <w:right w:val="nil"/>
            </w:tcBorders>
          </w:tcPr>
          <w:p w:rsidR="00225952" w:rsidRPr="00DC5E75" w:rsidRDefault="00225952" w:rsidP="00225952">
            <w:pPr>
              <w:pStyle w:val="CheckA"/>
              <w:rPr>
                <w:rFonts w:cs="Arial"/>
              </w:rPr>
            </w:pPr>
          </w:p>
        </w:tc>
        <w:tc>
          <w:tcPr>
            <w:tcW w:w="6562" w:type="dxa"/>
            <w:tcBorders>
              <w:left w:val="nil"/>
              <w:right w:val="nil"/>
            </w:tcBorders>
          </w:tcPr>
          <w:p w:rsidR="00225952" w:rsidRPr="009E1CC7" w:rsidRDefault="00225952" w:rsidP="00AD2D7A">
            <w:pPr>
              <w:numPr>
                <w:ilvl w:val="0"/>
                <w:numId w:val="28"/>
              </w:numPr>
              <w:tabs>
                <w:tab w:val="clear" w:pos="1080"/>
                <w:tab w:val="num" w:pos="360"/>
              </w:tabs>
              <w:spacing w:before="20" w:after="20" w:line="240" w:lineRule="auto"/>
              <w:ind w:left="360"/>
              <w:rPr>
                <w:rFonts w:cs="Arial"/>
                <w:sz w:val="18"/>
              </w:rPr>
            </w:pPr>
            <w:r w:rsidRPr="009E1CC7">
              <w:rPr>
                <w:rFonts w:cs="Arial"/>
                <w:sz w:val="18"/>
              </w:rPr>
              <w:t>Support of pedestrian environment including shorter block lengths, traffic calming measures, traffic enforcement programs, etc.</w:t>
            </w:r>
          </w:p>
        </w:tc>
        <w:tc>
          <w:tcPr>
            <w:tcW w:w="854" w:type="dxa"/>
            <w:gridSpan w:val="2"/>
            <w:tcBorders>
              <w:left w:val="nil"/>
            </w:tcBorders>
            <w:vAlign w:val="center"/>
          </w:tcPr>
          <w:p w:rsidR="00225952" w:rsidRDefault="00225952" w:rsidP="00225952">
            <w:pPr>
              <w:pStyle w:val="Check1"/>
              <w:jc w:val="center"/>
            </w:pPr>
            <w:r w:rsidRPr="009E1CC7">
              <w:rPr>
                <w:noProof/>
              </w:rPr>
              <w:drawing>
                <wp:inline distT="0" distB="0" distL="0" distR="0">
                  <wp:extent cx="320040" cy="152400"/>
                  <wp:effectExtent l="0" t="0" r="0" b="0"/>
                  <wp:docPr id="399" name="Picture 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diobuttons.png"/>
                          <pic:cNvPicPr>
                            <a:picLocks noChangeAspect="1" noChangeArrowheads="1"/>
                          </pic:cNvPicPr>
                        </pic:nvPicPr>
                        <pic:blipFill>
                          <a:blip r:embed="rId257" cstate="print"/>
                          <a:srcRect r="30769"/>
                          <a:stretch>
                            <a:fillRect/>
                          </a:stretch>
                        </pic:blipFill>
                        <pic:spPr bwMode="auto">
                          <a:xfrm>
                            <a:off x="0" y="0"/>
                            <a:ext cx="320040" cy="152400"/>
                          </a:xfrm>
                          <a:prstGeom prst="rect">
                            <a:avLst/>
                          </a:prstGeom>
                          <a:noFill/>
                          <a:ln w="9525">
                            <a:noFill/>
                            <a:miter lim="800000"/>
                            <a:headEnd/>
                            <a:tailEnd/>
                          </a:ln>
                        </pic:spPr>
                      </pic:pic>
                    </a:graphicData>
                  </a:graphic>
                </wp:inline>
              </w:drawing>
            </w:r>
          </w:p>
        </w:tc>
      </w:tr>
      <w:tr w:rsidR="00225952" w:rsidTr="00225952">
        <w:tc>
          <w:tcPr>
            <w:tcW w:w="10476" w:type="dxa"/>
            <w:gridSpan w:val="4"/>
          </w:tcPr>
          <w:p w:rsidR="00225952" w:rsidRPr="002635FD" w:rsidRDefault="00225952" w:rsidP="005F4952">
            <w:pPr>
              <w:pStyle w:val="ResourceNotTOC"/>
              <w:jc w:val="right"/>
            </w:pPr>
            <w:r>
              <w:t>3 of 3</w:t>
            </w:r>
          </w:p>
        </w:tc>
      </w:tr>
    </w:tbl>
    <w:p w:rsidR="00225952" w:rsidRDefault="00225952"/>
    <w:p w:rsidR="00CB4748" w:rsidRDefault="00CB4748" w:rsidP="00CB4748">
      <w:pPr>
        <w:jc w:val="center"/>
        <w:rPr>
          <w:rFonts w:ascii="Calibri" w:hAnsi="Calibri"/>
        </w:rPr>
      </w:pPr>
    </w:p>
    <w:p w:rsidR="00CB4748" w:rsidRDefault="003A266F" w:rsidP="00CB4748">
      <w:pPr>
        <w:jc w:val="center"/>
        <w:rPr>
          <w:b/>
          <w:color w:val="D9D9D9" w:themeColor="background1" w:themeShade="D9"/>
          <w:sz w:val="96"/>
          <w:szCs w:val="96"/>
        </w:rPr>
      </w:pPr>
      <w:r>
        <w:rPr>
          <w:rFonts w:ascii="Calibri" w:hAnsi="Calibri"/>
        </w:rPr>
        <w:br w:type="page"/>
      </w:r>
    </w:p>
    <w:p w:rsidR="00CB4748" w:rsidRDefault="00CB4748" w:rsidP="00CB4748">
      <w:pPr>
        <w:spacing w:after="200"/>
        <w:rPr>
          <w:b/>
          <w:color w:val="D9D9D9" w:themeColor="background1" w:themeShade="D9"/>
          <w:sz w:val="96"/>
          <w:szCs w:val="96"/>
        </w:rPr>
      </w:pPr>
    </w:p>
    <w:p w:rsidR="003A266F" w:rsidRDefault="00CB4748" w:rsidP="00CB4748">
      <w:pPr>
        <w:spacing w:after="200"/>
        <w:jc w:val="center"/>
        <w:rPr>
          <w:rFonts w:ascii="Calibri" w:hAnsi="Calibri"/>
        </w:rPr>
      </w:pPr>
      <w:r w:rsidRPr="004B5E07">
        <w:rPr>
          <w:b/>
          <w:color w:val="D9D9D9" w:themeColor="background1" w:themeShade="D9"/>
          <w:sz w:val="96"/>
          <w:szCs w:val="96"/>
        </w:rPr>
        <w:t>Blank Page</w:t>
      </w:r>
    </w:p>
    <w:p w:rsidR="003A266F" w:rsidRDefault="003A266F">
      <w:pPr>
        <w:spacing w:after="200"/>
        <w:rPr>
          <w:rFonts w:ascii="Calibri" w:eastAsia="Calibri" w:hAnsi="Calibri" w:cs="Times New Roman"/>
          <w:b/>
          <w:sz w:val="24"/>
        </w:rPr>
      </w:pPr>
      <w:r>
        <w:rPr>
          <w:rFonts w:ascii="Calibri" w:hAnsi="Calibri"/>
        </w:rPr>
        <w:br w:type="page"/>
      </w:r>
    </w:p>
    <w:p w:rsidR="00225952" w:rsidRDefault="00225952" w:rsidP="00225952">
      <w:pPr>
        <w:pStyle w:val="Resource"/>
        <w:rPr>
          <w:rFonts w:ascii="Calibri" w:hAnsi="Calibri"/>
          <w:color w:val="auto"/>
        </w:rPr>
        <w:sectPr w:rsidR="00225952" w:rsidSect="00832911">
          <w:headerReference w:type="default" r:id="rId334"/>
          <w:pgSz w:w="12240" w:h="15840"/>
          <w:pgMar w:top="1440" w:right="720" w:bottom="1440" w:left="1152" w:header="720" w:footer="720" w:gutter="0"/>
          <w:cols w:space="720"/>
          <w:docGrid w:linePitch="360"/>
        </w:sect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150"/>
        <w:gridCol w:w="3143"/>
        <w:gridCol w:w="2887"/>
        <w:gridCol w:w="1170"/>
      </w:tblGrid>
      <w:tr w:rsidR="00225952" w:rsidTr="005F4952">
        <w:tc>
          <w:tcPr>
            <w:tcW w:w="10350" w:type="dxa"/>
            <w:gridSpan w:val="4"/>
            <w:tcBorders>
              <w:top w:val="nil"/>
              <w:left w:val="nil"/>
              <w:right w:val="nil"/>
            </w:tcBorders>
            <w:shd w:val="clear" w:color="auto" w:fill="31849B" w:themeFill="accent5" w:themeFillShade="BF"/>
          </w:tcPr>
          <w:p w:rsidR="00225952" w:rsidRPr="005F4952" w:rsidRDefault="003A266F" w:rsidP="00EB5829">
            <w:pPr>
              <w:pStyle w:val="Heading2"/>
              <w:tabs>
                <w:tab w:val="clear" w:pos="9360"/>
                <w:tab w:val="right" w:pos="9972"/>
              </w:tabs>
              <w:spacing w:before="0" w:after="0"/>
              <w:rPr>
                <w:rFonts w:ascii="Trebuchet MS" w:hAnsi="Trebuchet MS"/>
                <w:sz w:val="20"/>
              </w:rPr>
            </w:pPr>
            <w:bookmarkStart w:id="301" w:name="C1"/>
            <w:bookmarkStart w:id="302" w:name="_Toc264274165"/>
            <w:bookmarkEnd w:id="301"/>
            <w:r>
              <w:rPr>
                <w:rFonts w:ascii="Trebuchet MS" w:hAnsi="Trebuchet MS"/>
                <w:color w:val="auto"/>
              </w:rPr>
              <w:lastRenderedPageBreak/>
              <w:t xml:space="preserve">DRI </w:t>
            </w:r>
            <w:r w:rsidR="00225952" w:rsidRPr="005F4952">
              <w:rPr>
                <w:rFonts w:ascii="Trebuchet MS" w:hAnsi="Trebuchet MS"/>
                <w:color w:val="auto"/>
              </w:rPr>
              <w:t>Checklist 1 |</w:t>
            </w:r>
            <w:r w:rsidR="00225952" w:rsidRPr="005F4952">
              <w:rPr>
                <w:rFonts w:ascii="Trebuchet MS" w:hAnsi="Trebuchet MS"/>
              </w:rPr>
              <w:t xml:space="preserve"> </w:t>
            </w:r>
            <w:r w:rsidR="00225952" w:rsidRPr="005F4952">
              <w:rPr>
                <w:rFonts w:ascii="Trebuchet MS" w:hAnsi="Trebuchet MS"/>
                <w:bCs w:val="0"/>
                <w:color w:val="FFFFFF"/>
                <w:sz w:val="24"/>
                <w:szCs w:val="22"/>
              </w:rPr>
              <w:t>Methodology Meeting</w:t>
            </w:r>
            <w:r w:rsidR="00225952" w:rsidRPr="005F4952">
              <w:rPr>
                <w:rFonts w:ascii="Trebuchet MS" w:hAnsi="Trebuchet MS"/>
              </w:rPr>
              <w:t xml:space="preserve"> </w:t>
            </w:r>
            <w:r w:rsidR="005F4952" w:rsidRPr="005F4952">
              <w:rPr>
                <w:rFonts w:ascii="Trebuchet MS" w:hAnsi="Trebuchet MS"/>
              </w:rPr>
              <w:tab/>
            </w:r>
            <w:r w:rsidR="005F4952">
              <w:rPr>
                <w:rFonts w:ascii="Trebuchet MS" w:hAnsi="Trebuchet MS"/>
              </w:rPr>
              <w:t xml:space="preserve"> </w:t>
            </w:r>
            <w:r w:rsidR="00EB5829">
              <w:rPr>
                <w:rFonts w:ascii="Trebuchet MS" w:hAnsi="Trebuchet MS"/>
              </w:rPr>
              <w:t xml:space="preserve">  </w:t>
            </w:r>
            <w:r w:rsidR="005F4952" w:rsidRPr="005F4952">
              <w:rPr>
                <w:rFonts w:ascii="Trebuchet MS" w:hAnsi="Trebuchet MS"/>
                <w:color w:val="B6DDE8" w:themeColor="accent5" w:themeTint="66"/>
                <w:sz w:val="18"/>
                <w:szCs w:val="18"/>
              </w:rPr>
              <w:t>1 of 3</w:t>
            </w:r>
            <w:bookmarkEnd w:id="302"/>
          </w:p>
        </w:tc>
      </w:tr>
      <w:tr w:rsidR="00225952" w:rsidTr="00225952">
        <w:tc>
          <w:tcPr>
            <w:tcW w:w="3150" w:type="dxa"/>
            <w:tcBorders>
              <w:bottom w:val="single" w:sz="12" w:space="0" w:color="000000"/>
            </w:tcBorders>
          </w:tcPr>
          <w:p w:rsidR="00225952" w:rsidRPr="009C28E0" w:rsidRDefault="00225952" w:rsidP="00225952">
            <w:pPr>
              <w:spacing w:after="0"/>
              <w:rPr>
                <w:i/>
                <w:sz w:val="18"/>
              </w:rPr>
            </w:pPr>
            <w:r w:rsidRPr="009C28E0">
              <w:rPr>
                <w:i/>
                <w:sz w:val="18"/>
              </w:rPr>
              <w:t>Project</w:t>
            </w:r>
          </w:p>
        </w:tc>
        <w:tc>
          <w:tcPr>
            <w:tcW w:w="3143" w:type="dxa"/>
            <w:tcBorders>
              <w:bottom w:val="single" w:sz="12" w:space="0" w:color="000000"/>
            </w:tcBorders>
          </w:tcPr>
          <w:p w:rsidR="00225952" w:rsidRPr="009C28E0" w:rsidRDefault="00225952" w:rsidP="00225952">
            <w:pPr>
              <w:spacing w:after="0"/>
              <w:rPr>
                <w:i/>
                <w:sz w:val="18"/>
              </w:rPr>
            </w:pPr>
            <w:r w:rsidRPr="009C28E0">
              <w:rPr>
                <w:i/>
                <w:sz w:val="18"/>
              </w:rPr>
              <w:t>Reviewer</w:t>
            </w:r>
          </w:p>
        </w:tc>
        <w:tc>
          <w:tcPr>
            <w:tcW w:w="4057" w:type="dxa"/>
            <w:gridSpan w:val="2"/>
            <w:tcBorders>
              <w:bottom w:val="single" w:sz="12" w:space="0" w:color="000000"/>
            </w:tcBorders>
          </w:tcPr>
          <w:p w:rsidR="00225952" w:rsidRPr="009C28E0" w:rsidRDefault="00225952" w:rsidP="00225952">
            <w:pPr>
              <w:spacing w:after="0"/>
              <w:rPr>
                <w:i/>
                <w:sz w:val="18"/>
              </w:rPr>
            </w:pPr>
            <w:r w:rsidRPr="009C28E0">
              <w:rPr>
                <w:i/>
                <w:sz w:val="18"/>
              </w:rPr>
              <w:t>Date of Review:</w:t>
            </w:r>
          </w:p>
          <w:p w:rsidR="00225952" w:rsidRPr="009C28E0" w:rsidRDefault="00225952" w:rsidP="00225952">
            <w:pPr>
              <w:spacing w:after="0"/>
              <w:rPr>
                <w:i/>
                <w:sz w:val="18"/>
              </w:rPr>
            </w:pPr>
            <w:r w:rsidRPr="009C28E0">
              <w:rPr>
                <w:i/>
                <w:sz w:val="18"/>
              </w:rPr>
              <w:t>Comments Due:</w:t>
            </w:r>
          </w:p>
        </w:tc>
      </w:tr>
      <w:tr w:rsidR="00225952" w:rsidTr="00225952">
        <w:tc>
          <w:tcPr>
            <w:tcW w:w="9180" w:type="dxa"/>
            <w:gridSpan w:val="3"/>
            <w:tcBorders>
              <w:top w:val="single" w:sz="12" w:space="0" w:color="000000"/>
              <w:right w:val="nil"/>
            </w:tcBorders>
            <w:shd w:val="clear" w:color="auto" w:fill="DBE5F1"/>
          </w:tcPr>
          <w:p w:rsidR="00225952" w:rsidRPr="009C28E0" w:rsidRDefault="00225952" w:rsidP="00225952">
            <w:pPr>
              <w:spacing w:after="0"/>
              <w:ind w:left="252" w:hanging="252"/>
              <w:rPr>
                <w:sz w:val="20"/>
              </w:rPr>
            </w:pPr>
            <w:r w:rsidRPr="009C28E0">
              <w:rPr>
                <w:b/>
              </w:rPr>
              <w:t>Project Information</w:t>
            </w:r>
          </w:p>
        </w:tc>
        <w:tc>
          <w:tcPr>
            <w:tcW w:w="1170" w:type="dxa"/>
            <w:tcBorders>
              <w:top w:val="single" w:sz="12" w:space="0" w:color="000000"/>
              <w:left w:val="nil"/>
            </w:tcBorders>
            <w:vAlign w:val="center"/>
          </w:tcPr>
          <w:p w:rsidR="00225952" w:rsidRPr="009C28E0" w:rsidRDefault="00225952" w:rsidP="00225952">
            <w:pPr>
              <w:spacing w:after="0"/>
              <w:jc w:val="center"/>
              <w:rPr>
                <w:noProof/>
                <w:sz w:val="18"/>
              </w:rPr>
            </w:pPr>
            <w:r w:rsidRPr="009C28E0">
              <w:rPr>
                <w:noProof/>
                <w:color w:val="4F6228"/>
                <w:sz w:val="18"/>
              </w:rPr>
              <w:t xml:space="preserve">Y  </w:t>
            </w:r>
            <w:r w:rsidRPr="009C28E0">
              <w:rPr>
                <w:noProof/>
                <w:sz w:val="18"/>
              </w:rPr>
              <w:t xml:space="preserve"> </w:t>
            </w:r>
            <w:r w:rsidRPr="009C28E0">
              <w:rPr>
                <w:noProof/>
                <w:color w:val="C00000"/>
                <w:sz w:val="18"/>
              </w:rPr>
              <w:t>N</w:t>
            </w:r>
            <w:r w:rsidRPr="009C28E0">
              <w:rPr>
                <w:noProof/>
                <w:sz w:val="18"/>
              </w:rPr>
              <w:t xml:space="preserve">  </w:t>
            </w:r>
            <w:r w:rsidRPr="009C28E0">
              <w:rPr>
                <w:noProof/>
                <w:color w:val="7F7F7F"/>
                <w:sz w:val="18"/>
              </w:rPr>
              <w:t>N/A</w:t>
            </w:r>
          </w:p>
        </w:tc>
      </w:tr>
      <w:tr w:rsidR="00225952" w:rsidTr="00225952">
        <w:tc>
          <w:tcPr>
            <w:tcW w:w="3150" w:type="dxa"/>
            <w:tcBorders>
              <w:right w:val="nil"/>
            </w:tcBorders>
          </w:tcPr>
          <w:p w:rsidR="00225952" w:rsidRPr="009C28E0" w:rsidRDefault="00225952" w:rsidP="00225952">
            <w:pPr>
              <w:pStyle w:val="CheckA"/>
              <w:rPr>
                <w:sz w:val="18"/>
              </w:rPr>
            </w:pPr>
            <w:r w:rsidRPr="00F05E1C">
              <w:t>A.</w:t>
            </w:r>
            <w:r w:rsidRPr="00F05E1C">
              <w:tab/>
              <w:t>Site relative to the surrounding roadway network shown?</w:t>
            </w:r>
          </w:p>
        </w:tc>
        <w:tc>
          <w:tcPr>
            <w:tcW w:w="6030" w:type="dxa"/>
            <w:gridSpan w:val="2"/>
            <w:tcBorders>
              <w:left w:val="nil"/>
              <w:right w:val="nil"/>
            </w:tcBorders>
            <w:vAlign w:val="center"/>
          </w:tcPr>
          <w:p w:rsidR="00225952" w:rsidRPr="009C28E0" w:rsidRDefault="00225952" w:rsidP="00225952">
            <w:pPr>
              <w:spacing w:after="0"/>
              <w:ind w:left="252" w:hanging="252"/>
              <w:rPr>
                <w:sz w:val="18"/>
              </w:rPr>
            </w:pPr>
            <w:r w:rsidRPr="009C28E0">
              <w:rPr>
                <w:sz w:val="18"/>
              </w:rPr>
              <w:t>1.</w:t>
            </w:r>
            <w:r w:rsidRPr="009C28E0">
              <w:rPr>
                <w:sz w:val="18"/>
              </w:rPr>
              <w:tab/>
              <w:t>In map format?</w:t>
            </w:r>
          </w:p>
        </w:tc>
        <w:tc>
          <w:tcPr>
            <w:tcW w:w="1170" w:type="dxa"/>
            <w:tcBorders>
              <w:left w:val="nil"/>
            </w:tcBorders>
            <w:vAlign w:val="center"/>
          </w:tcPr>
          <w:p w:rsidR="00225952" w:rsidRPr="009C28E0" w:rsidRDefault="00225952" w:rsidP="00225952">
            <w:pPr>
              <w:spacing w:after="0"/>
              <w:jc w:val="center"/>
              <w:rPr>
                <w:sz w:val="18"/>
              </w:rPr>
            </w:pPr>
            <w:r>
              <w:rPr>
                <w:noProof/>
                <w:sz w:val="18"/>
              </w:rPr>
              <w:drawing>
                <wp:inline distT="0" distB="0" distL="0" distR="0">
                  <wp:extent cx="462915" cy="154305"/>
                  <wp:effectExtent l="0" t="0" r="0" b="0"/>
                  <wp:docPr id="97" name="Picture 0"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val="restart"/>
            <w:tcBorders>
              <w:right w:val="nil"/>
            </w:tcBorders>
          </w:tcPr>
          <w:p w:rsidR="00225952" w:rsidRDefault="00225952" w:rsidP="00225952">
            <w:pPr>
              <w:pStyle w:val="CheckA"/>
            </w:pPr>
            <w:r w:rsidRPr="00F05E1C">
              <w:t>B.</w:t>
            </w:r>
            <w:r w:rsidRPr="00F05E1C">
              <w:tab/>
              <w:t>Project phasing shown?</w:t>
            </w:r>
          </w:p>
        </w:tc>
        <w:tc>
          <w:tcPr>
            <w:tcW w:w="6030" w:type="dxa"/>
            <w:gridSpan w:val="2"/>
            <w:tcBorders>
              <w:left w:val="nil"/>
              <w:right w:val="nil"/>
            </w:tcBorders>
            <w:vAlign w:val="center"/>
          </w:tcPr>
          <w:p w:rsidR="00225952" w:rsidRPr="009C28E0" w:rsidRDefault="00225952" w:rsidP="00225952">
            <w:pPr>
              <w:spacing w:after="0"/>
              <w:ind w:left="252" w:hanging="252"/>
              <w:rPr>
                <w:sz w:val="18"/>
              </w:rPr>
            </w:pPr>
            <w:r w:rsidRPr="009C28E0">
              <w:rPr>
                <w:sz w:val="18"/>
              </w:rPr>
              <w:t>1.</w:t>
            </w:r>
            <w:r w:rsidRPr="009C28E0">
              <w:rPr>
                <w:sz w:val="18"/>
              </w:rPr>
              <w:tab/>
              <w:t>Single phase project?</w:t>
            </w:r>
          </w:p>
        </w:tc>
        <w:tc>
          <w:tcPr>
            <w:tcW w:w="1170" w:type="dxa"/>
            <w:tcBorders>
              <w:left w:val="nil"/>
            </w:tcBorders>
            <w:vAlign w:val="center"/>
          </w:tcPr>
          <w:p w:rsidR="00225952" w:rsidRDefault="00225952" w:rsidP="00225952">
            <w:pPr>
              <w:spacing w:after="0"/>
              <w:jc w:val="center"/>
            </w:pPr>
            <w:r>
              <w:rPr>
                <w:noProof/>
              </w:rPr>
              <w:drawing>
                <wp:inline distT="0" distB="0" distL="0" distR="0">
                  <wp:extent cx="462915" cy="154305"/>
                  <wp:effectExtent l="0" t="0" r="0" b="0"/>
                  <wp:docPr id="98" name="Picture 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Default="00225952" w:rsidP="00225952">
            <w:pPr>
              <w:spacing w:after="0" w:line="240" w:lineRule="auto"/>
              <w:ind w:left="360" w:hanging="270"/>
            </w:pPr>
          </w:p>
        </w:tc>
        <w:tc>
          <w:tcPr>
            <w:tcW w:w="6030" w:type="dxa"/>
            <w:gridSpan w:val="2"/>
            <w:tcBorders>
              <w:left w:val="nil"/>
              <w:right w:val="nil"/>
            </w:tcBorders>
            <w:vAlign w:val="center"/>
          </w:tcPr>
          <w:p w:rsidR="00225952" w:rsidRPr="009C28E0" w:rsidRDefault="00225952" w:rsidP="00225952">
            <w:pPr>
              <w:spacing w:after="0"/>
              <w:ind w:left="252" w:hanging="252"/>
              <w:rPr>
                <w:sz w:val="18"/>
              </w:rPr>
            </w:pPr>
            <w:r w:rsidRPr="009C28E0">
              <w:rPr>
                <w:sz w:val="18"/>
              </w:rPr>
              <w:t>2.</w:t>
            </w:r>
            <w:r w:rsidRPr="009C28E0">
              <w:rPr>
                <w:sz w:val="18"/>
              </w:rPr>
              <w:tab/>
              <w:t>Multiple phases?</w:t>
            </w:r>
          </w:p>
        </w:tc>
        <w:tc>
          <w:tcPr>
            <w:tcW w:w="1170" w:type="dxa"/>
            <w:tcBorders>
              <w:left w:val="nil"/>
            </w:tcBorders>
            <w:vAlign w:val="center"/>
          </w:tcPr>
          <w:p w:rsidR="00225952" w:rsidRDefault="00225952" w:rsidP="00225952">
            <w:pPr>
              <w:spacing w:after="0"/>
              <w:jc w:val="center"/>
            </w:pPr>
            <w:r>
              <w:rPr>
                <w:noProof/>
              </w:rPr>
              <w:drawing>
                <wp:inline distT="0" distB="0" distL="0" distR="0">
                  <wp:extent cx="462915" cy="154305"/>
                  <wp:effectExtent l="0" t="0" r="0" b="0"/>
                  <wp:docPr id="101" name="Picture 3"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3"/>
            <w:tcBorders>
              <w:right w:val="nil"/>
            </w:tcBorders>
          </w:tcPr>
          <w:p w:rsidR="00225952" w:rsidRDefault="00225952" w:rsidP="00225952">
            <w:pPr>
              <w:pStyle w:val="CheckA"/>
            </w:pPr>
            <w:r w:rsidRPr="00F05E1C">
              <w:t>C.</w:t>
            </w:r>
            <w:r w:rsidRPr="00F05E1C">
              <w:tab/>
              <w:t>Proposed buildout year(s) of project phase(s) identified?</w:t>
            </w:r>
          </w:p>
        </w:tc>
        <w:tc>
          <w:tcPr>
            <w:tcW w:w="1170" w:type="dxa"/>
            <w:tcBorders>
              <w:left w:val="nil"/>
              <w:bottom w:val="nil"/>
            </w:tcBorders>
            <w:vAlign w:val="center"/>
          </w:tcPr>
          <w:p w:rsidR="00225952" w:rsidRDefault="00225952" w:rsidP="00225952">
            <w:pPr>
              <w:spacing w:after="0"/>
              <w:jc w:val="center"/>
            </w:pPr>
            <w:r>
              <w:rPr>
                <w:noProof/>
              </w:rPr>
              <w:drawing>
                <wp:inline distT="0" distB="0" distL="0" distR="0">
                  <wp:extent cx="462915" cy="154305"/>
                  <wp:effectExtent l="0" t="0" r="0" b="0"/>
                  <wp:docPr id="104" name="Picture 4"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rPr>
          <w:trHeight w:val="416"/>
        </w:trPr>
        <w:tc>
          <w:tcPr>
            <w:tcW w:w="3150" w:type="dxa"/>
            <w:vMerge w:val="restart"/>
            <w:tcBorders>
              <w:left w:val="single" w:sz="4" w:space="0" w:color="auto"/>
              <w:bottom w:val="single" w:sz="4" w:space="0" w:color="000000"/>
            </w:tcBorders>
          </w:tcPr>
          <w:p w:rsidR="00225952" w:rsidRDefault="00225952" w:rsidP="00225952">
            <w:pPr>
              <w:pStyle w:val="CheckA"/>
            </w:pPr>
            <w:r w:rsidRPr="00F05E1C">
              <w:t>D.</w:t>
            </w:r>
            <w:r w:rsidRPr="00F05E1C">
              <w:tab/>
              <w:t>Development defined in acceptable manner for each phase of implementation?</w:t>
            </w:r>
          </w:p>
        </w:tc>
        <w:tc>
          <w:tcPr>
            <w:tcW w:w="6030" w:type="dxa"/>
            <w:gridSpan w:val="2"/>
            <w:tcBorders>
              <w:bottom w:val="single" w:sz="4" w:space="0" w:color="auto"/>
            </w:tcBorders>
            <w:vAlign w:val="center"/>
          </w:tcPr>
          <w:p w:rsidR="00225952" w:rsidRPr="009C28E0" w:rsidRDefault="00225952" w:rsidP="00225952">
            <w:pPr>
              <w:spacing w:after="0"/>
              <w:ind w:left="252" w:hanging="252"/>
              <w:rPr>
                <w:sz w:val="18"/>
              </w:rPr>
            </w:pPr>
            <w:r w:rsidRPr="009C28E0">
              <w:rPr>
                <w:sz w:val="18"/>
              </w:rPr>
              <w:t>1.</w:t>
            </w:r>
            <w:r w:rsidRPr="009C28E0">
              <w:rPr>
                <w:sz w:val="18"/>
              </w:rPr>
              <w:tab/>
              <w:t>Number dwelling units (DUs) for residential land uses?</w:t>
            </w:r>
          </w:p>
        </w:tc>
        <w:tc>
          <w:tcPr>
            <w:tcW w:w="1170" w:type="dxa"/>
            <w:tcBorders>
              <w:right w:val="single" w:sz="4" w:space="0" w:color="auto"/>
            </w:tcBorders>
          </w:tcPr>
          <w:p w:rsidR="00225952" w:rsidRDefault="00225952" w:rsidP="00225952">
            <w:pPr>
              <w:spacing w:after="0"/>
              <w:jc w:val="center"/>
            </w:pPr>
            <w:r>
              <w:rPr>
                <w:noProof/>
              </w:rPr>
              <w:drawing>
                <wp:inline distT="0" distB="0" distL="0" distR="0">
                  <wp:extent cx="462915" cy="154305"/>
                  <wp:effectExtent l="0" t="0" r="0" b="0"/>
                  <wp:docPr id="108" name="Picture 5"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rPr>
          <w:trHeight w:val="416"/>
        </w:trPr>
        <w:tc>
          <w:tcPr>
            <w:tcW w:w="3150" w:type="dxa"/>
            <w:vMerge/>
            <w:tcBorders>
              <w:top w:val="single" w:sz="4" w:space="0" w:color="auto"/>
              <w:left w:val="single" w:sz="4" w:space="0" w:color="auto"/>
              <w:bottom w:val="single" w:sz="4" w:space="0" w:color="000000"/>
            </w:tcBorders>
          </w:tcPr>
          <w:p w:rsidR="00225952" w:rsidRDefault="00225952" w:rsidP="00225952">
            <w:pPr>
              <w:spacing w:after="0" w:line="240" w:lineRule="auto"/>
              <w:ind w:left="360" w:hanging="270"/>
            </w:pPr>
          </w:p>
        </w:tc>
        <w:tc>
          <w:tcPr>
            <w:tcW w:w="6030" w:type="dxa"/>
            <w:gridSpan w:val="2"/>
            <w:tcBorders>
              <w:top w:val="single" w:sz="4" w:space="0" w:color="auto"/>
            </w:tcBorders>
            <w:vAlign w:val="center"/>
          </w:tcPr>
          <w:p w:rsidR="00225952" w:rsidRPr="009C28E0" w:rsidRDefault="00225952" w:rsidP="00225952">
            <w:pPr>
              <w:spacing w:after="0"/>
              <w:ind w:left="252" w:hanging="252"/>
              <w:rPr>
                <w:sz w:val="18"/>
              </w:rPr>
            </w:pPr>
            <w:r w:rsidRPr="009C28E0">
              <w:rPr>
                <w:sz w:val="18"/>
              </w:rPr>
              <w:t>2.</w:t>
            </w:r>
            <w:r w:rsidRPr="009C28E0">
              <w:rPr>
                <w:sz w:val="18"/>
              </w:rPr>
              <w:tab/>
              <w:t>Square feet (SF or GLSF) for commercial, office, retail, industrial land uses?</w:t>
            </w:r>
          </w:p>
        </w:tc>
        <w:tc>
          <w:tcPr>
            <w:tcW w:w="1170" w:type="dxa"/>
            <w:tcBorders>
              <w:bottom w:val="single" w:sz="4" w:space="0" w:color="000000"/>
              <w:right w:val="single" w:sz="4" w:space="0" w:color="auto"/>
            </w:tcBorders>
          </w:tcPr>
          <w:p w:rsidR="00225952" w:rsidRDefault="00225952" w:rsidP="00225952">
            <w:pPr>
              <w:spacing w:after="0"/>
              <w:jc w:val="center"/>
            </w:pPr>
            <w:r>
              <w:rPr>
                <w:noProof/>
              </w:rPr>
              <w:drawing>
                <wp:inline distT="0" distB="0" distL="0" distR="0">
                  <wp:extent cx="462915" cy="154305"/>
                  <wp:effectExtent l="0" t="0" r="0" b="0"/>
                  <wp:docPr id="111" name="Picture 6"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val="restart"/>
            <w:tcBorders>
              <w:top w:val="single" w:sz="4" w:space="0" w:color="000000"/>
              <w:right w:val="nil"/>
            </w:tcBorders>
          </w:tcPr>
          <w:p w:rsidR="00225952" w:rsidRDefault="00225952" w:rsidP="00225952">
            <w:pPr>
              <w:pStyle w:val="CheckA"/>
            </w:pPr>
            <w:r w:rsidRPr="00F05E1C">
              <w:t>E.</w:t>
            </w:r>
            <w:r w:rsidRPr="00F05E1C">
              <w:tab/>
              <w:t>Acceptable study area limits identified?</w:t>
            </w:r>
          </w:p>
        </w:tc>
        <w:tc>
          <w:tcPr>
            <w:tcW w:w="6030" w:type="dxa"/>
            <w:gridSpan w:val="2"/>
            <w:tcBorders>
              <w:left w:val="nil"/>
              <w:right w:val="nil"/>
            </w:tcBorders>
            <w:vAlign w:val="center"/>
          </w:tcPr>
          <w:p w:rsidR="00225952" w:rsidRPr="009C28E0" w:rsidRDefault="00225952" w:rsidP="00225952">
            <w:pPr>
              <w:spacing w:after="0"/>
              <w:ind w:left="252" w:hanging="252"/>
              <w:rPr>
                <w:sz w:val="18"/>
              </w:rPr>
            </w:pPr>
            <w:r w:rsidRPr="009C28E0">
              <w:rPr>
                <w:sz w:val="18"/>
              </w:rPr>
              <w:t>1.</w:t>
            </w:r>
            <w:r w:rsidRPr="009C28E0">
              <w:rPr>
                <w:sz w:val="18"/>
              </w:rPr>
              <w:tab/>
              <w:t>Critical roadway segments identified?</w:t>
            </w:r>
          </w:p>
        </w:tc>
        <w:tc>
          <w:tcPr>
            <w:tcW w:w="1170" w:type="dxa"/>
            <w:tcBorders>
              <w:top w:val="single" w:sz="4" w:space="0" w:color="000000"/>
              <w:left w:val="nil"/>
            </w:tcBorders>
            <w:vAlign w:val="center"/>
          </w:tcPr>
          <w:p w:rsidR="00225952" w:rsidRDefault="00225952" w:rsidP="00225952">
            <w:pPr>
              <w:spacing w:after="0"/>
              <w:jc w:val="center"/>
            </w:pPr>
            <w:r>
              <w:rPr>
                <w:noProof/>
              </w:rPr>
              <w:drawing>
                <wp:inline distT="0" distB="0" distL="0" distR="0">
                  <wp:extent cx="462915" cy="154305"/>
                  <wp:effectExtent l="0" t="0" r="0" b="0"/>
                  <wp:docPr id="112" name="Picture 7"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Default="00225952" w:rsidP="00225952">
            <w:pPr>
              <w:spacing w:after="0"/>
              <w:ind w:left="360" w:hanging="288"/>
            </w:pPr>
          </w:p>
        </w:tc>
        <w:tc>
          <w:tcPr>
            <w:tcW w:w="6030" w:type="dxa"/>
            <w:gridSpan w:val="2"/>
            <w:tcBorders>
              <w:left w:val="nil"/>
              <w:right w:val="nil"/>
            </w:tcBorders>
            <w:vAlign w:val="center"/>
          </w:tcPr>
          <w:p w:rsidR="00225952" w:rsidRPr="009C28E0" w:rsidRDefault="00225952" w:rsidP="00225952">
            <w:pPr>
              <w:spacing w:after="0"/>
              <w:ind w:left="252" w:hanging="252"/>
              <w:rPr>
                <w:sz w:val="18"/>
              </w:rPr>
            </w:pPr>
            <w:r w:rsidRPr="009C28E0">
              <w:rPr>
                <w:sz w:val="18"/>
              </w:rPr>
              <w:t>2.</w:t>
            </w:r>
            <w:r w:rsidRPr="009C28E0">
              <w:rPr>
                <w:sz w:val="18"/>
              </w:rPr>
              <w:tab/>
              <w:t>Critical intersections identified?</w:t>
            </w:r>
          </w:p>
        </w:tc>
        <w:tc>
          <w:tcPr>
            <w:tcW w:w="1170" w:type="dxa"/>
            <w:tcBorders>
              <w:left w:val="nil"/>
            </w:tcBorders>
            <w:vAlign w:val="center"/>
          </w:tcPr>
          <w:p w:rsidR="00225952" w:rsidRDefault="00225952" w:rsidP="00225952">
            <w:pPr>
              <w:spacing w:after="0"/>
              <w:jc w:val="center"/>
            </w:pPr>
            <w:r>
              <w:rPr>
                <w:noProof/>
              </w:rPr>
              <w:drawing>
                <wp:inline distT="0" distB="0" distL="0" distR="0">
                  <wp:extent cx="462915" cy="154305"/>
                  <wp:effectExtent l="0" t="0" r="0" b="0"/>
                  <wp:docPr id="113" name="Picture 8"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3"/>
            <w:tcBorders>
              <w:right w:val="nil"/>
            </w:tcBorders>
            <w:shd w:val="clear" w:color="auto" w:fill="DBE5F1"/>
          </w:tcPr>
          <w:p w:rsidR="00225952" w:rsidRPr="009C28E0" w:rsidRDefault="00225952" w:rsidP="00225952">
            <w:pPr>
              <w:tabs>
                <w:tab w:val="left" w:pos="360"/>
                <w:tab w:val="left" w:pos="735"/>
              </w:tabs>
              <w:spacing w:after="0" w:line="240" w:lineRule="auto"/>
              <w:ind w:left="360" w:hanging="288"/>
              <w:rPr>
                <w:b/>
              </w:rPr>
            </w:pPr>
            <w:r w:rsidRPr="009C28E0">
              <w:rPr>
                <w:b/>
              </w:rPr>
              <w:t>Data Collection and Existing Conditions</w:t>
            </w:r>
          </w:p>
        </w:tc>
        <w:tc>
          <w:tcPr>
            <w:tcW w:w="1170" w:type="dxa"/>
            <w:tcBorders>
              <w:left w:val="nil"/>
            </w:tcBorders>
            <w:vAlign w:val="center"/>
          </w:tcPr>
          <w:p w:rsidR="00225952" w:rsidRPr="002635FD" w:rsidRDefault="00225952" w:rsidP="00225952">
            <w:pPr>
              <w:spacing w:after="0"/>
              <w:jc w:val="center"/>
            </w:pPr>
          </w:p>
        </w:tc>
      </w:tr>
      <w:tr w:rsidR="00225952" w:rsidTr="00225952">
        <w:tc>
          <w:tcPr>
            <w:tcW w:w="3150" w:type="dxa"/>
            <w:vMerge w:val="restart"/>
            <w:tcBorders>
              <w:right w:val="nil"/>
            </w:tcBorders>
          </w:tcPr>
          <w:p w:rsidR="00225952" w:rsidRDefault="00225952" w:rsidP="00225952">
            <w:pPr>
              <w:pStyle w:val="CheckA"/>
            </w:pPr>
            <w:r w:rsidRPr="00F05E1C">
              <w:t>A.</w:t>
            </w:r>
            <w:r w:rsidRPr="00F05E1C">
              <w:tab/>
              <w:t>Stated how data on existing conditions will be collected?</w:t>
            </w:r>
          </w:p>
        </w:tc>
        <w:tc>
          <w:tcPr>
            <w:tcW w:w="6030" w:type="dxa"/>
            <w:gridSpan w:val="2"/>
            <w:tcBorders>
              <w:left w:val="nil"/>
              <w:right w:val="nil"/>
            </w:tcBorders>
            <w:vAlign w:val="center"/>
          </w:tcPr>
          <w:p w:rsidR="00225952" w:rsidRPr="009C28E0" w:rsidRDefault="00225952" w:rsidP="00225952">
            <w:pPr>
              <w:spacing w:after="0"/>
              <w:ind w:left="252" w:hanging="252"/>
              <w:rPr>
                <w:sz w:val="18"/>
              </w:rPr>
            </w:pPr>
            <w:r w:rsidRPr="009C28E0">
              <w:rPr>
                <w:sz w:val="18"/>
              </w:rPr>
              <w:t>2.</w:t>
            </w:r>
            <w:r w:rsidRPr="009C28E0">
              <w:rPr>
                <w:sz w:val="18"/>
              </w:rPr>
              <w:tab/>
              <w:t>Acceptable locations and durations for traffic data collection identified?</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20" name="Picture 9"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Default="00225952" w:rsidP="00225952">
            <w:pPr>
              <w:spacing w:after="0"/>
              <w:ind w:left="360" w:hanging="288"/>
            </w:pPr>
          </w:p>
        </w:tc>
        <w:tc>
          <w:tcPr>
            <w:tcW w:w="6030" w:type="dxa"/>
            <w:gridSpan w:val="2"/>
            <w:tcBorders>
              <w:left w:val="nil"/>
              <w:right w:val="nil"/>
            </w:tcBorders>
            <w:vAlign w:val="center"/>
          </w:tcPr>
          <w:p w:rsidR="00225952" w:rsidRPr="009C28E0" w:rsidRDefault="00225952" w:rsidP="008D2D1A">
            <w:pPr>
              <w:pStyle w:val="ListParagraph"/>
              <w:numPr>
                <w:ilvl w:val="0"/>
                <w:numId w:val="24"/>
              </w:numPr>
              <w:spacing w:after="0"/>
              <w:ind w:left="522" w:hanging="267"/>
              <w:rPr>
                <w:sz w:val="18"/>
              </w:rPr>
            </w:pPr>
            <w:r w:rsidRPr="009C28E0">
              <w:rPr>
                <w:sz w:val="18"/>
              </w:rPr>
              <w:t>3 consecutive days for 24-hr counts in urban areas?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22" name="Picture 10"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Default="00225952" w:rsidP="00225952">
            <w:pPr>
              <w:spacing w:after="0"/>
              <w:ind w:left="360" w:hanging="288"/>
            </w:pPr>
          </w:p>
        </w:tc>
        <w:tc>
          <w:tcPr>
            <w:tcW w:w="6030" w:type="dxa"/>
            <w:gridSpan w:val="2"/>
            <w:tcBorders>
              <w:left w:val="nil"/>
              <w:right w:val="nil"/>
            </w:tcBorders>
            <w:vAlign w:val="center"/>
          </w:tcPr>
          <w:p w:rsidR="00225952" w:rsidRPr="009C28E0" w:rsidRDefault="00225952" w:rsidP="008D2D1A">
            <w:pPr>
              <w:pStyle w:val="ListParagraph"/>
              <w:numPr>
                <w:ilvl w:val="0"/>
                <w:numId w:val="24"/>
              </w:numPr>
              <w:spacing w:after="0"/>
              <w:ind w:left="522" w:hanging="267"/>
              <w:rPr>
                <w:sz w:val="18"/>
              </w:rPr>
            </w:pPr>
            <w:r w:rsidRPr="009C28E0">
              <w:rPr>
                <w:sz w:val="18"/>
              </w:rPr>
              <w:t>Five consecutive days in rural areas?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23" name="Picture 11"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Default="00225952" w:rsidP="00225952">
            <w:pPr>
              <w:spacing w:after="0"/>
              <w:ind w:left="360" w:hanging="288"/>
            </w:pPr>
          </w:p>
        </w:tc>
        <w:tc>
          <w:tcPr>
            <w:tcW w:w="6030" w:type="dxa"/>
            <w:gridSpan w:val="2"/>
            <w:tcBorders>
              <w:left w:val="nil"/>
              <w:right w:val="nil"/>
            </w:tcBorders>
            <w:vAlign w:val="center"/>
          </w:tcPr>
          <w:p w:rsidR="00225952" w:rsidRPr="009C28E0" w:rsidRDefault="00225952" w:rsidP="00225952">
            <w:pPr>
              <w:spacing w:after="0"/>
              <w:ind w:left="252" w:hanging="252"/>
              <w:rPr>
                <w:sz w:val="18"/>
              </w:rPr>
            </w:pPr>
            <w:r w:rsidRPr="009C28E0">
              <w:rPr>
                <w:sz w:val="18"/>
              </w:rPr>
              <w:t>3.</w:t>
            </w:r>
            <w:r w:rsidRPr="009C28E0">
              <w:rPr>
                <w:sz w:val="18"/>
              </w:rPr>
              <w:tab/>
              <w:t>Measures identified for collecting transit, bicycle and pedestrian volumes and facilities info?</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26" name="Picture 1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Default="00225952" w:rsidP="00225952">
            <w:pPr>
              <w:spacing w:after="0"/>
              <w:ind w:left="360" w:hanging="288"/>
            </w:pPr>
          </w:p>
        </w:tc>
        <w:tc>
          <w:tcPr>
            <w:tcW w:w="6030" w:type="dxa"/>
            <w:gridSpan w:val="2"/>
            <w:tcBorders>
              <w:left w:val="nil"/>
              <w:right w:val="nil"/>
            </w:tcBorders>
            <w:vAlign w:val="center"/>
          </w:tcPr>
          <w:p w:rsidR="00225952" w:rsidRPr="009C28E0" w:rsidRDefault="00225952" w:rsidP="00225952">
            <w:pPr>
              <w:spacing w:after="0"/>
              <w:ind w:left="252" w:hanging="252"/>
              <w:rPr>
                <w:sz w:val="18"/>
              </w:rPr>
            </w:pPr>
            <w:r w:rsidRPr="009C28E0">
              <w:rPr>
                <w:sz w:val="18"/>
              </w:rPr>
              <w:t>4.</w:t>
            </w:r>
            <w:r w:rsidRPr="009C28E0">
              <w:rPr>
                <w:sz w:val="18"/>
              </w:rPr>
              <w:tab/>
            </w:r>
            <w:r w:rsidRPr="006C35C1">
              <w:rPr>
                <w:spacing w:val="-4"/>
                <w:sz w:val="18"/>
              </w:rPr>
              <w:t xml:space="preserve">TMOs, TDMs and other special considerations appropriate </w:t>
            </w:r>
            <w:r>
              <w:rPr>
                <w:spacing w:val="-4"/>
                <w:sz w:val="18"/>
              </w:rPr>
              <w:t>are</w:t>
            </w:r>
            <w:r w:rsidRPr="006C35C1">
              <w:rPr>
                <w:spacing w:val="-4"/>
                <w:sz w:val="18"/>
              </w:rPr>
              <w:t xml:space="preserve"> identified?</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30" name="Picture 13"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3"/>
            <w:tcBorders>
              <w:right w:val="nil"/>
            </w:tcBorders>
          </w:tcPr>
          <w:p w:rsidR="00225952" w:rsidRDefault="00225952" w:rsidP="00225952">
            <w:pPr>
              <w:pStyle w:val="CheckA"/>
            </w:pPr>
            <w:r w:rsidRPr="00F05E1C">
              <w:t>B.</w:t>
            </w:r>
            <w:r w:rsidRPr="00F05E1C">
              <w:tab/>
              <w:t xml:space="preserve">Measures included to account for </w:t>
            </w:r>
            <w:r>
              <w:t xml:space="preserve">previously adopted development </w:t>
            </w:r>
            <w:r w:rsidRPr="00F05E1C">
              <w:t>agreements including other DRIs?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31" name="Picture 14"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val="restart"/>
            <w:tcBorders>
              <w:right w:val="nil"/>
            </w:tcBorders>
          </w:tcPr>
          <w:p w:rsidR="00225952" w:rsidRDefault="00225952" w:rsidP="00225952">
            <w:pPr>
              <w:pStyle w:val="CheckA"/>
            </w:pPr>
            <w:r w:rsidRPr="00F05E1C">
              <w:t>C.</w:t>
            </w:r>
            <w:r w:rsidRPr="00F05E1C">
              <w:tab/>
            </w:r>
            <w:r>
              <w:t xml:space="preserve">WP or TIP projects </w:t>
            </w:r>
            <w:r w:rsidRPr="00F05E1C">
              <w:t>used in existing conditions analysis?</w:t>
            </w:r>
          </w:p>
        </w:tc>
        <w:tc>
          <w:tcPr>
            <w:tcW w:w="6030" w:type="dxa"/>
            <w:gridSpan w:val="2"/>
            <w:tcBorders>
              <w:left w:val="nil"/>
              <w:right w:val="nil"/>
            </w:tcBorders>
            <w:vAlign w:val="center"/>
          </w:tcPr>
          <w:p w:rsidR="00225952" w:rsidRPr="009C28E0" w:rsidRDefault="00225952" w:rsidP="00225952">
            <w:pPr>
              <w:spacing w:after="0"/>
              <w:ind w:left="252" w:hanging="252"/>
              <w:rPr>
                <w:sz w:val="18"/>
              </w:rPr>
            </w:pPr>
            <w:r w:rsidRPr="009C28E0">
              <w:rPr>
                <w:sz w:val="18"/>
              </w:rPr>
              <w:t>1.</w:t>
            </w:r>
            <w:r w:rsidRPr="009C28E0">
              <w:rPr>
                <w:sz w:val="18"/>
              </w:rPr>
              <w:tab/>
              <w:t>Project(s) listed in first three years of the WP/TIP?</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32" name="Picture 15"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Default="00225952" w:rsidP="00225952">
            <w:pPr>
              <w:spacing w:after="0"/>
              <w:ind w:left="360" w:hanging="288"/>
            </w:pPr>
          </w:p>
        </w:tc>
        <w:tc>
          <w:tcPr>
            <w:tcW w:w="6030" w:type="dxa"/>
            <w:gridSpan w:val="2"/>
            <w:tcBorders>
              <w:left w:val="nil"/>
              <w:right w:val="nil"/>
            </w:tcBorders>
            <w:vAlign w:val="center"/>
          </w:tcPr>
          <w:p w:rsidR="00225952" w:rsidRPr="009C28E0" w:rsidRDefault="00225952" w:rsidP="00225952">
            <w:pPr>
              <w:spacing w:after="0"/>
              <w:ind w:left="252" w:hanging="252"/>
              <w:rPr>
                <w:sz w:val="18"/>
              </w:rPr>
            </w:pPr>
            <w:r w:rsidRPr="009C28E0">
              <w:rPr>
                <w:sz w:val="18"/>
              </w:rPr>
              <w:t>2.</w:t>
            </w:r>
            <w:r w:rsidRPr="009C28E0">
              <w:rPr>
                <w:sz w:val="18"/>
              </w:rPr>
              <w:tab/>
              <w:t>Funding source(s) identified?</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33" name="Picture 16"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tcBorders>
              <w:right w:val="nil"/>
            </w:tcBorders>
          </w:tcPr>
          <w:p w:rsidR="00225952" w:rsidRDefault="00225952" w:rsidP="00225952">
            <w:pPr>
              <w:pStyle w:val="CheckA"/>
            </w:pPr>
            <w:r w:rsidRPr="00F05E1C">
              <w:t>D.</w:t>
            </w:r>
            <w:r w:rsidRPr="00F05E1C">
              <w:tab/>
              <w:t>Traffic characterist</w:t>
            </w:r>
            <w:r>
              <w:t xml:space="preserve">ics to be used in the analysis </w:t>
            </w:r>
            <w:r w:rsidRPr="00F05E1C">
              <w:t>identified?</w:t>
            </w:r>
          </w:p>
        </w:tc>
        <w:tc>
          <w:tcPr>
            <w:tcW w:w="6030" w:type="dxa"/>
            <w:gridSpan w:val="2"/>
            <w:tcBorders>
              <w:left w:val="nil"/>
              <w:right w:val="nil"/>
            </w:tcBorders>
            <w:vAlign w:val="center"/>
          </w:tcPr>
          <w:p w:rsidR="00225952" w:rsidRPr="009C28E0" w:rsidRDefault="00225952" w:rsidP="00225952">
            <w:pPr>
              <w:spacing w:after="0"/>
              <w:ind w:left="252" w:hanging="252"/>
              <w:rPr>
                <w:sz w:val="18"/>
              </w:rPr>
            </w:pPr>
            <w:r w:rsidRPr="009C28E0">
              <w:rPr>
                <w:sz w:val="18"/>
              </w:rPr>
              <w:t>1.</w:t>
            </w:r>
            <w:r w:rsidRPr="009C28E0">
              <w:rPr>
                <w:sz w:val="18"/>
              </w:rPr>
              <w:tab/>
              <w:t>Each characteristic within range accepted by Department for facility and area type?</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34" name="Picture 17"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3"/>
            <w:tcBorders>
              <w:right w:val="nil"/>
            </w:tcBorders>
            <w:shd w:val="clear" w:color="auto" w:fill="DBE5F1"/>
          </w:tcPr>
          <w:p w:rsidR="00225952" w:rsidRPr="009C28E0" w:rsidRDefault="00225952" w:rsidP="00225952">
            <w:pPr>
              <w:spacing w:after="0"/>
              <w:ind w:left="252" w:hanging="252"/>
              <w:rPr>
                <w:sz w:val="20"/>
              </w:rPr>
            </w:pPr>
            <w:r w:rsidRPr="009C28E0">
              <w:rPr>
                <w:b/>
              </w:rPr>
              <w:t>Project Approach</w:t>
            </w:r>
          </w:p>
        </w:tc>
        <w:tc>
          <w:tcPr>
            <w:tcW w:w="1170" w:type="dxa"/>
            <w:tcBorders>
              <w:left w:val="nil"/>
            </w:tcBorders>
            <w:vAlign w:val="center"/>
          </w:tcPr>
          <w:p w:rsidR="00225952" w:rsidRPr="002635FD" w:rsidRDefault="00225952" w:rsidP="00225952">
            <w:pPr>
              <w:spacing w:after="0"/>
              <w:jc w:val="center"/>
            </w:pPr>
          </w:p>
        </w:tc>
      </w:tr>
      <w:tr w:rsidR="00225952" w:rsidTr="00225952">
        <w:tc>
          <w:tcPr>
            <w:tcW w:w="3150" w:type="dxa"/>
            <w:vMerge w:val="restart"/>
            <w:tcBorders>
              <w:right w:val="nil"/>
            </w:tcBorders>
          </w:tcPr>
          <w:p w:rsidR="00225952" w:rsidRDefault="00225952" w:rsidP="00225952">
            <w:pPr>
              <w:pStyle w:val="CheckA"/>
            </w:pPr>
            <w:r w:rsidRPr="00F05E1C">
              <w:t>A.</w:t>
            </w:r>
            <w:r w:rsidRPr="00F05E1C">
              <w:tab/>
              <w:t>Site Impact analysis to use primarily manual calculation mechanisms?</w:t>
            </w:r>
          </w:p>
        </w:tc>
        <w:tc>
          <w:tcPr>
            <w:tcW w:w="6030" w:type="dxa"/>
            <w:gridSpan w:val="2"/>
            <w:tcBorders>
              <w:left w:val="nil"/>
              <w:right w:val="nil"/>
            </w:tcBorders>
            <w:vAlign w:val="center"/>
          </w:tcPr>
          <w:p w:rsidR="00225952" w:rsidRPr="009C28E0" w:rsidRDefault="00225952" w:rsidP="00225952">
            <w:pPr>
              <w:spacing w:after="0"/>
              <w:ind w:left="252" w:hanging="252"/>
              <w:rPr>
                <w:sz w:val="18"/>
              </w:rPr>
            </w:pPr>
            <w:r w:rsidRPr="009C28E0">
              <w:rPr>
                <w:sz w:val="18"/>
              </w:rPr>
              <w:t>1.</w:t>
            </w:r>
            <w:r w:rsidRPr="009C28E0">
              <w:rPr>
                <w:sz w:val="18"/>
              </w:rPr>
              <w:tab/>
              <w:t>Manual approach appropriate for project scale and location?</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35" name="Picture 18"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Default="00225952" w:rsidP="00225952">
            <w:pPr>
              <w:spacing w:after="0"/>
              <w:ind w:left="360" w:hanging="288"/>
            </w:pPr>
          </w:p>
        </w:tc>
        <w:tc>
          <w:tcPr>
            <w:tcW w:w="6030" w:type="dxa"/>
            <w:gridSpan w:val="2"/>
            <w:tcBorders>
              <w:left w:val="nil"/>
              <w:right w:val="nil"/>
            </w:tcBorders>
            <w:vAlign w:val="center"/>
          </w:tcPr>
          <w:p w:rsidR="00225952" w:rsidRPr="009C28E0" w:rsidRDefault="00225952" w:rsidP="00225952">
            <w:pPr>
              <w:spacing w:after="0"/>
              <w:ind w:left="252" w:hanging="252"/>
              <w:rPr>
                <w:sz w:val="18"/>
              </w:rPr>
            </w:pPr>
            <w:r w:rsidRPr="009C28E0">
              <w:rPr>
                <w:sz w:val="18"/>
              </w:rPr>
              <w:t>2.</w:t>
            </w:r>
            <w:r w:rsidRPr="009C28E0">
              <w:rPr>
                <w:sz w:val="18"/>
              </w:rPr>
              <w:tab/>
              <w:t>Acceptable methodology described for determining future year roadway network volumes?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36" name="Picture 19"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Default="00225952" w:rsidP="00225952">
            <w:pPr>
              <w:spacing w:after="0"/>
              <w:ind w:left="360" w:hanging="288"/>
            </w:pPr>
          </w:p>
        </w:tc>
        <w:tc>
          <w:tcPr>
            <w:tcW w:w="6030" w:type="dxa"/>
            <w:gridSpan w:val="2"/>
            <w:tcBorders>
              <w:left w:val="nil"/>
              <w:right w:val="nil"/>
            </w:tcBorders>
            <w:vAlign w:val="center"/>
          </w:tcPr>
          <w:p w:rsidR="00225952" w:rsidRPr="009C28E0" w:rsidRDefault="00225952" w:rsidP="00225952">
            <w:pPr>
              <w:spacing w:after="0"/>
              <w:ind w:left="252" w:hanging="252"/>
              <w:rPr>
                <w:sz w:val="18"/>
              </w:rPr>
            </w:pPr>
            <w:r w:rsidRPr="009C28E0">
              <w:rPr>
                <w:sz w:val="18"/>
              </w:rPr>
              <w:t>a.</w:t>
            </w:r>
            <w:r w:rsidRPr="009C28E0">
              <w:rPr>
                <w:sz w:val="18"/>
              </w:rPr>
              <w:tab/>
              <w:t>Growth rates reasonable based on historical/current development activity?</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37" name="Picture 20"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val="restart"/>
            <w:tcBorders>
              <w:right w:val="nil"/>
            </w:tcBorders>
          </w:tcPr>
          <w:p w:rsidR="00225952" w:rsidRDefault="00225952" w:rsidP="00225952">
            <w:pPr>
              <w:pStyle w:val="CheckA"/>
            </w:pPr>
            <w:r w:rsidRPr="00F05E1C">
              <w:t>B.</w:t>
            </w:r>
            <w:r w:rsidRPr="00F05E1C">
              <w:tab/>
              <w:t>Site impact analysis to use computer-based calculation mechanism?</w:t>
            </w:r>
          </w:p>
        </w:tc>
        <w:tc>
          <w:tcPr>
            <w:tcW w:w="6030" w:type="dxa"/>
            <w:gridSpan w:val="2"/>
            <w:tcBorders>
              <w:left w:val="nil"/>
              <w:right w:val="nil"/>
            </w:tcBorders>
            <w:vAlign w:val="center"/>
          </w:tcPr>
          <w:p w:rsidR="00225952" w:rsidRPr="009C28E0" w:rsidRDefault="00225952" w:rsidP="00225952">
            <w:pPr>
              <w:spacing w:after="0"/>
              <w:ind w:left="252" w:hanging="252"/>
              <w:rPr>
                <w:sz w:val="18"/>
              </w:rPr>
            </w:pPr>
            <w:r w:rsidRPr="009C28E0">
              <w:rPr>
                <w:sz w:val="18"/>
              </w:rPr>
              <w:t>1.</w:t>
            </w:r>
            <w:r w:rsidRPr="009C28E0">
              <w:rPr>
                <w:sz w:val="18"/>
              </w:rPr>
              <w:tab/>
              <w:t>Latest FSUTMS model for the area to be used?</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38" name="Picture 21"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9C28E0" w:rsidRDefault="00225952" w:rsidP="00225952">
            <w:pPr>
              <w:spacing w:after="0"/>
              <w:ind w:left="252" w:hanging="180"/>
              <w:rPr>
                <w:sz w:val="20"/>
              </w:rPr>
            </w:pPr>
          </w:p>
        </w:tc>
        <w:tc>
          <w:tcPr>
            <w:tcW w:w="6030" w:type="dxa"/>
            <w:gridSpan w:val="2"/>
            <w:tcBorders>
              <w:left w:val="nil"/>
              <w:right w:val="nil"/>
            </w:tcBorders>
            <w:vAlign w:val="center"/>
          </w:tcPr>
          <w:p w:rsidR="00225952" w:rsidRPr="009C28E0" w:rsidRDefault="00225952" w:rsidP="00225952">
            <w:pPr>
              <w:spacing w:after="0"/>
              <w:ind w:left="252" w:hanging="252"/>
              <w:rPr>
                <w:sz w:val="18"/>
              </w:rPr>
            </w:pPr>
            <w:r w:rsidRPr="009C28E0">
              <w:rPr>
                <w:sz w:val="18"/>
              </w:rPr>
              <w:t>2.</w:t>
            </w:r>
            <w:r w:rsidRPr="009C28E0">
              <w:rPr>
                <w:sz w:val="18"/>
              </w:rPr>
              <w:tab/>
              <w:t>Project site extracted as separate TAZ?</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39" name="Picture 2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9C28E0" w:rsidRDefault="00225952" w:rsidP="00225952">
            <w:pPr>
              <w:spacing w:after="0"/>
              <w:ind w:left="252" w:hanging="180"/>
              <w:rPr>
                <w:sz w:val="20"/>
              </w:rPr>
            </w:pPr>
          </w:p>
        </w:tc>
        <w:tc>
          <w:tcPr>
            <w:tcW w:w="6030" w:type="dxa"/>
            <w:gridSpan w:val="2"/>
            <w:tcBorders>
              <w:left w:val="nil"/>
              <w:right w:val="nil"/>
            </w:tcBorders>
            <w:vAlign w:val="center"/>
          </w:tcPr>
          <w:p w:rsidR="00225952" w:rsidRPr="009C28E0" w:rsidRDefault="00225952" w:rsidP="00225952">
            <w:pPr>
              <w:spacing w:after="0"/>
              <w:ind w:left="252" w:hanging="252"/>
              <w:rPr>
                <w:sz w:val="18"/>
              </w:rPr>
            </w:pPr>
            <w:r w:rsidRPr="009C28E0">
              <w:rPr>
                <w:sz w:val="18"/>
              </w:rPr>
              <w:t>3.</w:t>
            </w:r>
            <w:r w:rsidRPr="009C28E0">
              <w:rPr>
                <w:sz w:val="18"/>
              </w:rPr>
              <w:tab/>
              <w:t>Zdata files for project TAZ appropriate?</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40" name="Picture 23"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9C28E0" w:rsidRDefault="00225952" w:rsidP="00225952">
            <w:pPr>
              <w:spacing w:after="0"/>
              <w:ind w:left="252" w:hanging="180"/>
              <w:rPr>
                <w:sz w:val="20"/>
              </w:rPr>
            </w:pPr>
          </w:p>
        </w:tc>
        <w:tc>
          <w:tcPr>
            <w:tcW w:w="6030" w:type="dxa"/>
            <w:gridSpan w:val="2"/>
            <w:tcBorders>
              <w:left w:val="nil"/>
              <w:right w:val="nil"/>
            </w:tcBorders>
            <w:vAlign w:val="center"/>
          </w:tcPr>
          <w:p w:rsidR="00225952" w:rsidRPr="009C28E0" w:rsidRDefault="00225952" w:rsidP="00225952">
            <w:pPr>
              <w:spacing w:after="0"/>
              <w:ind w:left="252" w:hanging="252"/>
              <w:rPr>
                <w:sz w:val="18"/>
              </w:rPr>
            </w:pPr>
            <w:r w:rsidRPr="009C28E0">
              <w:rPr>
                <w:sz w:val="18"/>
              </w:rPr>
              <w:t>4.</w:t>
            </w:r>
            <w:r w:rsidRPr="009C28E0">
              <w:rPr>
                <w:sz w:val="18"/>
              </w:rPr>
              <w:tab/>
              <w:t>Buildout year(s) of project coincidental with future years of the approved FSUTMS model?</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41" name="Picture 24"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9C28E0" w:rsidRDefault="00225952" w:rsidP="00225952">
            <w:pPr>
              <w:spacing w:after="0"/>
              <w:ind w:left="252" w:hanging="180"/>
              <w:rPr>
                <w:sz w:val="20"/>
              </w:rPr>
            </w:pPr>
          </w:p>
        </w:tc>
        <w:tc>
          <w:tcPr>
            <w:tcW w:w="6030" w:type="dxa"/>
            <w:gridSpan w:val="2"/>
            <w:tcBorders>
              <w:left w:val="nil"/>
              <w:right w:val="nil"/>
            </w:tcBorders>
            <w:vAlign w:val="center"/>
          </w:tcPr>
          <w:p w:rsidR="00225952" w:rsidRPr="009C28E0" w:rsidRDefault="00225952" w:rsidP="00AD2D7A">
            <w:pPr>
              <w:pStyle w:val="ListParagraph"/>
              <w:numPr>
                <w:ilvl w:val="0"/>
                <w:numId w:val="34"/>
              </w:numPr>
              <w:spacing w:after="0"/>
              <w:rPr>
                <w:sz w:val="18"/>
              </w:rPr>
            </w:pPr>
            <w:r w:rsidRPr="009C28E0">
              <w:rPr>
                <w:sz w:val="18"/>
              </w:rPr>
              <w:t>If not, acceptable methodology proposed for determining interim year conditions?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42" name="Picture 25"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9C28E0" w:rsidRDefault="00225952" w:rsidP="00225952">
            <w:pPr>
              <w:spacing w:after="0"/>
              <w:ind w:left="252" w:hanging="180"/>
              <w:rPr>
                <w:sz w:val="20"/>
              </w:rPr>
            </w:pPr>
          </w:p>
        </w:tc>
        <w:tc>
          <w:tcPr>
            <w:tcW w:w="6030" w:type="dxa"/>
            <w:gridSpan w:val="2"/>
            <w:tcBorders>
              <w:left w:val="nil"/>
              <w:right w:val="nil"/>
            </w:tcBorders>
            <w:vAlign w:val="center"/>
          </w:tcPr>
          <w:p w:rsidR="00225952" w:rsidRPr="009C28E0" w:rsidRDefault="00225952" w:rsidP="00225952">
            <w:pPr>
              <w:spacing w:after="0"/>
              <w:ind w:left="252" w:hanging="252"/>
              <w:rPr>
                <w:sz w:val="18"/>
              </w:rPr>
            </w:pPr>
            <w:r w:rsidRPr="009C28E0">
              <w:rPr>
                <w:sz w:val="18"/>
              </w:rPr>
              <w:t>5.</w:t>
            </w:r>
            <w:r w:rsidRPr="009C28E0">
              <w:rPr>
                <w:sz w:val="18"/>
              </w:rPr>
              <w:tab/>
              <w:t>Described measures for project level validation of the model?</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43" name="Picture 26"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9C28E0" w:rsidRDefault="00225952" w:rsidP="00225952">
            <w:pPr>
              <w:spacing w:after="0"/>
              <w:ind w:left="252" w:hanging="180"/>
              <w:rPr>
                <w:sz w:val="20"/>
              </w:rPr>
            </w:pPr>
          </w:p>
        </w:tc>
        <w:tc>
          <w:tcPr>
            <w:tcW w:w="6030" w:type="dxa"/>
            <w:gridSpan w:val="2"/>
            <w:tcBorders>
              <w:left w:val="nil"/>
              <w:right w:val="nil"/>
            </w:tcBorders>
            <w:vAlign w:val="center"/>
          </w:tcPr>
          <w:p w:rsidR="00225952" w:rsidRPr="009C28E0" w:rsidRDefault="00225952" w:rsidP="00AD2D7A">
            <w:pPr>
              <w:pStyle w:val="ListParagraph"/>
              <w:numPr>
                <w:ilvl w:val="0"/>
                <w:numId w:val="35"/>
              </w:numPr>
              <w:spacing w:after="0"/>
              <w:rPr>
                <w:sz w:val="18"/>
              </w:rPr>
            </w:pPr>
            <w:r w:rsidRPr="009C28E0">
              <w:rPr>
                <w:sz w:val="18"/>
              </w:rPr>
              <w:t>Will local roadways need to be added to analyze traffic behavior at project level?</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44" name="Picture 27"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bl>
    <w:p w:rsidR="004318C8" w:rsidRDefault="004318C8">
      <w:r>
        <w:rPr>
          <w:b/>
        </w:rPr>
        <w:br w:type="page"/>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150"/>
        <w:gridCol w:w="6030"/>
        <w:gridCol w:w="1170"/>
      </w:tblGrid>
      <w:tr w:rsidR="00225952" w:rsidTr="00225952">
        <w:tc>
          <w:tcPr>
            <w:tcW w:w="9180" w:type="dxa"/>
            <w:gridSpan w:val="2"/>
            <w:tcBorders>
              <w:right w:val="nil"/>
            </w:tcBorders>
          </w:tcPr>
          <w:p w:rsidR="00225952" w:rsidRPr="009C28E0" w:rsidRDefault="003A266F" w:rsidP="00225952">
            <w:pPr>
              <w:pStyle w:val="ResourceNotTOC"/>
              <w:rPr>
                <w:sz w:val="20"/>
              </w:rPr>
            </w:pPr>
            <w:r>
              <w:rPr>
                <w:color w:val="auto"/>
              </w:rPr>
              <w:lastRenderedPageBreak/>
              <w:t xml:space="preserve">DRI </w:t>
            </w:r>
            <w:r w:rsidR="00225952" w:rsidRPr="009C28E0">
              <w:rPr>
                <w:color w:val="auto"/>
              </w:rPr>
              <w:t>Checklist 1 |</w:t>
            </w:r>
            <w:r w:rsidR="00225952" w:rsidRPr="00F1684E">
              <w:t xml:space="preserve"> </w:t>
            </w:r>
            <w:r w:rsidR="00225952">
              <w:tab/>
            </w:r>
            <w:r w:rsidR="00225952" w:rsidRPr="00F1684E">
              <w:t xml:space="preserve">Methodology Meeting </w:t>
            </w:r>
          </w:p>
        </w:tc>
        <w:tc>
          <w:tcPr>
            <w:tcW w:w="1170" w:type="dxa"/>
            <w:tcBorders>
              <w:left w:val="nil"/>
            </w:tcBorders>
            <w:vAlign w:val="center"/>
          </w:tcPr>
          <w:p w:rsidR="00225952" w:rsidRPr="009C28E0" w:rsidRDefault="00225952" w:rsidP="00225952">
            <w:pPr>
              <w:spacing w:after="0"/>
              <w:jc w:val="center"/>
              <w:rPr>
                <w:noProof/>
                <w:color w:val="4F6228"/>
                <w:sz w:val="18"/>
              </w:rPr>
            </w:pPr>
            <w:r w:rsidRPr="009C28E0">
              <w:rPr>
                <w:noProof/>
                <w:color w:val="4F6228"/>
                <w:sz w:val="18"/>
              </w:rPr>
              <w:t>2 of 3</w:t>
            </w:r>
          </w:p>
        </w:tc>
      </w:tr>
      <w:tr w:rsidR="00225952" w:rsidTr="00225952">
        <w:tc>
          <w:tcPr>
            <w:tcW w:w="9180" w:type="dxa"/>
            <w:gridSpan w:val="2"/>
            <w:tcBorders>
              <w:right w:val="nil"/>
            </w:tcBorders>
          </w:tcPr>
          <w:p w:rsidR="00225952" w:rsidRPr="009C28E0" w:rsidRDefault="00225952" w:rsidP="00225952">
            <w:pPr>
              <w:spacing w:after="0"/>
              <w:ind w:left="252" w:hanging="252"/>
              <w:rPr>
                <w:color w:val="4F81BD"/>
                <w:sz w:val="18"/>
              </w:rPr>
            </w:pPr>
            <w:r w:rsidRPr="009C28E0">
              <w:rPr>
                <w:b/>
                <w:color w:val="4F81BD"/>
              </w:rPr>
              <w:t>Project Approach</w:t>
            </w:r>
          </w:p>
        </w:tc>
        <w:tc>
          <w:tcPr>
            <w:tcW w:w="1170" w:type="dxa"/>
            <w:tcBorders>
              <w:left w:val="nil"/>
            </w:tcBorders>
            <w:vAlign w:val="center"/>
          </w:tcPr>
          <w:p w:rsidR="00225952" w:rsidRPr="009402BE" w:rsidRDefault="00225952" w:rsidP="00225952">
            <w:pPr>
              <w:spacing w:after="0"/>
              <w:jc w:val="center"/>
            </w:pPr>
            <w:r w:rsidRPr="009C28E0">
              <w:rPr>
                <w:noProof/>
                <w:color w:val="4F6228"/>
                <w:sz w:val="18"/>
              </w:rPr>
              <w:t xml:space="preserve">Y  </w:t>
            </w:r>
            <w:r w:rsidRPr="009C28E0">
              <w:rPr>
                <w:noProof/>
                <w:sz w:val="18"/>
              </w:rPr>
              <w:t xml:space="preserve"> </w:t>
            </w:r>
            <w:r w:rsidRPr="009C28E0">
              <w:rPr>
                <w:noProof/>
                <w:color w:val="C00000"/>
                <w:sz w:val="18"/>
              </w:rPr>
              <w:t>N</w:t>
            </w:r>
            <w:r w:rsidRPr="009C28E0">
              <w:rPr>
                <w:noProof/>
                <w:sz w:val="18"/>
              </w:rPr>
              <w:t xml:space="preserve">  </w:t>
            </w:r>
            <w:r w:rsidRPr="009C28E0">
              <w:rPr>
                <w:noProof/>
                <w:color w:val="7F7F7F"/>
                <w:sz w:val="18"/>
              </w:rPr>
              <w:t>N/A</w:t>
            </w:r>
          </w:p>
        </w:tc>
      </w:tr>
      <w:tr w:rsidR="00225952" w:rsidTr="00225952">
        <w:tc>
          <w:tcPr>
            <w:tcW w:w="3150" w:type="dxa"/>
            <w:vMerge w:val="restart"/>
            <w:tcBorders>
              <w:right w:val="nil"/>
            </w:tcBorders>
          </w:tcPr>
          <w:p w:rsidR="00225952" w:rsidRDefault="00225952" w:rsidP="00225952">
            <w:pPr>
              <w:pStyle w:val="CheckA"/>
            </w:pPr>
            <w:r w:rsidRPr="00F05E1C">
              <w:t>C.</w:t>
            </w:r>
            <w:r w:rsidRPr="00F05E1C">
              <w:tab/>
              <w:t>Any transportation network improvemen</w:t>
            </w:r>
            <w:r>
              <w:t xml:space="preserve">ts not included in first three </w:t>
            </w:r>
            <w:r w:rsidRPr="00F05E1C">
              <w:t>years of the WP or TIP proposed in future year network conditions?</w:t>
            </w:r>
          </w:p>
        </w:tc>
        <w:tc>
          <w:tcPr>
            <w:tcW w:w="6030" w:type="dxa"/>
            <w:tcBorders>
              <w:left w:val="nil"/>
              <w:right w:val="nil"/>
            </w:tcBorders>
            <w:vAlign w:val="center"/>
          </w:tcPr>
          <w:p w:rsidR="00225952" w:rsidRPr="009C28E0" w:rsidRDefault="00225952" w:rsidP="00225952">
            <w:pPr>
              <w:spacing w:after="0"/>
              <w:ind w:left="252" w:hanging="252"/>
              <w:rPr>
                <w:sz w:val="18"/>
              </w:rPr>
            </w:pPr>
            <w:r w:rsidRPr="009C28E0">
              <w:rPr>
                <w:sz w:val="18"/>
              </w:rPr>
              <w:t>1.</w:t>
            </w:r>
            <w:r w:rsidRPr="009C28E0">
              <w:rPr>
                <w:sz w:val="18"/>
              </w:rPr>
              <w:tab/>
              <w:t>Listed improvements included in MPO’s adopted long-range plan?</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45" name="Picture 28"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9C28E0" w:rsidRDefault="00225952" w:rsidP="00225952">
            <w:pPr>
              <w:spacing w:after="0"/>
              <w:ind w:left="252" w:hanging="180"/>
              <w:rPr>
                <w:sz w:val="20"/>
              </w:rPr>
            </w:pPr>
          </w:p>
        </w:tc>
        <w:tc>
          <w:tcPr>
            <w:tcW w:w="6030" w:type="dxa"/>
            <w:tcBorders>
              <w:left w:val="nil"/>
              <w:right w:val="nil"/>
            </w:tcBorders>
            <w:vAlign w:val="center"/>
          </w:tcPr>
          <w:p w:rsidR="00225952" w:rsidRPr="009C28E0" w:rsidRDefault="00225952" w:rsidP="00225952">
            <w:pPr>
              <w:spacing w:after="0"/>
              <w:ind w:left="252" w:hanging="252"/>
              <w:rPr>
                <w:sz w:val="18"/>
              </w:rPr>
            </w:pPr>
            <w:r w:rsidRPr="009C28E0">
              <w:rPr>
                <w:sz w:val="18"/>
              </w:rPr>
              <w:t>2.</w:t>
            </w:r>
            <w:r w:rsidRPr="009C28E0">
              <w:rPr>
                <w:sz w:val="18"/>
              </w:rPr>
              <w:tab/>
              <w:t>Listed improvements consistent with LGCP Transportation Element for year(s) shown?</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46" name="Picture 29"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9C28E0" w:rsidRDefault="00225952" w:rsidP="00225952">
            <w:pPr>
              <w:spacing w:after="0"/>
              <w:ind w:left="252" w:hanging="180"/>
              <w:rPr>
                <w:sz w:val="20"/>
              </w:rPr>
            </w:pPr>
          </w:p>
        </w:tc>
        <w:tc>
          <w:tcPr>
            <w:tcW w:w="6030" w:type="dxa"/>
            <w:tcBorders>
              <w:left w:val="nil"/>
              <w:right w:val="nil"/>
            </w:tcBorders>
            <w:vAlign w:val="center"/>
          </w:tcPr>
          <w:p w:rsidR="00225952" w:rsidRPr="009C28E0" w:rsidRDefault="00225952" w:rsidP="00225952">
            <w:pPr>
              <w:spacing w:after="0"/>
              <w:ind w:left="252" w:hanging="252"/>
              <w:rPr>
                <w:sz w:val="18"/>
              </w:rPr>
            </w:pPr>
            <w:r w:rsidRPr="009C28E0">
              <w:rPr>
                <w:sz w:val="18"/>
              </w:rPr>
              <w:t>3.</w:t>
            </w:r>
            <w:r w:rsidRPr="009C28E0">
              <w:rPr>
                <w:sz w:val="18"/>
              </w:rPr>
              <w:tab/>
              <w:t>Listed improvements consistent with other recent Department -approved plans  (i.e., action plans, master plans, MISs, AISs)?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47" name="Picture 30"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2"/>
            <w:tcBorders>
              <w:right w:val="nil"/>
            </w:tcBorders>
          </w:tcPr>
          <w:p w:rsidR="00225952" w:rsidRDefault="00225952" w:rsidP="00225952">
            <w:pPr>
              <w:pStyle w:val="CheckA"/>
            </w:pPr>
            <w:r w:rsidRPr="00F05E1C">
              <w:t>D.</w:t>
            </w:r>
            <w:r w:rsidRPr="00F05E1C">
              <w:tab/>
              <w:t>Provided source for seasonal and</w:t>
            </w:r>
            <w:r>
              <w:t xml:space="preserve">, if appropriate, model output </w:t>
            </w:r>
            <w:r w:rsidRPr="00F05E1C">
              <w:t xml:space="preserve">conversion factors </w:t>
            </w:r>
            <w:r>
              <w:br/>
            </w:r>
            <w:r w:rsidRPr="00F05E1C">
              <w:t>from the Department to derive AADT volume?</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48" name="Picture 31"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2"/>
            <w:tcBorders>
              <w:right w:val="nil"/>
            </w:tcBorders>
            <w:shd w:val="clear" w:color="auto" w:fill="DBE5F1"/>
          </w:tcPr>
          <w:p w:rsidR="00225952" w:rsidRPr="009C28E0" w:rsidRDefault="00225952" w:rsidP="00225952">
            <w:pPr>
              <w:spacing w:after="0"/>
              <w:ind w:left="252" w:hanging="252"/>
              <w:rPr>
                <w:sz w:val="20"/>
              </w:rPr>
            </w:pPr>
            <w:r w:rsidRPr="009C28E0">
              <w:rPr>
                <w:b/>
              </w:rPr>
              <w:t>Trip Generation</w:t>
            </w:r>
          </w:p>
        </w:tc>
        <w:tc>
          <w:tcPr>
            <w:tcW w:w="1170" w:type="dxa"/>
            <w:tcBorders>
              <w:left w:val="nil"/>
              <w:bottom w:val="nil"/>
            </w:tcBorders>
            <w:vAlign w:val="center"/>
          </w:tcPr>
          <w:p w:rsidR="00225952" w:rsidRPr="002635FD" w:rsidRDefault="00225952" w:rsidP="00225952">
            <w:pPr>
              <w:spacing w:after="0"/>
              <w:jc w:val="center"/>
            </w:pPr>
          </w:p>
        </w:tc>
      </w:tr>
      <w:tr w:rsidR="00225952" w:rsidTr="00225952">
        <w:tc>
          <w:tcPr>
            <w:tcW w:w="3150" w:type="dxa"/>
            <w:tcBorders>
              <w:left w:val="single" w:sz="4" w:space="0" w:color="auto"/>
            </w:tcBorders>
          </w:tcPr>
          <w:p w:rsidR="00225952" w:rsidRDefault="00225952" w:rsidP="00225952">
            <w:pPr>
              <w:pStyle w:val="CheckA"/>
            </w:pPr>
            <w:r w:rsidRPr="00F05E1C">
              <w:t>A.</w:t>
            </w:r>
            <w:r w:rsidRPr="00F05E1C">
              <w:tab/>
              <w:t xml:space="preserve">Trip generation rates based on ITE: </w:t>
            </w:r>
            <w:r w:rsidRPr="009C28E0">
              <w:rPr>
                <w:i/>
              </w:rPr>
              <w:t>Trip</w:t>
            </w:r>
            <w:r w:rsidRPr="00F05E1C">
              <w:t xml:space="preserve"> </w:t>
            </w:r>
            <w:r w:rsidRPr="009C28E0">
              <w:rPr>
                <w:i/>
              </w:rPr>
              <w:t>Generation</w:t>
            </w:r>
            <w:r>
              <w:t xml:space="preserve"> (latest edition </w:t>
            </w:r>
            <w:r w:rsidRPr="00F05E1C">
              <w:t>data)?</w:t>
            </w:r>
          </w:p>
        </w:tc>
        <w:tc>
          <w:tcPr>
            <w:tcW w:w="6030" w:type="dxa"/>
            <w:vAlign w:val="center"/>
          </w:tcPr>
          <w:p w:rsidR="00225952" w:rsidRDefault="00225952" w:rsidP="00225952">
            <w:pPr>
              <w:pStyle w:val="Check1"/>
            </w:pPr>
            <w:r w:rsidRPr="003B2638">
              <w:t>1.</w:t>
            </w:r>
            <w:r w:rsidRPr="003B2638">
              <w:tab/>
              <w:t xml:space="preserve">If land use under reported in ITE: </w:t>
            </w:r>
            <w:r w:rsidRPr="009C28E0">
              <w:rPr>
                <w:i/>
              </w:rPr>
              <w:t>Trip Generation</w:t>
            </w:r>
            <w:r w:rsidRPr="003B2638">
              <w:t xml:space="preserve"> </w:t>
            </w:r>
            <w:r>
              <w:t>report</w:t>
            </w:r>
            <w:r w:rsidRPr="003B2638">
              <w:t>, is acceptable alternative means of determining project trip</w:t>
            </w:r>
            <w:r>
              <w:t xml:space="preserve"> </w:t>
            </w:r>
            <w:r w:rsidRPr="003B2638">
              <w:t>generation characteristics identified?</w:t>
            </w:r>
          </w:p>
        </w:tc>
        <w:tc>
          <w:tcPr>
            <w:tcW w:w="1170" w:type="dxa"/>
            <w:tcBorders>
              <w:right w:val="single" w:sz="4" w:space="0" w:color="auto"/>
            </w:tcBorders>
          </w:tcPr>
          <w:p w:rsidR="00225952" w:rsidRPr="002635FD" w:rsidRDefault="00225952" w:rsidP="00225952">
            <w:pPr>
              <w:spacing w:after="0"/>
              <w:jc w:val="center"/>
            </w:pPr>
            <w:r>
              <w:rPr>
                <w:noProof/>
              </w:rPr>
              <w:drawing>
                <wp:inline distT="0" distB="0" distL="0" distR="0">
                  <wp:extent cx="462915" cy="154305"/>
                  <wp:effectExtent l="0" t="0" r="0" b="0"/>
                  <wp:docPr id="149" name="Picture 3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2"/>
            <w:tcBorders>
              <w:right w:val="nil"/>
            </w:tcBorders>
          </w:tcPr>
          <w:p w:rsidR="00225952" w:rsidRPr="009C28E0" w:rsidRDefault="00225952" w:rsidP="00225952">
            <w:pPr>
              <w:pStyle w:val="CheckA"/>
              <w:rPr>
                <w:sz w:val="18"/>
                <w:szCs w:val="18"/>
              </w:rPr>
            </w:pPr>
            <w:r w:rsidRPr="00F05E1C">
              <w:t>B.</w:t>
            </w:r>
            <w:r w:rsidRPr="00F05E1C">
              <w:tab/>
              <w:t xml:space="preserve">Proposes to analyze </w:t>
            </w:r>
            <w:r>
              <w:t>the “critical hour” (</w:t>
            </w:r>
            <w:r w:rsidRPr="00F05E1C">
              <w:t>highest hour of project + adjacent</w:t>
            </w:r>
            <w:r>
              <w:t>)</w:t>
            </w:r>
            <w:r w:rsidRPr="00F05E1C">
              <w:t xml:space="preserve"> roadway traffic?</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50" name="Picture 33"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tcBorders>
              <w:right w:val="nil"/>
            </w:tcBorders>
          </w:tcPr>
          <w:p w:rsidR="00225952" w:rsidRDefault="00225952" w:rsidP="00225952">
            <w:pPr>
              <w:pStyle w:val="CheckA"/>
            </w:pPr>
            <w:r w:rsidRPr="00F05E1C">
              <w:t>C.</w:t>
            </w:r>
            <w:r w:rsidRPr="00F05E1C">
              <w:tab/>
              <w:t>Internal trip capture characteristics proposed?</w:t>
            </w:r>
          </w:p>
        </w:tc>
        <w:tc>
          <w:tcPr>
            <w:tcW w:w="6030" w:type="dxa"/>
            <w:tcBorders>
              <w:left w:val="nil"/>
              <w:right w:val="nil"/>
            </w:tcBorders>
            <w:vAlign w:val="center"/>
          </w:tcPr>
          <w:p w:rsidR="00225952" w:rsidRPr="009C28E0" w:rsidRDefault="00225952" w:rsidP="00225952">
            <w:pPr>
              <w:spacing w:after="0"/>
              <w:ind w:left="342" w:hanging="342"/>
              <w:rPr>
                <w:sz w:val="18"/>
                <w:szCs w:val="18"/>
              </w:rPr>
            </w:pPr>
            <w:r w:rsidRPr="009C28E0">
              <w:rPr>
                <w:sz w:val="18"/>
                <w:szCs w:val="18"/>
              </w:rPr>
              <w:t>1.</w:t>
            </w:r>
            <w:r w:rsidRPr="009C28E0">
              <w:rPr>
                <w:sz w:val="18"/>
                <w:szCs w:val="18"/>
              </w:rPr>
              <w:tab/>
              <w:t xml:space="preserve">Internal capture rates reasonable, </w:t>
            </w:r>
            <w:r w:rsidRPr="009C28E0">
              <w:rPr>
                <w:sz w:val="18"/>
                <w:szCs w:val="18"/>
              </w:rPr>
              <w:br/>
              <w:t>based on proposed land uses and location?</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51" name="Picture 34"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tcBorders>
              <w:right w:val="nil"/>
            </w:tcBorders>
          </w:tcPr>
          <w:p w:rsidR="00225952" w:rsidRDefault="00225952" w:rsidP="00225952">
            <w:pPr>
              <w:pStyle w:val="CheckA"/>
            </w:pPr>
            <w:r w:rsidRPr="00F05E1C">
              <w:t>D.</w:t>
            </w:r>
            <w:r w:rsidRPr="00F05E1C">
              <w:tab/>
              <w:t>Pass-by trip characteristics assumed?</w:t>
            </w:r>
          </w:p>
        </w:tc>
        <w:tc>
          <w:tcPr>
            <w:tcW w:w="6030" w:type="dxa"/>
            <w:tcBorders>
              <w:left w:val="nil"/>
              <w:right w:val="nil"/>
            </w:tcBorders>
            <w:vAlign w:val="center"/>
          </w:tcPr>
          <w:p w:rsidR="00225952" w:rsidRPr="009C28E0" w:rsidRDefault="00225952" w:rsidP="00225952">
            <w:pPr>
              <w:spacing w:after="0"/>
              <w:ind w:left="342" w:hanging="342"/>
              <w:rPr>
                <w:sz w:val="18"/>
                <w:szCs w:val="18"/>
              </w:rPr>
            </w:pPr>
            <w:r w:rsidRPr="009C28E0">
              <w:rPr>
                <w:sz w:val="18"/>
                <w:szCs w:val="18"/>
              </w:rPr>
              <w:t>1.</w:t>
            </w:r>
            <w:r w:rsidRPr="009C28E0">
              <w:rPr>
                <w:sz w:val="18"/>
                <w:szCs w:val="18"/>
              </w:rPr>
              <w:tab/>
              <w:t xml:space="preserve">Pass-by rates reasonable, </w:t>
            </w:r>
            <w:r w:rsidRPr="009C28E0">
              <w:rPr>
                <w:sz w:val="18"/>
                <w:szCs w:val="18"/>
              </w:rPr>
              <w:br/>
              <w:t>based on proposed land uses and location?</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52" name="Picture 35"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2"/>
            <w:tcBorders>
              <w:right w:val="nil"/>
            </w:tcBorders>
          </w:tcPr>
          <w:p w:rsidR="00225952" w:rsidRPr="009C28E0" w:rsidRDefault="00225952" w:rsidP="00225952">
            <w:pPr>
              <w:pStyle w:val="CheckA"/>
              <w:rPr>
                <w:sz w:val="18"/>
                <w:szCs w:val="18"/>
              </w:rPr>
            </w:pPr>
            <w:r w:rsidRPr="00F05E1C">
              <w:t>E.</w:t>
            </w:r>
            <w:r w:rsidRPr="00F05E1C">
              <w:tab/>
              <w:t>Means of determining truck/heavy vehicle volumes described?</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53" name="Picture 36"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2"/>
            <w:tcBorders>
              <w:right w:val="nil"/>
            </w:tcBorders>
          </w:tcPr>
          <w:p w:rsidR="00225952" w:rsidRPr="009C28E0" w:rsidRDefault="00225952" w:rsidP="00225952">
            <w:pPr>
              <w:pStyle w:val="CheckA"/>
              <w:rPr>
                <w:sz w:val="18"/>
              </w:rPr>
            </w:pPr>
            <w:r w:rsidRPr="00F05E1C">
              <w:t>F.</w:t>
            </w:r>
            <w:r w:rsidRPr="00F05E1C">
              <w:tab/>
              <w:t>If using a model-based trip generation method, prepared to show TAZ maps and project Zdata files?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54" name="Picture 37"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2"/>
            <w:tcBorders>
              <w:right w:val="nil"/>
            </w:tcBorders>
            <w:shd w:val="clear" w:color="auto" w:fill="DBE5F1"/>
          </w:tcPr>
          <w:p w:rsidR="00225952" w:rsidRPr="009C28E0" w:rsidRDefault="00225952" w:rsidP="00225952">
            <w:pPr>
              <w:spacing w:after="0"/>
              <w:ind w:left="252" w:hanging="252"/>
              <w:rPr>
                <w:sz w:val="18"/>
              </w:rPr>
            </w:pPr>
            <w:r w:rsidRPr="009C28E0">
              <w:rPr>
                <w:b/>
              </w:rPr>
              <w:t>Trip Distribution</w:t>
            </w:r>
          </w:p>
        </w:tc>
        <w:tc>
          <w:tcPr>
            <w:tcW w:w="1170" w:type="dxa"/>
            <w:tcBorders>
              <w:left w:val="nil"/>
            </w:tcBorders>
            <w:vAlign w:val="center"/>
          </w:tcPr>
          <w:p w:rsidR="00225952" w:rsidRPr="002635FD" w:rsidRDefault="00225952" w:rsidP="00225952">
            <w:pPr>
              <w:spacing w:after="0"/>
              <w:jc w:val="center"/>
            </w:pPr>
          </w:p>
        </w:tc>
      </w:tr>
      <w:tr w:rsidR="00225952" w:rsidTr="00225952">
        <w:tc>
          <w:tcPr>
            <w:tcW w:w="3150" w:type="dxa"/>
            <w:vMerge w:val="restart"/>
            <w:tcBorders>
              <w:right w:val="nil"/>
            </w:tcBorders>
          </w:tcPr>
          <w:p w:rsidR="00225952" w:rsidRDefault="00225952" w:rsidP="00225952">
            <w:pPr>
              <w:pStyle w:val="CheckA"/>
            </w:pPr>
            <w:r w:rsidRPr="00F05E1C">
              <w:t>A.</w:t>
            </w:r>
            <w:r w:rsidRPr="00F05E1C">
              <w:tab/>
              <w:t>If using a manual methodolog</w:t>
            </w:r>
            <w:r>
              <w:t xml:space="preserve">y, proposed a method for trip </w:t>
            </w:r>
            <w:r w:rsidRPr="00F05E1C">
              <w:t>distribution?</w:t>
            </w:r>
          </w:p>
        </w:tc>
        <w:tc>
          <w:tcPr>
            <w:tcW w:w="6030" w:type="dxa"/>
            <w:tcBorders>
              <w:left w:val="nil"/>
              <w:right w:val="nil"/>
            </w:tcBorders>
            <w:vAlign w:val="center"/>
          </w:tcPr>
          <w:p w:rsidR="00225952" w:rsidRPr="009C28E0" w:rsidRDefault="00225952" w:rsidP="00225952">
            <w:pPr>
              <w:spacing w:after="0"/>
              <w:ind w:left="252" w:hanging="252"/>
              <w:rPr>
                <w:sz w:val="18"/>
              </w:rPr>
            </w:pPr>
            <w:r w:rsidRPr="009C28E0">
              <w:rPr>
                <w:sz w:val="18"/>
              </w:rPr>
              <w:t>1.</w:t>
            </w:r>
            <w:r w:rsidRPr="009C28E0">
              <w:rPr>
                <w:sz w:val="18"/>
              </w:rPr>
              <w:tab/>
              <w:t>Method acceptable, based on proposed and other area land uses?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55" name="Picture 38"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9C28E0" w:rsidRDefault="00225952" w:rsidP="00225952">
            <w:pPr>
              <w:spacing w:after="0"/>
              <w:ind w:left="342" w:hanging="270"/>
              <w:rPr>
                <w:sz w:val="20"/>
              </w:rPr>
            </w:pPr>
          </w:p>
        </w:tc>
        <w:tc>
          <w:tcPr>
            <w:tcW w:w="6030" w:type="dxa"/>
            <w:tcBorders>
              <w:left w:val="nil"/>
              <w:right w:val="nil"/>
            </w:tcBorders>
            <w:vAlign w:val="center"/>
          </w:tcPr>
          <w:p w:rsidR="00225952" w:rsidRPr="009C28E0" w:rsidRDefault="00225952" w:rsidP="00225952">
            <w:pPr>
              <w:spacing w:after="0"/>
              <w:ind w:left="252" w:hanging="252"/>
              <w:rPr>
                <w:sz w:val="18"/>
              </w:rPr>
            </w:pPr>
            <w:r w:rsidRPr="009C28E0">
              <w:rPr>
                <w:sz w:val="18"/>
              </w:rPr>
              <w:t>2.</w:t>
            </w:r>
            <w:r w:rsidRPr="009C28E0">
              <w:rPr>
                <w:sz w:val="18"/>
              </w:rPr>
              <w:tab/>
              <w:t>Site traffic trip length curve and average trip length data provided?</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56" name="Picture 39"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val="restart"/>
            <w:tcBorders>
              <w:right w:val="nil"/>
            </w:tcBorders>
          </w:tcPr>
          <w:p w:rsidR="00225952" w:rsidRDefault="00225952" w:rsidP="00225952">
            <w:pPr>
              <w:pStyle w:val="CheckA"/>
            </w:pPr>
            <w:r w:rsidRPr="00F05E1C">
              <w:t>B.</w:t>
            </w:r>
            <w:r w:rsidRPr="00F05E1C">
              <w:tab/>
              <w:t>If using a computer model metho</w:t>
            </w:r>
            <w:r>
              <w:t>dology, compare model to manual estimates</w:t>
            </w:r>
            <w:r w:rsidRPr="00F05E1C">
              <w:t>?</w:t>
            </w:r>
          </w:p>
        </w:tc>
        <w:tc>
          <w:tcPr>
            <w:tcW w:w="6030" w:type="dxa"/>
            <w:tcBorders>
              <w:left w:val="nil"/>
              <w:right w:val="nil"/>
            </w:tcBorders>
            <w:vAlign w:val="center"/>
          </w:tcPr>
          <w:p w:rsidR="00225952" w:rsidRPr="009C28E0" w:rsidRDefault="00225952" w:rsidP="00225952">
            <w:pPr>
              <w:spacing w:after="0"/>
              <w:ind w:left="252" w:hanging="252"/>
              <w:rPr>
                <w:sz w:val="18"/>
              </w:rPr>
            </w:pPr>
            <w:r w:rsidRPr="009C28E0">
              <w:rPr>
                <w:sz w:val="18"/>
              </w:rPr>
              <w:t>1.</w:t>
            </w:r>
            <w:r w:rsidRPr="009C28E0">
              <w:rPr>
                <w:sz w:val="18"/>
              </w:rPr>
              <w:tab/>
              <w:t>Expressed understanding of documentation requirements for average trip length, friction factors or trip length frequency?</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57" name="Picture 40"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9C28E0" w:rsidRDefault="00225952" w:rsidP="00225952">
            <w:pPr>
              <w:spacing w:after="0"/>
              <w:ind w:left="342" w:hanging="270"/>
              <w:rPr>
                <w:sz w:val="20"/>
              </w:rPr>
            </w:pPr>
          </w:p>
        </w:tc>
        <w:tc>
          <w:tcPr>
            <w:tcW w:w="6030" w:type="dxa"/>
            <w:tcBorders>
              <w:left w:val="nil"/>
              <w:right w:val="nil"/>
            </w:tcBorders>
            <w:vAlign w:val="center"/>
          </w:tcPr>
          <w:p w:rsidR="00225952" w:rsidRPr="009C28E0" w:rsidRDefault="00225952" w:rsidP="00225952">
            <w:pPr>
              <w:spacing w:after="0"/>
              <w:ind w:left="252" w:hanging="252"/>
              <w:rPr>
                <w:sz w:val="18"/>
              </w:rPr>
            </w:pPr>
            <w:r w:rsidRPr="009C28E0">
              <w:rPr>
                <w:sz w:val="18"/>
              </w:rPr>
              <w:t>2.</w:t>
            </w:r>
            <w:r w:rsidRPr="009C28E0">
              <w:rPr>
                <w:sz w:val="18"/>
              </w:rPr>
              <w:tab/>
              <w:t>External/internal trip assumptions documented?</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58" name="Picture 41"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2"/>
            <w:tcBorders>
              <w:right w:val="nil"/>
            </w:tcBorders>
            <w:shd w:val="clear" w:color="auto" w:fill="DBE5F1"/>
          </w:tcPr>
          <w:p w:rsidR="00225952" w:rsidRPr="009C28E0" w:rsidRDefault="00225952" w:rsidP="00225952">
            <w:pPr>
              <w:spacing w:after="0"/>
              <w:ind w:left="252" w:hanging="252"/>
              <w:rPr>
                <w:sz w:val="18"/>
              </w:rPr>
            </w:pPr>
            <w:r w:rsidRPr="009C28E0">
              <w:rPr>
                <w:b/>
              </w:rPr>
              <w:t xml:space="preserve">Mode </w:t>
            </w:r>
            <w:smartTag w:uri="urn:schemas-microsoft-com:office:smarttags" w:element="City">
              <w:smartTag w:uri="urn:schemas-microsoft-com:office:smarttags" w:element="place">
                <w:r w:rsidRPr="009C28E0">
                  <w:rPr>
                    <w:b/>
                  </w:rPr>
                  <w:t>Split</w:t>
                </w:r>
              </w:smartTag>
            </w:smartTag>
          </w:p>
        </w:tc>
        <w:tc>
          <w:tcPr>
            <w:tcW w:w="1170" w:type="dxa"/>
            <w:tcBorders>
              <w:left w:val="nil"/>
            </w:tcBorders>
            <w:vAlign w:val="center"/>
          </w:tcPr>
          <w:p w:rsidR="00225952" w:rsidRPr="002635FD" w:rsidRDefault="00225952" w:rsidP="00225952">
            <w:pPr>
              <w:spacing w:after="0"/>
              <w:jc w:val="center"/>
            </w:pPr>
          </w:p>
        </w:tc>
      </w:tr>
      <w:tr w:rsidR="00225952" w:rsidTr="00225952">
        <w:tc>
          <w:tcPr>
            <w:tcW w:w="9180" w:type="dxa"/>
            <w:gridSpan w:val="2"/>
            <w:tcBorders>
              <w:right w:val="nil"/>
            </w:tcBorders>
          </w:tcPr>
          <w:p w:rsidR="00225952" w:rsidRPr="009C28E0" w:rsidRDefault="00225952" w:rsidP="00225952">
            <w:pPr>
              <w:pStyle w:val="CheckA"/>
              <w:rPr>
                <w:sz w:val="18"/>
              </w:rPr>
            </w:pPr>
            <w:r w:rsidRPr="00F05E1C">
              <w:t>A.</w:t>
            </w:r>
            <w:r w:rsidRPr="00F05E1C">
              <w:tab/>
              <w:t>Split of vehicle trips to alternate travel modes proposed?</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59" name="Picture 4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2"/>
            <w:tcBorders>
              <w:right w:val="nil"/>
            </w:tcBorders>
          </w:tcPr>
          <w:p w:rsidR="00225952" w:rsidRPr="009C28E0" w:rsidRDefault="00225952" w:rsidP="00225952">
            <w:pPr>
              <w:pStyle w:val="CheckA"/>
              <w:rPr>
                <w:sz w:val="18"/>
              </w:rPr>
            </w:pPr>
            <w:r w:rsidRPr="00F05E1C">
              <w:t>B.</w:t>
            </w:r>
            <w:r w:rsidRPr="00F05E1C">
              <w:tab/>
              <w:t>Documentation supporting mode split provided?</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352" name="Picture 43"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2"/>
            <w:tcBorders>
              <w:right w:val="nil"/>
            </w:tcBorders>
            <w:shd w:val="clear" w:color="auto" w:fill="DBE5F1"/>
          </w:tcPr>
          <w:p w:rsidR="00225952" w:rsidRPr="009C28E0" w:rsidRDefault="00225952" w:rsidP="00225952">
            <w:pPr>
              <w:spacing w:after="0"/>
              <w:ind w:left="252" w:hanging="252"/>
              <w:rPr>
                <w:sz w:val="18"/>
              </w:rPr>
            </w:pPr>
            <w:r w:rsidRPr="009C28E0">
              <w:rPr>
                <w:b/>
              </w:rPr>
              <w:t>Trip Assignment</w:t>
            </w:r>
          </w:p>
        </w:tc>
        <w:tc>
          <w:tcPr>
            <w:tcW w:w="1170" w:type="dxa"/>
            <w:tcBorders>
              <w:left w:val="nil"/>
            </w:tcBorders>
            <w:vAlign w:val="center"/>
          </w:tcPr>
          <w:p w:rsidR="00225952" w:rsidRPr="002635FD" w:rsidRDefault="00225952" w:rsidP="00225952">
            <w:pPr>
              <w:spacing w:after="0"/>
              <w:jc w:val="center"/>
            </w:pPr>
          </w:p>
        </w:tc>
      </w:tr>
      <w:tr w:rsidR="00225952" w:rsidTr="00225952">
        <w:tc>
          <w:tcPr>
            <w:tcW w:w="9180" w:type="dxa"/>
            <w:gridSpan w:val="2"/>
            <w:tcBorders>
              <w:right w:val="nil"/>
            </w:tcBorders>
          </w:tcPr>
          <w:p w:rsidR="00225952" w:rsidRPr="009C28E0" w:rsidRDefault="00225952" w:rsidP="00225952">
            <w:pPr>
              <w:pStyle w:val="CheckA"/>
              <w:rPr>
                <w:sz w:val="18"/>
              </w:rPr>
            </w:pPr>
            <w:r w:rsidRPr="00F05E1C">
              <w:t>A.</w:t>
            </w:r>
            <w:r w:rsidRPr="00F05E1C">
              <w:tab/>
              <w:t>Will show both daily and peak-hour assignments for each project phase?</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353" name="Picture 44"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2"/>
            <w:tcBorders>
              <w:right w:val="nil"/>
            </w:tcBorders>
          </w:tcPr>
          <w:p w:rsidR="00225952" w:rsidRPr="009C28E0" w:rsidRDefault="00225952" w:rsidP="00225952">
            <w:pPr>
              <w:pStyle w:val="CheckA"/>
              <w:rPr>
                <w:sz w:val="18"/>
              </w:rPr>
            </w:pPr>
            <w:r w:rsidRPr="00F05E1C">
              <w:t>B.</w:t>
            </w:r>
            <w:r w:rsidRPr="00F05E1C">
              <w:tab/>
              <w:t xml:space="preserve">If </w:t>
            </w:r>
            <w:r>
              <w:t xml:space="preserve">using </w:t>
            </w:r>
            <w:r w:rsidRPr="00F05E1C">
              <w:t>FSUTMS,</w:t>
            </w:r>
            <w:r>
              <w:t xml:space="preserve"> are</w:t>
            </w:r>
            <w:r w:rsidRPr="00F05E1C">
              <w:t xml:space="preserve"> trip assignments</w:t>
            </w:r>
            <w:r>
              <w:t xml:space="preserve"> shown</w:t>
            </w:r>
            <w:r w:rsidRPr="00F05E1C">
              <w:t>, by p</w:t>
            </w:r>
            <w:r>
              <w:t xml:space="preserve">urpose, for each phase of the </w:t>
            </w:r>
            <w:r w:rsidRPr="00F05E1C">
              <w:t>project?</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354" name="Picture 45"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2"/>
            <w:tcBorders>
              <w:right w:val="nil"/>
            </w:tcBorders>
          </w:tcPr>
          <w:p w:rsidR="00225952" w:rsidRPr="009C28E0" w:rsidRDefault="00225952" w:rsidP="00225952">
            <w:pPr>
              <w:pStyle w:val="CheckA"/>
              <w:rPr>
                <w:sz w:val="18"/>
              </w:rPr>
            </w:pPr>
            <w:r w:rsidRPr="00F05E1C">
              <w:t>C.</w:t>
            </w:r>
            <w:r w:rsidRPr="00F05E1C">
              <w:tab/>
              <w:t>If using FSUTMS</w:t>
            </w:r>
            <w:r>
              <w:t xml:space="preserve">, is single assignment method </w:t>
            </w:r>
            <w:r w:rsidRPr="00F05E1C">
              <w:t>proposed for calculating background traffic volumes?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355" name="Picture 46"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2"/>
            <w:tcBorders>
              <w:right w:val="nil"/>
            </w:tcBorders>
            <w:shd w:val="clear" w:color="auto" w:fill="DBE5F1"/>
          </w:tcPr>
          <w:p w:rsidR="00225952" w:rsidRPr="009C28E0" w:rsidRDefault="00225952" w:rsidP="00225952">
            <w:pPr>
              <w:spacing w:after="0"/>
              <w:ind w:left="252" w:hanging="252"/>
              <w:rPr>
                <w:sz w:val="18"/>
              </w:rPr>
            </w:pPr>
            <w:r w:rsidRPr="009C28E0">
              <w:rPr>
                <w:b/>
              </w:rPr>
              <w:t>Analysis Procedures</w:t>
            </w:r>
          </w:p>
        </w:tc>
        <w:tc>
          <w:tcPr>
            <w:tcW w:w="1170" w:type="dxa"/>
            <w:tcBorders>
              <w:left w:val="nil"/>
            </w:tcBorders>
            <w:vAlign w:val="center"/>
          </w:tcPr>
          <w:p w:rsidR="00225952" w:rsidRPr="002635FD" w:rsidRDefault="00225952" w:rsidP="00225952">
            <w:pPr>
              <w:spacing w:after="0"/>
              <w:jc w:val="center"/>
            </w:pPr>
          </w:p>
        </w:tc>
      </w:tr>
      <w:tr w:rsidR="00225952" w:rsidTr="00225952">
        <w:tc>
          <w:tcPr>
            <w:tcW w:w="9180" w:type="dxa"/>
            <w:gridSpan w:val="2"/>
            <w:tcBorders>
              <w:right w:val="nil"/>
            </w:tcBorders>
          </w:tcPr>
          <w:p w:rsidR="00225952" w:rsidRPr="009C28E0" w:rsidRDefault="00225952" w:rsidP="00225952">
            <w:pPr>
              <w:pStyle w:val="CheckA"/>
              <w:rPr>
                <w:sz w:val="18"/>
              </w:rPr>
            </w:pPr>
            <w:r w:rsidRPr="00F05E1C">
              <w:t>A.</w:t>
            </w:r>
            <w:r w:rsidRPr="00F05E1C">
              <w:tab/>
              <w:t>Identified acceptable minimum LOS s</w:t>
            </w:r>
            <w:r>
              <w:t xml:space="preserve">tandard for study area roadway </w:t>
            </w:r>
            <w:r w:rsidRPr="00F05E1C">
              <w:t>links?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356" name="Picture 47"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val="restart"/>
            <w:tcBorders>
              <w:right w:val="nil"/>
            </w:tcBorders>
          </w:tcPr>
          <w:p w:rsidR="00225952" w:rsidRDefault="00225952" w:rsidP="00225952">
            <w:pPr>
              <w:pStyle w:val="CheckA"/>
            </w:pPr>
            <w:r w:rsidRPr="00F05E1C">
              <w:t>B.</w:t>
            </w:r>
            <w:r w:rsidRPr="00F05E1C">
              <w:tab/>
              <w:t>Identified tools for performing LOS determinations?</w:t>
            </w:r>
          </w:p>
        </w:tc>
        <w:tc>
          <w:tcPr>
            <w:tcW w:w="6030" w:type="dxa"/>
            <w:tcBorders>
              <w:left w:val="nil"/>
              <w:right w:val="nil"/>
            </w:tcBorders>
            <w:vAlign w:val="center"/>
          </w:tcPr>
          <w:p w:rsidR="00225952" w:rsidRDefault="00225952">
            <w:pPr>
              <w:pStyle w:val="Check1"/>
            </w:pPr>
            <w:r w:rsidRPr="00AA468D">
              <w:t>1.</w:t>
            </w:r>
            <w:r w:rsidRPr="00AA468D">
              <w:tab/>
              <w:t>Tools appropriate to the types of facilities analyzed?</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357" name="Picture 48"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9C28E0" w:rsidRDefault="00225952" w:rsidP="00225952">
            <w:pPr>
              <w:spacing w:after="0"/>
              <w:ind w:left="252" w:hanging="252"/>
              <w:rPr>
                <w:sz w:val="20"/>
              </w:rPr>
            </w:pPr>
          </w:p>
        </w:tc>
        <w:tc>
          <w:tcPr>
            <w:tcW w:w="6030" w:type="dxa"/>
            <w:tcBorders>
              <w:left w:val="nil"/>
              <w:right w:val="nil"/>
            </w:tcBorders>
            <w:vAlign w:val="center"/>
          </w:tcPr>
          <w:p w:rsidR="00225952" w:rsidRDefault="00225952">
            <w:pPr>
              <w:pStyle w:val="Check1"/>
            </w:pPr>
            <w:r w:rsidRPr="00AA468D">
              <w:t>2.</w:t>
            </w:r>
            <w:r w:rsidRPr="00AA468D">
              <w:tab/>
              <w:t>Department-approved tools identified?</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358" name="Picture 49"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9C28E0" w:rsidRDefault="00225952" w:rsidP="00225952">
            <w:pPr>
              <w:spacing w:after="0"/>
              <w:ind w:left="252" w:hanging="252"/>
              <w:rPr>
                <w:sz w:val="20"/>
              </w:rPr>
            </w:pPr>
          </w:p>
        </w:tc>
        <w:tc>
          <w:tcPr>
            <w:tcW w:w="6030" w:type="dxa"/>
            <w:tcBorders>
              <w:left w:val="nil"/>
              <w:right w:val="nil"/>
            </w:tcBorders>
            <w:vAlign w:val="center"/>
          </w:tcPr>
          <w:p w:rsidR="00225952" w:rsidRDefault="00225952" w:rsidP="00AD2D7A">
            <w:pPr>
              <w:pStyle w:val="Check1"/>
              <w:numPr>
                <w:ilvl w:val="0"/>
                <w:numId w:val="36"/>
              </w:numPr>
            </w:pPr>
            <w:r w:rsidRPr="00AA468D">
              <w:t>Location(s) of possible queue analyses identified?</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359" name="Picture 50"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2"/>
            <w:tcBorders>
              <w:right w:val="nil"/>
            </w:tcBorders>
          </w:tcPr>
          <w:p w:rsidR="00225952" w:rsidRPr="009C28E0" w:rsidRDefault="00225952" w:rsidP="00225952">
            <w:pPr>
              <w:pStyle w:val="CheckA"/>
              <w:rPr>
                <w:sz w:val="18"/>
              </w:rPr>
            </w:pPr>
            <w:r w:rsidRPr="00F05E1C">
              <w:t>C.</w:t>
            </w:r>
            <w:r w:rsidRPr="00F05E1C">
              <w:tab/>
              <w:t>LOS for each critical roadway segment and intersection by phase?</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360" name="Picture 51"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2"/>
            <w:tcBorders>
              <w:right w:val="nil"/>
            </w:tcBorders>
            <w:shd w:val="clear" w:color="auto" w:fill="DBE5F1"/>
          </w:tcPr>
          <w:p w:rsidR="00225952" w:rsidRPr="009C28E0" w:rsidRDefault="003A266F" w:rsidP="00225952">
            <w:pPr>
              <w:pStyle w:val="ResourceNotTOC"/>
              <w:rPr>
                <w:sz w:val="20"/>
              </w:rPr>
            </w:pPr>
            <w:r>
              <w:rPr>
                <w:color w:val="auto"/>
              </w:rPr>
              <w:lastRenderedPageBreak/>
              <w:t xml:space="preserve">DRI </w:t>
            </w:r>
            <w:r w:rsidR="00225952" w:rsidRPr="009C28E0">
              <w:rPr>
                <w:color w:val="auto"/>
              </w:rPr>
              <w:t>Checklist 1 |</w:t>
            </w:r>
            <w:r w:rsidR="00225952" w:rsidRPr="00F1684E">
              <w:t xml:space="preserve"> </w:t>
            </w:r>
            <w:r w:rsidR="00225952">
              <w:tab/>
            </w:r>
            <w:r w:rsidR="00225952" w:rsidRPr="00F1684E">
              <w:t xml:space="preserve">Methodology Meeting </w:t>
            </w:r>
          </w:p>
        </w:tc>
        <w:tc>
          <w:tcPr>
            <w:tcW w:w="1170" w:type="dxa"/>
            <w:tcBorders>
              <w:left w:val="nil"/>
            </w:tcBorders>
            <w:vAlign w:val="center"/>
          </w:tcPr>
          <w:p w:rsidR="00225952" w:rsidRPr="009C28E0" w:rsidRDefault="00225952" w:rsidP="00225952">
            <w:pPr>
              <w:spacing w:after="0"/>
              <w:jc w:val="center"/>
              <w:rPr>
                <w:noProof/>
                <w:color w:val="4F6228"/>
                <w:sz w:val="18"/>
              </w:rPr>
            </w:pPr>
            <w:r w:rsidRPr="009C28E0">
              <w:rPr>
                <w:noProof/>
                <w:color w:val="4F6228"/>
                <w:sz w:val="18"/>
              </w:rPr>
              <w:t>3 of 3</w:t>
            </w:r>
          </w:p>
        </w:tc>
      </w:tr>
      <w:tr w:rsidR="00225952" w:rsidTr="00225952">
        <w:tc>
          <w:tcPr>
            <w:tcW w:w="9180" w:type="dxa"/>
            <w:gridSpan w:val="2"/>
            <w:tcBorders>
              <w:right w:val="nil"/>
            </w:tcBorders>
            <w:shd w:val="clear" w:color="auto" w:fill="DBE5F1"/>
          </w:tcPr>
          <w:p w:rsidR="00225952" w:rsidRPr="009C28E0" w:rsidRDefault="00225952" w:rsidP="00225952">
            <w:pPr>
              <w:spacing w:after="0"/>
              <w:ind w:left="252" w:hanging="252"/>
              <w:rPr>
                <w:sz w:val="18"/>
              </w:rPr>
            </w:pPr>
            <w:r w:rsidRPr="009C28E0">
              <w:rPr>
                <w:b/>
              </w:rPr>
              <w:t>Other Considerations</w:t>
            </w:r>
          </w:p>
        </w:tc>
        <w:tc>
          <w:tcPr>
            <w:tcW w:w="1170" w:type="dxa"/>
            <w:tcBorders>
              <w:left w:val="nil"/>
            </w:tcBorders>
            <w:vAlign w:val="center"/>
          </w:tcPr>
          <w:p w:rsidR="00225952" w:rsidRPr="002635FD" w:rsidRDefault="00225952" w:rsidP="00225952">
            <w:pPr>
              <w:spacing w:after="0"/>
              <w:jc w:val="center"/>
            </w:pPr>
            <w:r w:rsidRPr="009C28E0">
              <w:rPr>
                <w:noProof/>
                <w:color w:val="4F6228"/>
                <w:sz w:val="18"/>
              </w:rPr>
              <w:t xml:space="preserve">Y  </w:t>
            </w:r>
            <w:r w:rsidRPr="009C28E0">
              <w:rPr>
                <w:noProof/>
                <w:sz w:val="18"/>
              </w:rPr>
              <w:t xml:space="preserve"> </w:t>
            </w:r>
            <w:r w:rsidRPr="009C28E0">
              <w:rPr>
                <w:noProof/>
                <w:color w:val="C00000"/>
                <w:sz w:val="18"/>
              </w:rPr>
              <w:t>N</w:t>
            </w:r>
            <w:r w:rsidRPr="009C28E0">
              <w:rPr>
                <w:noProof/>
                <w:sz w:val="18"/>
              </w:rPr>
              <w:t xml:space="preserve">  </w:t>
            </w:r>
            <w:r w:rsidRPr="009C28E0">
              <w:rPr>
                <w:noProof/>
                <w:color w:val="7F7F7F"/>
                <w:sz w:val="18"/>
              </w:rPr>
              <w:t>N/A</w:t>
            </w:r>
          </w:p>
        </w:tc>
      </w:tr>
      <w:tr w:rsidR="00225952" w:rsidTr="00225952">
        <w:tc>
          <w:tcPr>
            <w:tcW w:w="9180" w:type="dxa"/>
            <w:gridSpan w:val="2"/>
            <w:tcBorders>
              <w:right w:val="nil"/>
            </w:tcBorders>
          </w:tcPr>
          <w:p w:rsidR="00225952" w:rsidRPr="009C28E0" w:rsidRDefault="00225952" w:rsidP="00225952">
            <w:pPr>
              <w:pStyle w:val="CheckA"/>
              <w:rPr>
                <w:sz w:val="18"/>
              </w:rPr>
            </w:pPr>
            <w:r w:rsidRPr="00F05E1C">
              <w:t>A.</w:t>
            </w:r>
            <w:r w:rsidRPr="00F05E1C">
              <w:tab/>
              <w:t>Recognized need to adhere to Depar</w:t>
            </w:r>
            <w:r>
              <w:t xml:space="preserve">tment standards for SHS access </w:t>
            </w:r>
            <w:r w:rsidRPr="00F05E1C">
              <w:t>controls?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361" name="Picture 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2"/>
            <w:tcBorders>
              <w:right w:val="nil"/>
            </w:tcBorders>
          </w:tcPr>
          <w:p w:rsidR="00225952" w:rsidRPr="009C28E0" w:rsidRDefault="00225952" w:rsidP="00225952">
            <w:pPr>
              <w:pStyle w:val="CheckA"/>
              <w:rPr>
                <w:sz w:val="18"/>
              </w:rPr>
            </w:pPr>
            <w:r w:rsidRPr="00F05E1C">
              <w:t>B.</w:t>
            </w:r>
            <w:r w:rsidRPr="00F05E1C">
              <w:tab/>
              <w:t>Applicant aware of any local maximum number of lanes policy?</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362" name="Picture 53"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tcBorders>
              <w:right w:val="nil"/>
            </w:tcBorders>
          </w:tcPr>
          <w:p w:rsidR="00225952" w:rsidRDefault="00225952">
            <w:pPr>
              <w:pStyle w:val="CheckA"/>
            </w:pPr>
            <w:r w:rsidRPr="00F05E1C">
              <w:t>C.</w:t>
            </w:r>
            <w:r w:rsidRPr="00F05E1C">
              <w:tab/>
              <w:t>Applicant aware that any project ph</w:t>
            </w:r>
            <w:r>
              <w:t xml:space="preserve">ase depending upon an approved </w:t>
            </w:r>
            <w:r w:rsidRPr="00F05E1C">
              <w:t>IJR/IMR shall not be approved until request approved?</w:t>
            </w:r>
          </w:p>
        </w:tc>
        <w:tc>
          <w:tcPr>
            <w:tcW w:w="6030" w:type="dxa"/>
            <w:tcBorders>
              <w:left w:val="nil"/>
              <w:right w:val="nil"/>
            </w:tcBorders>
            <w:vAlign w:val="center"/>
          </w:tcPr>
          <w:p w:rsidR="00225952" w:rsidRDefault="00225952">
            <w:pPr>
              <w:pStyle w:val="Check1"/>
            </w:pPr>
            <w:r w:rsidRPr="00AA468D">
              <w:t>1.</w:t>
            </w:r>
            <w:r w:rsidRPr="00AA468D">
              <w:tab/>
              <w:t>IJR/IMR such approval request cannot be initiated until at least 45 days following the issuance of a Development Order?</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363" name="Picture 54"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2"/>
            <w:tcBorders>
              <w:right w:val="nil"/>
            </w:tcBorders>
          </w:tcPr>
          <w:p w:rsidR="00225952" w:rsidRPr="009C28E0" w:rsidRDefault="00225952" w:rsidP="00225952">
            <w:pPr>
              <w:pStyle w:val="CheckA"/>
              <w:rPr>
                <w:sz w:val="18"/>
              </w:rPr>
            </w:pPr>
            <w:r w:rsidRPr="00F05E1C">
              <w:t>D.</w:t>
            </w:r>
            <w:r w:rsidRPr="00F05E1C">
              <w:tab/>
              <w:t>Applicant indicated the need to</w:t>
            </w:r>
            <w:r>
              <w:t xml:space="preserve"> adhere to Department’s access management standards</w:t>
            </w:r>
            <w:r w:rsidRPr="00F05E1C">
              <w:t>?</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364" name="Picture 55"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2"/>
            <w:tcBorders>
              <w:right w:val="nil"/>
            </w:tcBorders>
          </w:tcPr>
          <w:p w:rsidR="00225952" w:rsidRPr="009C28E0" w:rsidRDefault="00225952" w:rsidP="00225952">
            <w:pPr>
              <w:pStyle w:val="CheckA"/>
              <w:rPr>
                <w:sz w:val="18"/>
              </w:rPr>
            </w:pPr>
            <w:r w:rsidRPr="00F05E1C">
              <w:t>E.</w:t>
            </w:r>
            <w:r w:rsidRPr="00F05E1C">
              <w:tab/>
              <w:t xml:space="preserve">Applicant defined method to determine </w:t>
            </w:r>
            <w:r>
              <w:t>left-turn queues into the site</w:t>
            </w:r>
            <w:r w:rsidRPr="00F05E1C">
              <w:t>?</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365" name="Picture 56"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2"/>
            <w:tcBorders>
              <w:right w:val="nil"/>
            </w:tcBorders>
          </w:tcPr>
          <w:p w:rsidR="00225952" w:rsidRPr="009C28E0" w:rsidRDefault="00225952" w:rsidP="00225952">
            <w:pPr>
              <w:pStyle w:val="CheckA"/>
              <w:rPr>
                <w:sz w:val="18"/>
              </w:rPr>
            </w:pPr>
            <w:r w:rsidRPr="00F05E1C">
              <w:t xml:space="preserve">F. </w:t>
            </w:r>
            <w:r>
              <w:t xml:space="preserve"> </w:t>
            </w:r>
            <w:r w:rsidRPr="00F05E1C">
              <w:t>Is applicant aware of requirement to address multimodal site access and connectivity?</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366" name="Picture 57"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10350" w:type="dxa"/>
            <w:gridSpan w:val="3"/>
          </w:tcPr>
          <w:p w:rsidR="00225952" w:rsidRPr="002635FD" w:rsidRDefault="00225952" w:rsidP="00225952">
            <w:pPr>
              <w:pStyle w:val="ResourceNotTOC"/>
              <w:jc w:val="right"/>
            </w:pPr>
            <w:r>
              <w:t>3 of 3</w:t>
            </w:r>
          </w:p>
        </w:tc>
      </w:tr>
    </w:tbl>
    <w:p w:rsidR="00225952" w:rsidRDefault="00225952"/>
    <w:p w:rsidR="00781B72" w:rsidRDefault="00225952" w:rsidP="00781B72">
      <w:pPr>
        <w:jc w:val="center"/>
        <w:rPr>
          <w:b/>
          <w:color w:val="D9D9D9" w:themeColor="background1" w:themeShade="D9"/>
          <w:sz w:val="96"/>
          <w:szCs w:val="96"/>
        </w:rPr>
      </w:pPr>
      <w:r>
        <w:br w:type="page"/>
      </w:r>
    </w:p>
    <w:p w:rsidR="00781B72" w:rsidRDefault="00781B72" w:rsidP="00781B72">
      <w:pPr>
        <w:spacing w:after="0" w:line="240" w:lineRule="auto"/>
        <w:jc w:val="center"/>
        <w:rPr>
          <w:b/>
          <w:color w:val="D9D9D9" w:themeColor="background1" w:themeShade="D9"/>
          <w:sz w:val="96"/>
          <w:szCs w:val="96"/>
        </w:rPr>
      </w:pPr>
    </w:p>
    <w:p w:rsidR="00225952" w:rsidRDefault="00781B72" w:rsidP="00781B72">
      <w:pPr>
        <w:spacing w:after="0" w:line="240" w:lineRule="auto"/>
        <w:jc w:val="center"/>
      </w:pPr>
      <w:r w:rsidRPr="004B5E07">
        <w:rPr>
          <w:b/>
          <w:color w:val="D9D9D9" w:themeColor="background1" w:themeShade="D9"/>
          <w:sz w:val="96"/>
          <w:szCs w:val="96"/>
        </w:rPr>
        <w:t>Blank Page</w:t>
      </w:r>
    </w:p>
    <w:p w:rsidR="00225952" w:rsidRDefault="00225952"/>
    <w:p w:rsidR="00225952" w:rsidRDefault="00225952" w:rsidP="00225952">
      <w:pPr>
        <w:sectPr w:rsidR="00225952" w:rsidSect="00832911">
          <w:headerReference w:type="default" r:id="rId335"/>
          <w:pgSz w:w="12240" w:h="15840"/>
          <w:pgMar w:top="1440" w:right="720" w:bottom="1440" w:left="1152" w:header="720" w:footer="720" w:gutter="0"/>
          <w:cols w:space="720"/>
          <w:docGrid w:linePitch="360"/>
        </w:sectPr>
      </w:pPr>
      <w:r>
        <w:br w:type="page"/>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150"/>
        <w:gridCol w:w="630"/>
        <w:gridCol w:w="3870"/>
        <w:gridCol w:w="1530"/>
        <w:gridCol w:w="1170"/>
      </w:tblGrid>
      <w:tr w:rsidR="00225952" w:rsidTr="00EB5829">
        <w:tc>
          <w:tcPr>
            <w:tcW w:w="10350" w:type="dxa"/>
            <w:gridSpan w:val="5"/>
            <w:shd w:val="clear" w:color="auto" w:fill="31849B" w:themeFill="accent5" w:themeFillShade="BF"/>
          </w:tcPr>
          <w:p w:rsidR="00225952" w:rsidRPr="009C28E0" w:rsidRDefault="003A266F" w:rsidP="00EB5829">
            <w:pPr>
              <w:pStyle w:val="Heading2"/>
              <w:shd w:val="clear" w:color="auto" w:fill="31849B" w:themeFill="accent5" w:themeFillShade="BF"/>
              <w:spacing w:before="0" w:after="0"/>
            </w:pPr>
            <w:bookmarkStart w:id="303" w:name="C2"/>
            <w:bookmarkStart w:id="304" w:name="_Toc264274166"/>
            <w:bookmarkEnd w:id="303"/>
            <w:r>
              <w:rPr>
                <w:color w:val="auto"/>
              </w:rPr>
              <w:lastRenderedPageBreak/>
              <w:t xml:space="preserve">DRI </w:t>
            </w:r>
            <w:r w:rsidR="00225952" w:rsidRPr="009C28E0">
              <w:rPr>
                <w:color w:val="auto"/>
              </w:rPr>
              <w:t>Checklist 2 |</w:t>
            </w:r>
            <w:r w:rsidR="00225952" w:rsidRPr="009C28E0">
              <w:t xml:space="preserve">   </w:t>
            </w:r>
            <w:r w:rsidR="00225952" w:rsidRPr="00EB5829">
              <w:rPr>
                <w:color w:val="FFFFFF" w:themeColor="background1"/>
              </w:rPr>
              <w:t>ADA Sufficiency Review</w:t>
            </w:r>
            <w:bookmarkEnd w:id="304"/>
            <w:r w:rsidR="00225952" w:rsidRPr="009C28E0">
              <w:t xml:space="preserve">  </w:t>
            </w:r>
          </w:p>
        </w:tc>
      </w:tr>
      <w:tr w:rsidR="00225952" w:rsidTr="00225952">
        <w:tc>
          <w:tcPr>
            <w:tcW w:w="3150" w:type="dxa"/>
            <w:tcBorders>
              <w:right w:val="nil"/>
            </w:tcBorders>
          </w:tcPr>
          <w:p w:rsidR="00225952" w:rsidRPr="009C28E0" w:rsidRDefault="00225952" w:rsidP="00225952">
            <w:pPr>
              <w:spacing w:after="0"/>
              <w:rPr>
                <w:i/>
                <w:sz w:val="18"/>
              </w:rPr>
            </w:pPr>
            <w:r w:rsidRPr="009C28E0">
              <w:rPr>
                <w:i/>
                <w:sz w:val="18"/>
              </w:rPr>
              <w:t>Project</w:t>
            </w:r>
          </w:p>
        </w:tc>
        <w:tc>
          <w:tcPr>
            <w:tcW w:w="4500" w:type="dxa"/>
            <w:gridSpan w:val="2"/>
            <w:tcBorders>
              <w:left w:val="nil"/>
              <w:right w:val="nil"/>
            </w:tcBorders>
          </w:tcPr>
          <w:p w:rsidR="00225952" w:rsidRPr="009C28E0" w:rsidRDefault="00225952" w:rsidP="00225952">
            <w:pPr>
              <w:spacing w:after="0"/>
              <w:rPr>
                <w:i/>
                <w:sz w:val="18"/>
              </w:rPr>
            </w:pPr>
            <w:r w:rsidRPr="009C28E0">
              <w:rPr>
                <w:i/>
                <w:sz w:val="18"/>
              </w:rPr>
              <w:t>Reviewer</w:t>
            </w:r>
          </w:p>
        </w:tc>
        <w:tc>
          <w:tcPr>
            <w:tcW w:w="2700" w:type="dxa"/>
            <w:gridSpan w:val="2"/>
            <w:tcBorders>
              <w:left w:val="nil"/>
            </w:tcBorders>
          </w:tcPr>
          <w:p w:rsidR="00225952" w:rsidRPr="009C28E0" w:rsidRDefault="00225952" w:rsidP="00225952">
            <w:pPr>
              <w:spacing w:after="0"/>
              <w:rPr>
                <w:i/>
                <w:sz w:val="18"/>
              </w:rPr>
            </w:pPr>
            <w:r w:rsidRPr="009C28E0">
              <w:rPr>
                <w:i/>
                <w:sz w:val="18"/>
              </w:rPr>
              <w:t>Date of Review:</w:t>
            </w:r>
          </w:p>
          <w:p w:rsidR="00225952" w:rsidRPr="009C28E0" w:rsidRDefault="00225952" w:rsidP="00225952">
            <w:pPr>
              <w:spacing w:after="0"/>
              <w:rPr>
                <w:i/>
                <w:sz w:val="18"/>
              </w:rPr>
            </w:pPr>
            <w:r w:rsidRPr="009C28E0">
              <w:rPr>
                <w:i/>
                <w:sz w:val="18"/>
              </w:rPr>
              <w:t>Comments Due:</w:t>
            </w:r>
          </w:p>
        </w:tc>
      </w:tr>
      <w:tr w:rsidR="00225952" w:rsidTr="00225952">
        <w:tc>
          <w:tcPr>
            <w:tcW w:w="9180" w:type="dxa"/>
            <w:gridSpan w:val="4"/>
            <w:tcBorders>
              <w:right w:val="nil"/>
            </w:tcBorders>
          </w:tcPr>
          <w:p w:rsidR="00225952" w:rsidRPr="009C28E0" w:rsidRDefault="00225952" w:rsidP="00225952">
            <w:pPr>
              <w:spacing w:after="0"/>
              <w:ind w:left="252" w:hanging="252"/>
              <w:rPr>
                <w:sz w:val="20"/>
              </w:rPr>
            </w:pPr>
          </w:p>
        </w:tc>
        <w:tc>
          <w:tcPr>
            <w:tcW w:w="1170" w:type="dxa"/>
            <w:tcBorders>
              <w:left w:val="nil"/>
            </w:tcBorders>
            <w:vAlign w:val="center"/>
          </w:tcPr>
          <w:p w:rsidR="00225952" w:rsidRPr="002635FD" w:rsidRDefault="00225952" w:rsidP="00225952">
            <w:pPr>
              <w:spacing w:after="0"/>
              <w:jc w:val="center"/>
            </w:pPr>
            <w:r w:rsidRPr="009C28E0">
              <w:rPr>
                <w:noProof/>
                <w:color w:val="4F6228"/>
                <w:sz w:val="18"/>
              </w:rPr>
              <w:t xml:space="preserve">Y  </w:t>
            </w:r>
            <w:r w:rsidRPr="009C28E0">
              <w:rPr>
                <w:noProof/>
                <w:sz w:val="18"/>
              </w:rPr>
              <w:t xml:space="preserve"> </w:t>
            </w:r>
            <w:r w:rsidRPr="009C28E0">
              <w:rPr>
                <w:noProof/>
                <w:color w:val="C00000"/>
                <w:sz w:val="18"/>
              </w:rPr>
              <w:t>N</w:t>
            </w:r>
            <w:r w:rsidRPr="009C28E0">
              <w:rPr>
                <w:noProof/>
                <w:sz w:val="18"/>
              </w:rPr>
              <w:t xml:space="preserve">  </w:t>
            </w:r>
            <w:r w:rsidRPr="009C28E0">
              <w:rPr>
                <w:noProof/>
                <w:color w:val="7F7F7F"/>
                <w:sz w:val="18"/>
              </w:rPr>
              <w:t>N/A</w:t>
            </w:r>
          </w:p>
        </w:tc>
      </w:tr>
      <w:tr w:rsidR="00225952" w:rsidTr="00225952">
        <w:tc>
          <w:tcPr>
            <w:tcW w:w="9180" w:type="dxa"/>
            <w:gridSpan w:val="4"/>
            <w:tcBorders>
              <w:right w:val="nil"/>
            </w:tcBorders>
          </w:tcPr>
          <w:p w:rsidR="00225952" w:rsidRPr="009C28E0" w:rsidRDefault="00225952" w:rsidP="00781B72">
            <w:pPr>
              <w:pStyle w:val="CheckA"/>
              <w:jc w:val="left"/>
              <w:rPr>
                <w:sz w:val="18"/>
              </w:rPr>
            </w:pPr>
            <w:r w:rsidRPr="00F05E1C">
              <w:t>A.</w:t>
            </w:r>
            <w:r w:rsidRPr="00F05E1C">
              <w:tab/>
              <w:t>Adequate explanation of existing conditions, data collection, and analysis procedures for all transportation modes?</w:t>
            </w:r>
            <w:r>
              <w:tab/>
              <w:t>(Section A)</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367" name="Picture 58"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4"/>
            <w:tcBorders>
              <w:right w:val="nil"/>
            </w:tcBorders>
          </w:tcPr>
          <w:p w:rsidR="00225952" w:rsidRPr="009C28E0" w:rsidRDefault="00225952" w:rsidP="00781B72">
            <w:pPr>
              <w:pStyle w:val="CheckA"/>
              <w:jc w:val="left"/>
              <w:rPr>
                <w:sz w:val="18"/>
              </w:rPr>
            </w:pPr>
            <w:r w:rsidRPr="00F05E1C">
              <w:t>B.</w:t>
            </w:r>
            <w:r w:rsidRPr="00F05E1C">
              <w:tab/>
              <w:t>Adequate discussion of trip generation data, modal split, assumptions, and methods from a multimodal perspective provided?</w:t>
            </w:r>
            <w:r>
              <w:tab/>
              <w:t>(Section B)</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368" name="Picture 59"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4"/>
            <w:tcBorders>
              <w:right w:val="nil"/>
            </w:tcBorders>
          </w:tcPr>
          <w:p w:rsidR="00225952" w:rsidRPr="009C28E0" w:rsidRDefault="00225952" w:rsidP="00781B72">
            <w:pPr>
              <w:pStyle w:val="CheckA"/>
              <w:jc w:val="left"/>
              <w:rPr>
                <w:sz w:val="18"/>
              </w:rPr>
            </w:pPr>
            <w:r w:rsidRPr="00F05E1C">
              <w:t>C.</w:t>
            </w:r>
            <w:r w:rsidRPr="00F05E1C">
              <w:tab/>
              <w:t>Adequate discussions and analysis results for ea</w:t>
            </w:r>
            <w:r>
              <w:t>ch project phase</w:t>
            </w:r>
            <w:r w:rsidRPr="00F05E1C">
              <w:t>?</w:t>
            </w:r>
            <w:r>
              <w:tab/>
              <w:t>(Section C)</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369" name="Picture 60"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780" w:type="dxa"/>
            <w:gridSpan w:val="2"/>
            <w:vMerge w:val="restart"/>
            <w:tcBorders>
              <w:right w:val="nil"/>
            </w:tcBorders>
          </w:tcPr>
          <w:p w:rsidR="00225952" w:rsidRDefault="00225952" w:rsidP="00781B72">
            <w:pPr>
              <w:pStyle w:val="CheckA"/>
              <w:jc w:val="left"/>
            </w:pPr>
            <w:r w:rsidRPr="00F05E1C">
              <w:t>D.</w:t>
            </w:r>
            <w:r w:rsidRPr="00F05E1C">
              <w:tab/>
              <w:t>Adequate documentation for each project p</w:t>
            </w:r>
            <w:r>
              <w:t xml:space="preserve">hase? </w:t>
            </w:r>
            <w:r>
              <w:tab/>
              <w:t>(Section D)</w:t>
            </w:r>
          </w:p>
        </w:tc>
        <w:tc>
          <w:tcPr>
            <w:tcW w:w="5400" w:type="dxa"/>
            <w:gridSpan w:val="2"/>
            <w:tcBorders>
              <w:left w:val="nil"/>
              <w:right w:val="nil"/>
            </w:tcBorders>
            <w:vAlign w:val="center"/>
          </w:tcPr>
          <w:p w:rsidR="00225952" w:rsidRDefault="00225952" w:rsidP="00781B72">
            <w:pPr>
              <w:pStyle w:val="Check1"/>
              <w:jc w:val="left"/>
            </w:pPr>
            <w:r w:rsidRPr="00F05E1C">
              <w:t>1.</w:t>
            </w:r>
            <w:r w:rsidRPr="00F05E1C">
              <w:tab/>
            </w:r>
            <w:r>
              <w:t>Forecasting</w:t>
            </w:r>
            <w:r w:rsidRPr="00F05E1C">
              <w:t xml:space="preserve"> of </w:t>
            </w:r>
            <w:r>
              <w:t xml:space="preserve">daily </w:t>
            </w:r>
            <w:r w:rsidRPr="00F05E1C">
              <w:t>background traffic, by phase, graphically depicted?</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370" name="Picture 61"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780" w:type="dxa"/>
            <w:gridSpan w:val="2"/>
            <w:vMerge/>
            <w:tcBorders>
              <w:right w:val="nil"/>
            </w:tcBorders>
          </w:tcPr>
          <w:p w:rsidR="00225952" w:rsidRPr="00F05E1C" w:rsidRDefault="00225952" w:rsidP="00781B72">
            <w:pPr>
              <w:pStyle w:val="CheckA"/>
              <w:jc w:val="left"/>
            </w:pPr>
          </w:p>
        </w:tc>
        <w:tc>
          <w:tcPr>
            <w:tcW w:w="5400" w:type="dxa"/>
            <w:gridSpan w:val="2"/>
            <w:tcBorders>
              <w:left w:val="nil"/>
              <w:right w:val="nil"/>
            </w:tcBorders>
            <w:vAlign w:val="center"/>
          </w:tcPr>
          <w:p w:rsidR="00225952" w:rsidRPr="00E56995" w:rsidRDefault="00225952" w:rsidP="00781B72">
            <w:pPr>
              <w:pStyle w:val="Check1"/>
              <w:jc w:val="left"/>
            </w:pPr>
            <w:r>
              <w:t>2. Analysis of peak-hour traffic distribution and assignment for Section D review</w:t>
            </w:r>
          </w:p>
        </w:tc>
        <w:tc>
          <w:tcPr>
            <w:tcW w:w="1170" w:type="dxa"/>
            <w:tcBorders>
              <w:left w:val="nil"/>
            </w:tcBorders>
            <w:vAlign w:val="center"/>
          </w:tcPr>
          <w:p w:rsidR="00225952" w:rsidRPr="00B06BDA" w:rsidRDefault="00225952" w:rsidP="00225952">
            <w:pPr>
              <w:spacing w:after="0"/>
              <w:jc w:val="center"/>
              <w:rPr>
                <w:noProof/>
              </w:rPr>
            </w:pPr>
            <w:r>
              <w:rPr>
                <w:noProof/>
              </w:rPr>
              <w:drawing>
                <wp:inline distT="0" distB="0" distL="0" distR="0">
                  <wp:extent cx="462915" cy="154305"/>
                  <wp:effectExtent l="0" t="0" r="0" b="0"/>
                  <wp:docPr id="371" name="Picture 6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780" w:type="dxa"/>
            <w:gridSpan w:val="2"/>
            <w:vMerge w:val="restart"/>
            <w:tcBorders>
              <w:right w:val="nil"/>
            </w:tcBorders>
          </w:tcPr>
          <w:p w:rsidR="00225952" w:rsidRDefault="00225952" w:rsidP="00781B72">
            <w:pPr>
              <w:pStyle w:val="CheckA"/>
              <w:jc w:val="left"/>
            </w:pPr>
            <w:r w:rsidRPr="00F05E1C">
              <w:t>E.</w:t>
            </w:r>
            <w:r w:rsidRPr="00F05E1C">
              <w:tab/>
              <w:t>Adequate documentation for each project ph</w:t>
            </w:r>
            <w:r>
              <w:t xml:space="preserve">ase regarding distribution and </w:t>
            </w:r>
            <w:r w:rsidRPr="00F05E1C">
              <w:t>analysis of daily and peak-hour traffic volumes?</w:t>
            </w:r>
            <w:r>
              <w:tab/>
              <w:t>(Section E)</w:t>
            </w:r>
          </w:p>
        </w:tc>
        <w:tc>
          <w:tcPr>
            <w:tcW w:w="5400" w:type="dxa"/>
            <w:gridSpan w:val="2"/>
            <w:tcBorders>
              <w:left w:val="nil"/>
              <w:right w:val="nil"/>
            </w:tcBorders>
            <w:vAlign w:val="center"/>
          </w:tcPr>
          <w:p w:rsidR="00225952" w:rsidRDefault="00225952" w:rsidP="00781B72">
            <w:pPr>
              <w:pStyle w:val="Check1"/>
              <w:jc w:val="left"/>
            </w:pPr>
            <w:r w:rsidRPr="00F05E1C">
              <w:t>1.</w:t>
            </w:r>
            <w:r w:rsidRPr="00F05E1C">
              <w:tab/>
              <w:t>Project trips graphically depicted for each project phase?</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376" name="Picture 63"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780" w:type="dxa"/>
            <w:gridSpan w:val="2"/>
            <w:vMerge/>
            <w:tcBorders>
              <w:right w:val="nil"/>
            </w:tcBorders>
          </w:tcPr>
          <w:p w:rsidR="00225952" w:rsidRPr="009C28E0" w:rsidRDefault="00225952" w:rsidP="00781B72">
            <w:pPr>
              <w:spacing w:after="0"/>
              <w:ind w:left="342" w:hanging="270"/>
              <w:jc w:val="left"/>
              <w:rPr>
                <w:sz w:val="20"/>
              </w:rPr>
            </w:pPr>
          </w:p>
        </w:tc>
        <w:tc>
          <w:tcPr>
            <w:tcW w:w="5400" w:type="dxa"/>
            <w:gridSpan w:val="2"/>
            <w:tcBorders>
              <w:left w:val="nil"/>
              <w:right w:val="nil"/>
            </w:tcBorders>
            <w:vAlign w:val="center"/>
          </w:tcPr>
          <w:p w:rsidR="00225952" w:rsidRDefault="00225952" w:rsidP="00781B72">
            <w:pPr>
              <w:pStyle w:val="Check1"/>
              <w:jc w:val="left"/>
            </w:pPr>
            <w:r w:rsidRPr="00F05E1C">
              <w:t>2.</w:t>
            </w:r>
            <w:r w:rsidRPr="00F05E1C">
              <w:tab/>
              <w:t>Percentage of project traffic in traffic stream at buildout documented?</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377" name="Picture 64"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780" w:type="dxa"/>
            <w:gridSpan w:val="2"/>
            <w:vMerge/>
            <w:tcBorders>
              <w:right w:val="nil"/>
            </w:tcBorders>
          </w:tcPr>
          <w:p w:rsidR="00225952" w:rsidRPr="009C28E0" w:rsidRDefault="00225952" w:rsidP="00781B72">
            <w:pPr>
              <w:spacing w:after="0"/>
              <w:ind w:left="342" w:hanging="270"/>
              <w:jc w:val="left"/>
              <w:rPr>
                <w:sz w:val="20"/>
              </w:rPr>
            </w:pPr>
          </w:p>
        </w:tc>
        <w:tc>
          <w:tcPr>
            <w:tcW w:w="5400" w:type="dxa"/>
            <w:gridSpan w:val="2"/>
            <w:tcBorders>
              <w:left w:val="nil"/>
              <w:right w:val="nil"/>
            </w:tcBorders>
            <w:vAlign w:val="center"/>
          </w:tcPr>
          <w:p w:rsidR="00225952" w:rsidRDefault="00225952" w:rsidP="00781B72">
            <w:pPr>
              <w:pStyle w:val="Check1"/>
              <w:jc w:val="left"/>
            </w:pPr>
            <w:r w:rsidRPr="00F05E1C">
              <w:t>3.</w:t>
            </w:r>
            <w:r w:rsidRPr="00F05E1C">
              <w:tab/>
              <w:t>Project study area boundary maintain adhe</w:t>
            </w:r>
            <w:r>
              <w:t xml:space="preserve">rence to study “significantly </w:t>
            </w:r>
            <w:r w:rsidRPr="00F05E1C">
              <w:t>impacted” SHS facilities requirement?</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378" name="Picture 65"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4"/>
            <w:tcBorders>
              <w:right w:val="nil"/>
            </w:tcBorders>
          </w:tcPr>
          <w:p w:rsidR="00225952" w:rsidRPr="009C28E0" w:rsidRDefault="00225952" w:rsidP="00781B72">
            <w:pPr>
              <w:pStyle w:val="CheckA"/>
              <w:jc w:val="left"/>
              <w:rPr>
                <w:sz w:val="18"/>
              </w:rPr>
            </w:pPr>
            <w:r w:rsidRPr="00F05E1C">
              <w:t>F.</w:t>
            </w:r>
            <w:r w:rsidRPr="00F05E1C">
              <w:tab/>
              <w:t>Recommended impact mitigation improvement</w:t>
            </w:r>
            <w:r>
              <w:t xml:space="preserve">s, including TSM and alternate </w:t>
            </w:r>
            <w:r w:rsidRPr="00F05E1C">
              <w:t>mode improvements, discussed and analyzed in s</w:t>
            </w:r>
            <w:r>
              <w:t>ufficient detail</w:t>
            </w:r>
            <w:r w:rsidRPr="00F05E1C">
              <w:t>?</w:t>
            </w:r>
            <w:r>
              <w:tab/>
              <w:t>(Section F)</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379" name="Picture 66"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4"/>
            <w:tcBorders>
              <w:right w:val="nil"/>
            </w:tcBorders>
          </w:tcPr>
          <w:p w:rsidR="00225952" w:rsidRPr="009C28E0" w:rsidRDefault="00225952" w:rsidP="00781B72">
            <w:pPr>
              <w:pStyle w:val="CheckA"/>
              <w:jc w:val="left"/>
              <w:rPr>
                <w:sz w:val="18"/>
              </w:rPr>
            </w:pPr>
            <w:r w:rsidRPr="00F05E1C">
              <w:t>G.</w:t>
            </w:r>
            <w:r w:rsidRPr="00F05E1C">
              <w:tab/>
              <w:t>Adequate discussion of project’s contribution to planned transportation corridors, regardless of mode, as shown in local plans through protection</w:t>
            </w:r>
            <w:r>
              <w:t xml:space="preserve"> </w:t>
            </w:r>
            <w:r w:rsidRPr="00F05E1C">
              <w:t>and/or development?</w:t>
            </w:r>
            <w:r>
              <w:tab/>
              <w:t>(Section G)</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380" name="Picture 67"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4"/>
            <w:tcBorders>
              <w:right w:val="nil"/>
            </w:tcBorders>
          </w:tcPr>
          <w:p w:rsidR="00225952" w:rsidRPr="009C28E0" w:rsidRDefault="00225952" w:rsidP="00781B72">
            <w:pPr>
              <w:pStyle w:val="CheckA"/>
              <w:jc w:val="left"/>
              <w:rPr>
                <w:sz w:val="18"/>
              </w:rPr>
            </w:pPr>
            <w:r w:rsidRPr="00F05E1C">
              <w:t>H.</w:t>
            </w:r>
            <w:r w:rsidRPr="00F05E1C">
              <w:tab/>
              <w:t xml:space="preserve">Adequate discussion of project’s contribution to designated transportation corridor </w:t>
            </w:r>
            <w:r>
              <w:t>improvements</w:t>
            </w:r>
            <w:r w:rsidRPr="00F05E1C">
              <w:t>?</w:t>
            </w:r>
            <w:r>
              <w:t xml:space="preserve"> </w:t>
            </w:r>
            <w:r>
              <w:br/>
              <w:t>(Section H)</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381" name="Picture 68"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780" w:type="dxa"/>
            <w:gridSpan w:val="2"/>
            <w:vMerge w:val="restart"/>
            <w:tcBorders>
              <w:right w:val="nil"/>
            </w:tcBorders>
          </w:tcPr>
          <w:p w:rsidR="00225952" w:rsidRDefault="00225952" w:rsidP="00781B72">
            <w:pPr>
              <w:pStyle w:val="CheckA"/>
              <w:jc w:val="left"/>
            </w:pPr>
            <w:r w:rsidRPr="00F05E1C">
              <w:t>I.</w:t>
            </w:r>
            <w:r w:rsidRPr="00F05E1C">
              <w:tab/>
              <w:t xml:space="preserve">Sufficient discussion of provisions for the movement of people other than the private automobile? </w:t>
            </w:r>
            <w:r>
              <w:t>(Section I)</w:t>
            </w:r>
          </w:p>
        </w:tc>
        <w:tc>
          <w:tcPr>
            <w:tcW w:w="5400" w:type="dxa"/>
            <w:gridSpan w:val="2"/>
            <w:tcBorders>
              <w:left w:val="nil"/>
              <w:right w:val="nil"/>
            </w:tcBorders>
            <w:vAlign w:val="center"/>
          </w:tcPr>
          <w:p w:rsidR="00225952" w:rsidRDefault="00225952" w:rsidP="00AD2D7A">
            <w:pPr>
              <w:pStyle w:val="Check1"/>
              <w:numPr>
                <w:ilvl w:val="0"/>
                <w:numId w:val="37"/>
              </w:numPr>
            </w:pPr>
            <w:r w:rsidRPr="00F05E1C">
              <w:t>Internal design</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382" name="Picture 69"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780" w:type="dxa"/>
            <w:gridSpan w:val="2"/>
            <w:vMerge/>
            <w:tcBorders>
              <w:right w:val="nil"/>
            </w:tcBorders>
          </w:tcPr>
          <w:p w:rsidR="00225952" w:rsidRDefault="00225952" w:rsidP="00781B72">
            <w:pPr>
              <w:pStyle w:val="CheckA"/>
              <w:jc w:val="left"/>
            </w:pPr>
          </w:p>
        </w:tc>
        <w:tc>
          <w:tcPr>
            <w:tcW w:w="5400" w:type="dxa"/>
            <w:gridSpan w:val="2"/>
            <w:tcBorders>
              <w:left w:val="nil"/>
              <w:right w:val="nil"/>
            </w:tcBorders>
            <w:vAlign w:val="center"/>
          </w:tcPr>
          <w:p w:rsidR="00225952" w:rsidRDefault="00225952" w:rsidP="00AD2D7A">
            <w:pPr>
              <w:pStyle w:val="Check1"/>
              <w:numPr>
                <w:ilvl w:val="0"/>
                <w:numId w:val="37"/>
              </w:numPr>
            </w:pPr>
            <w:r w:rsidRPr="00F05E1C">
              <w:t>Site planning</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383" name="Picture 70"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780" w:type="dxa"/>
            <w:gridSpan w:val="2"/>
            <w:vMerge/>
            <w:tcBorders>
              <w:right w:val="nil"/>
            </w:tcBorders>
          </w:tcPr>
          <w:p w:rsidR="00225952" w:rsidRDefault="00225952" w:rsidP="00781B72">
            <w:pPr>
              <w:pStyle w:val="CheckA"/>
              <w:jc w:val="left"/>
            </w:pPr>
          </w:p>
        </w:tc>
        <w:tc>
          <w:tcPr>
            <w:tcW w:w="5400" w:type="dxa"/>
            <w:gridSpan w:val="2"/>
            <w:tcBorders>
              <w:left w:val="nil"/>
              <w:right w:val="nil"/>
            </w:tcBorders>
            <w:vAlign w:val="center"/>
          </w:tcPr>
          <w:p w:rsidR="00225952" w:rsidRDefault="00225952" w:rsidP="00AD2D7A">
            <w:pPr>
              <w:pStyle w:val="Check1"/>
              <w:numPr>
                <w:ilvl w:val="0"/>
                <w:numId w:val="37"/>
              </w:numPr>
            </w:pPr>
            <w:r w:rsidRPr="00F05E1C">
              <w:t>Parking provisions (or limits)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384" name="Picture 71"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780" w:type="dxa"/>
            <w:gridSpan w:val="2"/>
            <w:vMerge/>
            <w:tcBorders>
              <w:right w:val="nil"/>
            </w:tcBorders>
          </w:tcPr>
          <w:p w:rsidR="00225952" w:rsidRDefault="00225952" w:rsidP="00781B72">
            <w:pPr>
              <w:pStyle w:val="CheckA"/>
              <w:jc w:val="left"/>
            </w:pPr>
          </w:p>
        </w:tc>
        <w:tc>
          <w:tcPr>
            <w:tcW w:w="5400" w:type="dxa"/>
            <w:gridSpan w:val="2"/>
            <w:tcBorders>
              <w:left w:val="nil"/>
              <w:right w:val="nil"/>
            </w:tcBorders>
            <w:vAlign w:val="center"/>
          </w:tcPr>
          <w:p w:rsidR="00225952" w:rsidRDefault="00225952" w:rsidP="00AD2D7A">
            <w:pPr>
              <w:pStyle w:val="Check1"/>
              <w:numPr>
                <w:ilvl w:val="0"/>
                <w:numId w:val="37"/>
              </w:numPr>
            </w:pPr>
            <w:r w:rsidRPr="00F05E1C">
              <w:t>Location</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385" name="Picture 7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780" w:type="dxa"/>
            <w:gridSpan w:val="2"/>
            <w:vMerge/>
            <w:tcBorders>
              <w:right w:val="nil"/>
            </w:tcBorders>
          </w:tcPr>
          <w:p w:rsidR="00225952" w:rsidRDefault="00225952" w:rsidP="00781B72">
            <w:pPr>
              <w:pStyle w:val="CheckA"/>
              <w:jc w:val="left"/>
            </w:pPr>
          </w:p>
        </w:tc>
        <w:tc>
          <w:tcPr>
            <w:tcW w:w="5400" w:type="dxa"/>
            <w:gridSpan w:val="2"/>
            <w:tcBorders>
              <w:left w:val="nil"/>
              <w:right w:val="nil"/>
            </w:tcBorders>
            <w:vAlign w:val="center"/>
          </w:tcPr>
          <w:p w:rsidR="00225952" w:rsidRDefault="00225952" w:rsidP="00AD2D7A">
            <w:pPr>
              <w:pStyle w:val="Check1"/>
              <w:numPr>
                <w:ilvl w:val="0"/>
                <w:numId w:val="37"/>
              </w:numPr>
            </w:pPr>
            <w:r w:rsidRPr="00F05E1C">
              <w:t>Other</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386" name="Picture 73"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780" w:type="dxa"/>
            <w:gridSpan w:val="2"/>
            <w:vMerge w:val="restart"/>
            <w:tcBorders>
              <w:right w:val="nil"/>
            </w:tcBorders>
          </w:tcPr>
          <w:p w:rsidR="00225952" w:rsidRDefault="00225952" w:rsidP="00781B72">
            <w:pPr>
              <w:pStyle w:val="CheckA"/>
              <w:jc w:val="left"/>
            </w:pPr>
            <w:r w:rsidRPr="00F05E1C">
              <w:t xml:space="preserve">J.  </w:t>
            </w:r>
            <w:r>
              <w:t xml:space="preserve">  </w:t>
            </w:r>
            <w:r w:rsidRPr="00F05E1C">
              <w:t>Map H, master development plan indicates:</w:t>
            </w:r>
            <w:r>
              <w:br/>
              <w:t>(Section J)</w:t>
            </w:r>
          </w:p>
          <w:p w:rsidR="00225952" w:rsidRDefault="00225952" w:rsidP="00781B72">
            <w:pPr>
              <w:pStyle w:val="CheckA"/>
              <w:jc w:val="left"/>
            </w:pPr>
          </w:p>
        </w:tc>
        <w:tc>
          <w:tcPr>
            <w:tcW w:w="5400" w:type="dxa"/>
            <w:gridSpan w:val="2"/>
            <w:tcBorders>
              <w:left w:val="nil"/>
              <w:right w:val="nil"/>
            </w:tcBorders>
            <w:vAlign w:val="center"/>
          </w:tcPr>
          <w:p w:rsidR="00225952" w:rsidRDefault="00225952" w:rsidP="00AD2D7A">
            <w:pPr>
              <w:pStyle w:val="Check1"/>
              <w:numPr>
                <w:ilvl w:val="0"/>
                <w:numId w:val="38"/>
              </w:numPr>
            </w:pPr>
            <w:r w:rsidRPr="00F05E1C">
              <w:t>Proposed land uses and locations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387" name="Picture 74"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780" w:type="dxa"/>
            <w:gridSpan w:val="2"/>
            <w:vMerge/>
            <w:tcBorders>
              <w:right w:val="nil"/>
            </w:tcBorders>
          </w:tcPr>
          <w:p w:rsidR="00225952" w:rsidRPr="009C28E0" w:rsidRDefault="00225952" w:rsidP="00225952">
            <w:pPr>
              <w:spacing w:after="0"/>
              <w:ind w:left="342" w:hanging="270"/>
              <w:rPr>
                <w:sz w:val="20"/>
              </w:rPr>
            </w:pPr>
          </w:p>
        </w:tc>
        <w:tc>
          <w:tcPr>
            <w:tcW w:w="5400" w:type="dxa"/>
            <w:gridSpan w:val="2"/>
            <w:tcBorders>
              <w:left w:val="nil"/>
              <w:right w:val="nil"/>
            </w:tcBorders>
            <w:vAlign w:val="center"/>
          </w:tcPr>
          <w:p w:rsidR="00225952" w:rsidRDefault="00225952" w:rsidP="00AD2D7A">
            <w:pPr>
              <w:pStyle w:val="Check1"/>
              <w:numPr>
                <w:ilvl w:val="0"/>
                <w:numId w:val="38"/>
              </w:numPr>
            </w:pPr>
            <w:r w:rsidRPr="00F05E1C">
              <w:t>Development phasing</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388" name="Picture 75"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780" w:type="dxa"/>
            <w:gridSpan w:val="2"/>
            <w:vMerge/>
            <w:tcBorders>
              <w:right w:val="nil"/>
            </w:tcBorders>
          </w:tcPr>
          <w:p w:rsidR="00225952" w:rsidRPr="009C28E0" w:rsidRDefault="00225952" w:rsidP="00225952">
            <w:pPr>
              <w:spacing w:after="0"/>
              <w:ind w:left="342" w:hanging="270"/>
              <w:rPr>
                <w:sz w:val="20"/>
              </w:rPr>
            </w:pPr>
          </w:p>
        </w:tc>
        <w:tc>
          <w:tcPr>
            <w:tcW w:w="5400" w:type="dxa"/>
            <w:gridSpan w:val="2"/>
            <w:tcBorders>
              <w:left w:val="nil"/>
              <w:right w:val="nil"/>
            </w:tcBorders>
            <w:vAlign w:val="center"/>
          </w:tcPr>
          <w:p w:rsidR="00225952" w:rsidRDefault="00225952" w:rsidP="00AD2D7A">
            <w:pPr>
              <w:pStyle w:val="Check1"/>
              <w:numPr>
                <w:ilvl w:val="0"/>
                <w:numId w:val="38"/>
              </w:numPr>
            </w:pPr>
            <w:r w:rsidRPr="00F05E1C">
              <w:t>Major public facilities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389" name="Picture 76"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780" w:type="dxa"/>
            <w:gridSpan w:val="2"/>
            <w:vMerge/>
            <w:tcBorders>
              <w:right w:val="nil"/>
            </w:tcBorders>
          </w:tcPr>
          <w:p w:rsidR="00225952" w:rsidRPr="009C28E0" w:rsidRDefault="00225952" w:rsidP="00225952">
            <w:pPr>
              <w:spacing w:after="0"/>
              <w:ind w:left="342" w:hanging="270"/>
              <w:rPr>
                <w:sz w:val="20"/>
              </w:rPr>
            </w:pPr>
          </w:p>
        </w:tc>
        <w:tc>
          <w:tcPr>
            <w:tcW w:w="5400" w:type="dxa"/>
            <w:gridSpan w:val="2"/>
            <w:tcBorders>
              <w:left w:val="nil"/>
              <w:right w:val="nil"/>
            </w:tcBorders>
            <w:vAlign w:val="center"/>
          </w:tcPr>
          <w:p w:rsidR="00225952" w:rsidRDefault="00225952" w:rsidP="00AD2D7A">
            <w:pPr>
              <w:pStyle w:val="Check1"/>
              <w:numPr>
                <w:ilvl w:val="0"/>
                <w:numId w:val="38"/>
              </w:numPr>
            </w:pPr>
            <w:r w:rsidRPr="00F05E1C">
              <w:t>Utilities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390" name="Picture 77"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780" w:type="dxa"/>
            <w:gridSpan w:val="2"/>
            <w:vMerge/>
            <w:tcBorders>
              <w:right w:val="nil"/>
            </w:tcBorders>
          </w:tcPr>
          <w:p w:rsidR="00225952" w:rsidRPr="009C28E0" w:rsidRDefault="00225952" w:rsidP="00225952">
            <w:pPr>
              <w:spacing w:after="0"/>
              <w:ind w:left="342" w:hanging="270"/>
              <w:rPr>
                <w:sz w:val="20"/>
              </w:rPr>
            </w:pPr>
          </w:p>
        </w:tc>
        <w:tc>
          <w:tcPr>
            <w:tcW w:w="5400" w:type="dxa"/>
            <w:gridSpan w:val="2"/>
            <w:tcBorders>
              <w:left w:val="nil"/>
              <w:right w:val="nil"/>
            </w:tcBorders>
            <w:vAlign w:val="center"/>
          </w:tcPr>
          <w:p w:rsidR="00225952" w:rsidRDefault="00225952" w:rsidP="00AD2D7A">
            <w:pPr>
              <w:pStyle w:val="Check1"/>
              <w:numPr>
                <w:ilvl w:val="0"/>
                <w:numId w:val="38"/>
              </w:numPr>
            </w:pPr>
            <w:r w:rsidRPr="00F05E1C">
              <w:t>Preservation areas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391" name="Picture 78"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780" w:type="dxa"/>
            <w:gridSpan w:val="2"/>
            <w:vMerge/>
            <w:tcBorders>
              <w:right w:val="nil"/>
            </w:tcBorders>
          </w:tcPr>
          <w:p w:rsidR="00225952" w:rsidRPr="009C28E0" w:rsidRDefault="00225952" w:rsidP="00225952">
            <w:pPr>
              <w:spacing w:after="0"/>
              <w:ind w:left="342" w:hanging="270"/>
              <w:rPr>
                <w:sz w:val="20"/>
              </w:rPr>
            </w:pPr>
          </w:p>
        </w:tc>
        <w:tc>
          <w:tcPr>
            <w:tcW w:w="5400" w:type="dxa"/>
            <w:gridSpan w:val="2"/>
            <w:tcBorders>
              <w:left w:val="nil"/>
              <w:right w:val="nil"/>
            </w:tcBorders>
            <w:vAlign w:val="center"/>
          </w:tcPr>
          <w:p w:rsidR="00225952" w:rsidRDefault="00225952" w:rsidP="00AD2D7A">
            <w:pPr>
              <w:pStyle w:val="Check1"/>
              <w:numPr>
                <w:ilvl w:val="0"/>
                <w:numId w:val="38"/>
              </w:numPr>
            </w:pPr>
            <w:r w:rsidRPr="00F05E1C">
              <w:t>Easements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392" name="Picture 79"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780" w:type="dxa"/>
            <w:gridSpan w:val="2"/>
            <w:vMerge/>
            <w:tcBorders>
              <w:right w:val="nil"/>
            </w:tcBorders>
          </w:tcPr>
          <w:p w:rsidR="00225952" w:rsidRPr="009C28E0" w:rsidRDefault="00225952" w:rsidP="00225952">
            <w:pPr>
              <w:spacing w:after="0"/>
              <w:ind w:left="342" w:hanging="270"/>
              <w:rPr>
                <w:sz w:val="20"/>
              </w:rPr>
            </w:pPr>
          </w:p>
        </w:tc>
        <w:tc>
          <w:tcPr>
            <w:tcW w:w="5400" w:type="dxa"/>
            <w:gridSpan w:val="2"/>
            <w:tcBorders>
              <w:left w:val="nil"/>
              <w:right w:val="nil"/>
            </w:tcBorders>
            <w:vAlign w:val="center"/>
          </w:tcPr>
          <w:p w:rsidR="00225952" w:rsidRDefault="00225952" w:rsidP="00AD2D7A">
            <w:pPr>
              <w:pStyle w:val="Check1"/>
              <w:numPr>
                <w:ilvl w:val="0"/>
                <w:numId w:val="38"/>
              </w:numPr>
            </w:pPr>
            <w:r w:rsidRPr="00F05E1C">
              <w:t>Right-of-way</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393" name="Picture 80"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780" w:type="dxa"/>
            <w:gridSpan w:val="2"/>
            <w:vMerge/>
            <w:tcBorders>
              <w:right w:val="nil"/>
            </w:tcBorders>
          </w:tcPr>
          <w:p w:rsidR="00225952" w:rsidRPr="009C28E0" w:rsidRDefault="00225952" w:rsidP="00225952">
            <w:pPr>
              <w:spacing w:after="0"/>
              <w:ind w:left="342" w:hanging="270"/>
              <w:rPr>
                <w:sz w:val="20"/>
              </w:rPr>
            </w:pPr>
          </w:p>
        </w:tc>
        <w:tc>
          <w:tcPr>
            <w:tcW w:w="5400" w:type="dxa"/>
            <w:gridSpan w:val="2"/>
            <w:tcBorders>
              <w:left w:val="nil"/>
              <w:right w:val="nil"/>
            </w:tcBorders>
            <w:vAlign w:val="center"/>
          </w:tcPr>
          <w:p w:rsidR="00225952" w:rsidRDefault="00225952" w:rsidP="00AD2D7A">
            <w:pPr>
              <w:pStyle w:val="Check1"/>
              <w:numPr>
                <w:ilvl w:val="0"/>
                <w:numId w:val="38"/>
              </w:numPr>
            </w:pPr>
            <w:r w:rsidRPr="00F05E1C">
              <w:t>Roads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394" name="Picture 81"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780" w:type="dxa"/>
            <w:gridSpan w:val="2"/>
            <w:vMerge/>
            <w:tcBorders>
              <w:right w:val="nil"/>
            </w:tcBorders>
          </w:tcPr>
          <w:p w:rsidR="00225952" w:rsidRPr="009C28E0" w:rsidRDefault="00225952" w:rsidP="00225952">
            <w:pPr>
              <w:spacing w:after="0"/>
              <w:ind w:left="342" w:hanging="270"/>
              <w:rPr>
                <w:sz w:val="20"/>
              </w:rPr>
            </w:pPr>
          </w:p>
        </w:tc>
        <w:tc>
          <w:tcPr>
            <w:tcW w:w="5400" w:type="dxa"/>
            <w:gridSpan w:val="2"/>
            <w:tcBorders>
              <w:left w:val="nil"/>
              <w:right w:val="nil"/>
            </w:tcBorders>
            <w:vAlign w:val="center"/>
          </w:tcPr>
          <w:p w:rsidR="00225952" w:rsidRDefault="00225952" w:rsidP="00AD2D7A">
            <w:pPr>
              <w:pStyle w:val="Check1"/>
              <w:numPr>
                <w:ilvl w:val="0"/>
                <w:numId w:val="38"/>
              </w:numPr>
            </w:pPr>
            <w:r w:rsidRPr="00F05E1C">
              <w:t>Transit stops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395" name="Picture 8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780" w:type="dxa"/>
            <w:gridSpan w:val="2"/>
            <w:vMerge/>
            <w:tcBorders>
              <w:right w:val="nil"/>
            </w:tcBorders>
          </w:tcPr>
          <w:p w:rsidR="00225952" w:rsidRPr="009C28E0" w:rsidRDefault="00225952" w:rsidP="00225952">
            <w:pPr>
              <w:spacing w:after="0"/>
              <w:ind w:left="342" w:hanging="270"/>
              <w:rPr>
                <w:sz w:val="20"/>
              </w:rPr>
            </w:pPr>
          </w:p>
        </w:tc>
        <w:tc>
          <w:tcPr>
            <w:tcW w:w="5400" w:type="dxa"/>
            <w:gridSpan w:val="2"/>
            <w:tcBorders>
              <w:left w:val="nil"/>
              <w:right w:val="nil"/>
            </w:tcBorders>
            <w:vAlign w:val="center"/>
          </w:tcPr>
          <w:p w:rsidR="00225952" w:rsidRDefault="00225952" w:rsidP="00AD2D7A">
            <w:pPr>
              <w:pStyle w:val="Check1"/>
              <w:numPr>
                <w:ilvl w:val="0"/>
                <w:numId w:val="38"/>
              </w:numPr>
            </w:pPr>
            <w:r w:rsidRPr="00F05E1C">
              <w:t>Bicycle/pedestrian ways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00" name="Picture 83"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10350" w:type="dxa"/>
            <w:gridSpan w:val="5"/>
          </w:tcPr>
          <w:p w:rsidR="00225952" w:rsidRPr="00B06BDA" w:rsidRDefault="00225952" w:rsidP="00225952">
            <w:pPr>
              <w:pStyle w:val="ResourceNotTOC"/>
              <w:jc w:val="right"/>
              <w:rPr>
                <w:noProof/>
              </w:rPr>
            </w:pPr>
            <w:r>
              <w:rPr>
                <w:noProof/>
              </w:rPr>
              <w:t>1 of 1</w:t>
            </w:r>
          </w:p>
        </w:tc>
      </w:tr>
    </w:tbl>
    <w:p w:rsidR="00781B72" w:rsidRDefault="00781B72" w:rsidP="00781B72">
      <w:pPr>
        <w:jc w:val="center"/>
        <w:rPr>
          <w:b/>
          <w:color w:val="D9D9D9" w:themeColor="background1" w:themeShade="D9"/>
          <w:sz w:val="96"/>
          <w:szCs w:val="96"/>
        </w:rPr>
      </w:pPr>
    </w:p>
    <w:p w:rsidR="00225952" w:rsidRDefault="00781B72" w:rsidP="00781B72">
      <w:pPr>
        <w:jc w:val="center"/>
      </w:pPr>
      <w:r w:rsidRPr="004B5E07">
        <w:rPr>
          <w:b/>
          <w:color w:val="D9D9D9" w:themeColor="background1" w:themeShade="D9"/>
          <w:sz w:val="96"/>
          <w:szCs w:val="96"/>
        </w:rPr>
        <w:t>Blank Page</w:t>
      </w:r>
    </w:p>
    <w:p w:rsidR="00225952" w:rsidRDefault="00225952" w:rsidP="00225952">
      <w:pPr>
        <w:sectPr w:rsidR="00225952" w:rsidSect="00832911">
          <w:headerReference w:type="default" r:id="rId336"/>
          <w:pgSz w:w="12240" w:h="15840"/>
          <w:pgMar w:top="1440" w:right="720" w:bottom="1440" w:left="1152" w:header="720" w:footer="720" w:gutter="0"/>
          <w:cols w:space="720"/>
          <w:docGrid w:linePitch="360"/>
        </w:sectPr>
      </w:pPr>
      <w:r>
        <w:br w:type="page"/>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150"/>
        <w:gridCol w:w="4680"/>
        <w:gridCol w:w="1350"/>
        <w:gridCol w:w="1170"/>
      </w:tblGrid>
      <w:tr w:rsidR="00225952" w:rsidTr="00EB5829">
        <w:tc>
          <w:tcPr>
            <w:tcW w:w="10350" w:type="dxa"/>
            <w:gridSpan w:val="4"/>
            <w:shd w:val="clear" w:color="auto" w:fill="31849B" w:themeFill="accent5" w:themeFillShade="BF"/>
          </w:tcPr>
          <w:p w:rsidR="00225952" w:rsidRDefault="00225952" w:rsidP="00EB5829">
            <w:pPr>
              <w:pStyle w:val="Heading2"/>
              <w:tabs>
                <w:tab w:val="clear" w:pos="9360"/>
                <w:tab w:val="right" w:pos="9972"/>
              </w:tabs>
              <w:spacing w:before="0" w:after="0"/>
            </w:pPr>
            <w:bookmarkStart w:id="305" w:name="C3"/>
            <w:bookmarkStart w:id="306" w:name="_Toc264274167"/>
            <w:bookmarkEnd w:id="305"/>
            <w:r w:rsidRPr="00EB5829">
              <w:rPr>
                <w:rFonts w:ascii="Trebuchet MS" w:hAnsi="Trebuchet MS"/>
                <w:color w:val="auto"/>
              </w:rPr>
              <w:lastRenderedPageBreak/>
              <w:t>DRI Checklist 3 |</w:t>
            </w:r>
            <w:r w:rsidRPr="00EB5829">
              <w:rPr>
                <w:rFonts w:ascii="Trebuchet MS" w:hAnsi="Trebuchet MS"/>
              </w:rPr>
              <w:t xml:space="preserve"> </w:t>
            </w:r>
            <w:r w:rsidRPr="00EB5829">
              <w:rPr>
                <w:rFonts w:ascii="Trebuchet MS" w:hAnsi="Trebuchet MS"/>
                <w:color w:val="FFFFFF" w:themeColor="background1"/>
              </w:rPr>
              <w:t>ADA Review</w:t>
            </w:r>
            <w:r w:rsidR="004B2DB2">
              <w:tab/>
            </w:r>
            <w:r w:rsidR="004B2DB2" w:rsidRPr="00EB5829">
              <w:rPr>
                <w:color w:val="B6DDE8" w:themeColor="accent5" w:themeTint="66"/>
                <w:sz w:val="18"/>
                <w:szCs w:val="18"/>
              </w:rPr>
              <w:t>1 of 5</w:t>
            </w:r>
            <w:bookmarkEnd w:id="306"/>
            <w:r w:rsidR="004B2DB2" w:rsidRPr="005F4952">
              <w:rPr>
                <w:color w:val="B6DDE8" w:themeColor="accent5" w:themeTint="66"/>
              </w:rPr>
              <w:tab/>
            </w:r>
          </w:p>
        </w:tc>
      </w:tr>
      <w:tr w:rsidR="00225952" w:rsidTr="00225952">
        <w:tc>
          <w:tcPr>
            <w:tcW w:w="3150" w:type="dxa"/>
            <w:tcBorders>
              <w:right w:val="nil"/>
            </w:tcBorders>
          </w:tcPr>
          <w:p w:rsidR="00225952" w:rsidRPr="009C28E0" w:rsidRDefault="00225952" w:rsidP="00225952">
            <w:pPr>
              <w:spacing w:after="0"/>
              <w:rPr>
                <w:i/>
                <w:sz w:val="18"/>
              </w:rPr>
            </w:pPr>
            <w:r w:rsidRPr="009C28E0">
              <w:rPr>
                <w:i/>
                <w:sz w:val="18"/>
              </w:rPr>
              <w:t>Project</w:t>
            </w:r>
          </w:p>
        </w:tc>
        <w:tc>
          <w:tcPr>
            <w:tcW w:w="4680" w:type="dxa"/>
            <w:tcBorders>
              <w:left w:val="nil"/>
              <w:right w:val="nil"/>
            </w:tcBorders>
          </w:tcPr>
          <w:p w:rsidR="00225952" w:rsidRPr="009C28E0" w:rsidRDefault="00225952" w:rsidP="00225952">
            <w:pPr>
              <w:spacing w:after="0"/>
              <w:rPr>
                <w:i/>
                <w:sz w:val="18"/>
              </w:rPr>
            </w:pPr>
            <w:r w:rsidRPr="009C28E0">
              <w:rPr>
                <w:i/>
                <w:sz w:val="18"/>
              </w:rPr>
              <w:t>Reviewer</w:t>
            </w:r>
          </w:p>
        </w:tc>
        <w:tc>
          <w:tcPr>
            <w:tcW w:w="2520" w:type="dxa"/>
            <w:gridSpan w:val="2"/>
            <w:tcBorders>
              <w:left w:val="nil"/>
            </w:tcBorders>
          </w:tcPr>
          <w:p w:rsidR="00225952" w:rsidRPr="009C28E0" w:rsidRDefault="00225952" w:rsidP="00225952">
            <w:pPr>
              <w:spacing w:after="0"/>
              <w:rPr>
                <w:i/>
                <w:sz w:val="18"/>
              </w:rPr>
            </w:pPr>
            <w:r w:rsidRPr="009C28E0">
              <w:rPr>
                <w:i/>
                <w:sz w:val="18"/>
              </w:rPr>
              <w:t>Date of Review:</w:t>
            </w:r>
          </w:p>
          <w:p w:rsidR="00225952" w:rsidRPr="009C28E0" w:rsidRDefault="00225952" w:rsidP="00225952">
            <w:pPr>
              <w:spacing w:after="0"/>
              <w:rPr>
                <w:i/>
                <w:sz w:val="18"/>
              </w:rPr>
            </w:pPr>
            <w:r w:rsidRPr="009C28E0">
              <w:rPr>
                <w:i/>
                <w:sz w:val="18"/>
              </w:rPr>
              <w:t>Comments Due:</w:t>
            </w:r>
          </w:p>
        </w:tc>
      </w:tr>
      <w:tr w:rsidR="00225952" w:rsidTr="00225952">
        <w:trPr>
          <w:trHeight w:val="341"/>
        </w:trPr>
        <w:tc>
          <w:tcPr>
            <w:tcW w:w="9180" w:type="dxa"/>
            <w:gridSpan w:val="3"/>
            <w:tcBorders>
              <w:right w:val="nil"/>
            </w:tcBorders>
            <w:shd w:val="clear" w:color="auto" w:fill="DBE5F1"/>
          </w:tcPr>
          <w:p w:rsidR="00225952" w:rsidRPr="009C28E0" w:rsidRDefault="00225952" w:rsidP="00225952">
            <w:pPr>
              <w:tabs>
                <w:tab w:val="left" w:pos="360"/>
                <w:tab w:val="left" w:pos="720"/>
                <w:tab w:val="left" w:pos="1095"/>
                <w:tab w:val="left" w:pos="1440"/>
              </w:tabs>
              <w:spacing w:after="0" w:line="240" w:lineRule="auto"/>
              <w:rPr>
                <w:b/>
              </w:rPr>
            </w:pPr>
            <w:r w:rsidRPr="009C28E0">
              <w:rPr>
                <w:b/>
              </w:rPr>
              <w:t xml:space="preserve">Section A:  Existing Conditions </w:t>
            </w:r>
          </w:p>
        </w:tc>
        <w:tc>
          <w:tcPr>
            <w:tcW w:w="1170" w:type="dxa"/>
            <w:tcBorders>
              <w:left w:val="nil"/>
            </w:tcBorders>
            <w:vAlign w:val="center"/>
          </w:tcPr>
          <w:p w:rsidR="00225952" w:rsidRPr="002635FD" w:rsidRDefault="00225952" w:rsidP="00225952">
            <w:pPr>
              <w:spacing w:after="0"/>
              <w:jc w:val="center"/>
            </w:pPr>
            <w:r w:rsidRPr="009C28E0">
              <w:rPr>
                <w:noProof/>
                <w:color w:val="4F6228"/>
                <w:sz w:val="18"/>
              </w:rPr>
              <w:t xml:space="preserve">Y  </w:t>
            </w:r>
            <w:r w:rsidRPr="009C28E0">
              <w:rPr>
                <w:noProof/>
                <w:sz w:val="18"/>
              </w:rPr>
              <w:t xml:space="preserve"> </w:t>
            </w:r>
            <w:r w:rsidRPr="009C28E0">
              <w:rPr>
                <w:noProof/>
                <w:color w:val="C00000"/>
                <w:sz w:val="18"/>
              </w:rPr>
              <w:t>N</w:t>
            </w:r>
            <w:r w:rsidRPr="009C28E0">
              <w:rPr>
                <w:noProof/>
                <w:sz w:val="18"/>
              </w:rPr>
              <w:t xml:space="preserve">  </w:t>
            </w:r>
            <w:r w:rsidRPr="009C28E0">
              <w:rPr>
                <w:noProof/>
                <w:color w:val="7F7F7F"/>
                <w:sz w:val="18"/>
              </w:rPr>
              <w:t>N/A</w:t>
            </w:r>
          </w:p>
        </w:tc>
      </w:tr>
      <w:tr w:rsidR="00225952" w:rsidTr="00225952">
        <w:tc>
          <w:tcPr>
            <w:tcW w:w="9180" w:type="dxa"/>
            <w:gridSpan w:val="3"/>
            <w:tcBorders>
              <w:right w:val="nil"/>
            </w:tcBorders>
          </w:tcPr>
          <w:p w:rsidR="00225952" w:rsidRDefault="00225952" w:rsidP="00781B72">
            <w:pPr>
              <w:pStyle w:val="CheckA"/>
              <w:spacing w:line="240" w:lineRule="auto"/>
              <w:ind w:left="259" w:hanging="259"/>
              <w:jc w:val="left"/>
            </w:pPr>
            <w:r w:rsidRPr="00F05E1C">
              <w:t>A.</w:t>
            </w:r>
            <w:r w:rsidRPr="00F05E1C">
              <w:tab/>
              <w:t>(Reference Section E response)</w:t>
            </w:r>
          </w:p>
          <w:p w:rsidR="00225952" w:rsidRPr="009C28E0" w:rsidRDefault="00225952" w:rsidP="00781B72">
            <w:pPr>
              <w:pStyle w:val="CheckA"/>
              <w:spacing w:line="240" w:lineRule="auto"/>
              <w:ind w:left="259" w:hanging="259"/>
              <w:jc w:val="left"/>
              <w:rPr>
                <w:sz w:val="18"/>
              </w:rPr>
            </w:pPr>
            <w:r w:rsidRPr="00F05E1C">
              <w:tab/>
              <w:t>Study area boundaries adjusted, if necessary, to include all SIS/FIHS/SHS</w:t>
            </w:r>
            <w:r>
              <w:t xml:space="preserve"> </w:t>
            </w:r>
            <w:r w:rsidRPr="00F05E1C">
              <w:t xml:space="preserve">segments and intersections </w:t>
            </w:r>
            <w:r>
              <w:t xml:space="preserve">  </w:t>
            </w:r>
            <w:r w:rsidRPr="00F05E1C">
              <w:t>where project traffic is five percent or more of adopted minimum LOS volumes?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01" name="Picture 84"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val="restart"/>
            <w:tcBorders>
              <w:right w:val="nil"/>
            </w:tcBorders>
          </w:tcPr>
          <w:p w:rsidR="00225952" w:rsidRDefault="00225952" w:rsidP="00781B72">
            <w:pPr>
              <w:pStyle w:val="CheckA"/>
              <w:jc w:val="left"/>
            </w:pPr>
            <w:r w:rsidRPr="00F05E1C">
              <w:t>B.</w:t>
            </w:r>
            <w:r w:rsidRPr="00F05E1C">
              <w:tab/>
              <w:t>Existing conditions adequately shown using Map J or in a table?</w:t>
            </w:r>
          </w:p>
        </w:tc>
        <w:tc>
          <w:tcPr>
            <w:tcW w:w="6030" w:type="dxa"/>
            <w:gridSpan w:val="2"/>
            <w:tcBorders>
              <w:left w:val="nil"/>
              <w:right w:val="nil"/>
            </w:tcBorders>
            <w:vAlign w:val="center"/>
          </w:tcPr>
          <w:p w:rsidR="00225952" w:rsidRDefault="00225952" w:rsidP="00781B72">
            <w:pPr>
              <w:pStyle w:val="Check1"/>
              <w:jc w:val="left"/>
            </w:pPr>
            <w:r w:rsidRPr="00406B77">
              <w:t>1.</w:t>
            </w:r>
            <w:r w:rsidRPr="00406B77">
              <w:tab/>
              <w:t>AADT shown?</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02" name="Picture 85"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Default="00225952" w:rsidP="00781B72">
            <w:pPr>
              <w:pStyle w:val="CheckA"/>
              <w:jc w:val="left"/>
            </w:pPr>
          </w:p>
        </w:tc>
        <w:tc>
          <w:tcPr>
            <w:tcW w:w="6030" w:type="dxa"/>
            <w:gridSpan w:val="2"/>
            <w:tcBorders>
              <w:left w:val="nil"/>
              <w:right w:val="nil"/>
            </w:tcBorders>
            <w:vAlign w:val="center"/>
          </w:tcPr>
          <w:p w:rsidR="00225952" w:rsidRDefault="00225952" w:rsidP="00781B72">
            <w:pPr>
              <w:pStyle w:val="Check1"/>
              <w:jc w:val="left"/>
            </w:pPr>
            <w:r w:rsidRPr="00406B77">
              <w:t>2.</w:t>
            </w:r>
            <w:r w:rsidRPr="00406B77">
              <w:tab/>
              <w:t>Peak-hour directional trips shown?</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03" name="Picture 86"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Default="00225952" w:rsidP="00781B72">
            <w:pPr>
              <w:pStyle w:val="CheckA"/>
              <w:jc w:val="left"/>
            </w:pPr>
          </w:p>
        </w:tc>
        <w:tc>
          <w:tcPr>
            <w:tcW w:w="6030" w:type="dxa"/>
            <w:gridSpan w:val="2"/>
            <w:tcBorders>
              <w:left w:val="nil"/>
              <w:right w:val="nil"/>
            </w:tcBorders>
            <w:vAlign w:val="center"/>
          </w:tcPr>
          <w:p w:rsidR="00225952" w:rsidRDefault="00225952" w:rsidP="00781B72">
            <w:pPr>
              <w:pStyle w:val="Check1"/>
              <w:jc w:val="left"/>
            </w:pPr>
            <w:r>
              <w:t xml:space="preserve">3. </w:t>
            </w:r>
            <w:r>
              <w:tab/>
            </w:r>
            <w:r w:rsidRPr="00406B77">
              <w:t>Existing segment and intersection volumes and LOS and maximum LOS Volumes shown?</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04" name="Picture 87"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Default="00225952" w:rsidP="00781B72">
            <w:pPr>
              <w:pStyle w:val="CheckA"/>
              <w:jc w:val="left"/>
            </w:pPr>
          </w:p>
        </w:tc>
        <w:tc>
          <w:tcPr>
            <w:tcW w:w="6030" w:type="dxa"/>
            <w:gridSpan w:val="2"/>
            <w:tcBorders>
              <w:left w:val="nil"/>
              <w:right w:val="nil"/>
            </w:tcBorders>
            <w:vAlign w:val="center"/>
          </w:tcPr>
          <w:p w:rsidR="00225952" w:rsidRDefault="00225952" w:rsidP="00781B72">
            <w:pPr>
              <w:pStyle w:val="Check1"/>
              <w:jc w:val="left"/>
            </w:pPr>
            <w:r>
              <w:tab/>
            </w:r>
            <w:r w:rsidRPr="00406B77">
              <w:t>a.</w:t>
            </w:r>
            <w:r w:rsidRPr="00406B77">
              <w:tab/>
              <w:t>LOS standards exceeded?</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05" name="Picture 88"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val="restart"/>
            <w:tcBorders>
              <w:right w:val="nil"/>
            </w:tcBorders>
          </w:tcPr>
          <w:p w:rsidR="00225952" w:rsidRDefault="00225952" w:rsidP="00781B72">
            <w:pPr>
              <w:pStyle w:val="CheckA"/>
              <w:jc w:val="left"/>
            </w:pPr>
            <w:r w:rsidRPr="00F05E1C">
              <w:t>C.</w:t>
            </w:r>
            <w:r w:rsidRPr="00F05E1C">
              <w:tab/>
              <w:t xml:space="preserve">Traffic </w:t>
            </w:r>
            <w:r>
              <w:t xml:space="preserve">characteristic </w:t>
            </w:r>
            <w:r w:rsidRPr="00F05E1C">
              <w:t>assumptions stated?</w:t>
            </w:r>
          </w:p>
        </w:tc>
        <w:tc>
          <w:tcPr>
            <w:tcW w:w="6030" w:type="dxa"/>
            <w:gridSpan w:val="2"/>
            <w:tcBorders>
              <w:left w:val="nil"/>
              <w:right w:val="nil"/>
            </w:tcBorders>
            <w:vAlign w:val="center"/>
          </w:tcPr>
          <w:p w:rsidR="00225952" w:rsidRDefault="00225952" w:rsidP="00781B72">
            <w:pPr>
              <w:pStyle w:val="Check1"/>
              <w:numPr>
                <w:ilvl w:val="0"/>
                <w:numId w:val="39"/>
              </w:numPr>
              <w:ind w:left="252" w:hanging="270"/>
              <w:jc w:val="left"/>
            </w:pPr>
            <w:r w:rsidRPr="00406B77">
              <w:t>K, D</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06" name="Picture 89"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9C28E0" w:rsidRDefault="00225952" w:rsidP="00781B72">
            <w:pPr>
              <w:spacing w:after="0"/>
              <w:ind w:left="342" w:hanging="270"/>
              <w:jc w:val="left"/>
              <w:rPr>
                <w:sz w:val="20"/>
              </w:rPr>
            </w:pPr>
          </w:p>
        </w:tc>
        <w:tc>
          <w:tcPr>
            <w:tcW w:w="6030" w:type="dxa"/>
            <w:gridSpan w:val="2"/>
            <w:tcBorders>
              <w:left w:val="nil"/>
              <w:right w:val="nil"/>
            </w:tcBorders>
            <w:vAlign w:val="center"/>
          </w:tcPr>
          <w:p w:rsidR="00225952" w:rsidRDefault="00225952" w:rsidP="00781B72">
            <w:pPr>
              <w:pStyle w:val="Check1"/>
              <w:numPr>
                <w:ilvl w:val="0"/>
                <w:numId w:val="39"/>
              </w:numPr>
              <w:ind w:left="252" w:hanging="270"/>
              <w:jc w:val="left"/>
            </w:pPr>
            <w:r w:rsidRPr="00406B77">
              <w:t>Facility type</w:t>
            </w:r>
            <w:r>
              <w:t xml:space="preserve"> necessary for analysis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07" name="Picture 90"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9C28E0" w:rsidRDefault="00225952" w:rsidP="00781B72">
            <w:pPr>
              <w:spacing w:after="0"/>
              <w:ind w:left="342" w:hanging="270"/>
              <w:jc w:val="left"/>
              <w:rPr>
                <w:sz w:val="20"/>
              </w:rPr>
            </w:pPr>
          </w:p>
        </w:tc>
        <w:tc>
          <w:tcPr>
            <w:tcW w:w="6030" w:type="dxa"/>
            <w:gridSpan w:val="2"/>
            <w:tcBorders>
              <w:left w:val="nil"/>
              <w:right w:val="nil"/>
            </w:tcBorders>
            <w:vAlign w:val="center"/>
          </w:tcPr>
          <w:p w:rsidR="00225952" w:rsidRDefault="00225952" w:rsidP="00781B72">
            <w:pPr>
              <w:pStyle w:val="Check1"/>
              <w:numPr>
                <w:ilvl w:val="0"/>
                <w:numId w:val="39"/>
              </w:numPr>
              <w:ind w:left="252" w:hanging="270"/>
              <w:jc w:val="left"/>
            </w:pPr>
            <w:r w:rsidRPr="00406B77">
              <w:t>Lane</w:t>
            </w:r>
            <w:r>
              <w:t>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08" name="Picture 91"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9C28E0" w:rsidRDefault="00225952" w:rsidP="00781B72">
            <w:pPr>
              <w:spacing w:after="0"/>
              <w:ind w:left="342" w:hanging="270"/>
              <w:jc w:val="left"/>
              <w:rPr>
                <w:sz w:val="20"/>
              </w:rPr>
            </w:pPr>
          </w:p>
        </w:tc>
        <w:tc>
          <w:tcPr>
            <w:tcW w:w="6030" w:type="dxa"/>
            <w:gridSpan w:val="2"/>
            <w:tcBorders>
              <w:left w:val="nil"/>
              <w:right w:val="nil"/>
            </w:tcBorders>
            <w:vAlign w:val="center"/>
          </w:tcPr>
          <w:p w:rsidR="00225952" w:rsidRDefault="00225952" w:rsidP="00781B72">
            <w:pPr>
              <w:pStyle w:val="Check1"/>
              <w:numPr>
                <w:ilvl w:val="0"/>
                <w:numId w:val="39"/>
              </w:numPr>
              <w:ind w:left="252" w:hanging="270"/>
              <w:jc w:val="left"/>
            </w:pPr>
            <w:r w:rsidRPr="00406B77">
              <w:t>Traffic composition</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09" name="Picture 9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9C28E0" w:rsidRDefault="00225952" w:rsidP="00781B72">
            <w:pPr>
              <w:spacing w:after="0"/>
              <w:ind w:left="342" w:hanging="270"/>
              <w:jc w:val="left"/>
              <w:rPr>
                <w:sz w:val="20"/>
              </w:rPr>
            </w:pPr>
          </w:p>
        </w:tc>
        <w:tc>
          <w:tcPr>
            <w:tcW w:w="6030" w:type="dxa"/>
            <w:gridSpan w:val="2"/>
            <w:tcBorders>
              <w:left w:val="nil"/>
              <w:right w:val="nil"/>
            </w:tcBorders>
            <w:vAlign w:val="center"/>
          </w:tcPr>
          <w:p w:rsidR="00225952" w:rsidRDefault="00225952" w:rsidP="00781B72">
            <w:pPr>
              <w:pStyle w:val="Check1"/>
              <w:numPr>
                <w:ilvl w:val="0"/>
                <w:numId w:val="39"/>
              </w:numPr>
              <w:ind w:left="252" w:hanging="270"/>
              <w:jc w:val="left"/>
            </w:pPr>
            <w:r w:rsidRPr="00406B77">
              <w:t>Within accepted ranges per MLOU?</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10" name="Picture 93"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tcBorders>
              <w:right w:val="nil"/>
            </w:tcBorders>
          </w:tcPr>
          <w:p w:rsidR="00225952" w:rsidRDefault="00225952" w:rsidP="00781B72">
            <w:pPr>
              <w:pStyle w:val="CheckA"/>
              <w:jc w:val="left"/>
            </w:pPr>
            <w:r w:rsidRPr="00F05E1C">
              <w:t>D.</w:t>
            </w:r>
            <w:r w:rsidRPr="00F05E1C">
              <w:tab/>
              <w:t>Planned and programmed transportation network improvements identified?</w:t>
            </w:r>
          </w:p>
        </w:tc>
        <w:tc>
          <w:tcPr>
            <w:tcW w:w="6030" w:type="dxa"/>
            <w:gridSpan w:val="2"/>
            <w:tcBorders>
              <w:left w:val="nil"/>
              <w:right w:val="nil"/>
            </w:tcBorders>
            <w:vAlign w:val="center"/>
          </w:tcPr>
          <w:p w:rsidR="00225952" w:rsidRDefault="00225952" w:rsidP="00781B72">
            <w:pPr>
              <w:pStyle w:val="Check1"/>
              <w:jc w:val="left"/>
            </w:pPr>
            <w:r w:rsidRPr="00406B77">
              <w:t>1.</w:t>
            </w:r>
            <w:r w:rsidRPr="00406B77">
              <w:tab/>
              <w:t>Agency documentation provided which substantiates project(s)’ status?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11" name="Picture 94"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3"/>
            <w:tcBorders>
              <w:right w:val="nil"/>
            </w:tcBorders>
          </w:tcPr>
          <w:p w:rsidR="00225952" w:rsidRDefault="00225952" w:rsidP="001B457B">
            <w:pPr>
              <w:pStyle w:val="CheckA"/>
              <w:jc w:val="left"/>
            </w:pPr>
            <w:r w:rsidRPr="00F05E1C">
              <w:t>E.</w:t>
            </w:r>
            <w:r w:rsidRPr="00F05E1C">
              <w:tab/>
              <w:t>Data collection and analysis performed per MLOU</w:t>
            </w:r>
            <w:r w:rsidR="001B457B">
              <w:t>?</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12" name="Picture 95"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3"/>
            <w:tcBorders>
              <w:right w:val="nil"/>
            </w:tcBorders>
          </w:tcPr>
          <w:p w:rsidR="00225952" w:rsidRDefault="00225952" w:rsidP="00781B72">
            <w:pPr>
              <w:pStyle w:val="CheckA"/>
              <w:jc w:val="left"/>
            </w:pPr>
            <w:r w:rsidRPr="00F05E1C">
              <w:t>F.</w:t>
            </w:r>
            <w:r w:rsidRPr="00F05E1C">
              <w:tab/>
              <w:t xml:space="preserve">Reviewer performed spot verification of roadway and intersection volumes </w:t>
            </w:r>
            <w:r w:rsidRPr="00F05E1C">
              <w:tab/>
              <w:t>and LOS analysis assumptions to confirm findings?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13" name="Picture 96"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3"/>
            <w:tcBorders>
              <w:right w:val="nil"/>
            </w:tcBorders>
            <w:shd w:val="clear" w:color="auto" w:fill="DBE5F1"/>
          </w:tcPr>
          <w:p w:rsidR="00225952" w:rsidRPr="009C28E0" w:rsidRDefault="00225952" w:rsidP="00225952">
            <w:pPr>
              <w:tabs>
                <w:tab w:val="left" w:pos="360"/>
                <w:tab w:val="left" w:pos="720"/>
                <w:tab w:val="left" w:pos="1095"/>
                <w:tab w:val="left" w:pos="1440"/>
              </w:tabs>
              <w:spacing w:after="0" w:line="240" w:lineRule="auto"/>
              <w:rPr>
                <w:sz w:val="20"/>
              </w:rPr>
            </w:pPr>
            <w:r w:rsidRPr="009C28E0">
              <w:rPr>
                <w:b/>
              </w:rPr>
              <w:t>Multimodal Supplement</w:t>
            </w:r>
          </w:p>
        </w:tc>
        <w:tc>
          <w:tcPr>
            <w:tcW w:w="1170" w:type="dxa"/>
            <w:tcBorders>
              <w:left w:val="nil"/>
            </w:tcBorders>
            <w:vAlign w:val="center"/>
          </w:tcPr>
          <w:p w:rsidR="00225952" w:rsidRPr="002635FD" w:rsidRDefault="00225952" w:rsidP="00225952">
            <w:pPr>
              <w:spacing w:after="0"/>
              <w:jc w:val="center"/>
            </w:pPr>
          </w:p>
        </w:tc>
      </w:tr>
      <w:tr w:rsidR="00225952" w:rsidTr="00225952">
        <w:tc>
          <w:tcPr>
            <w:tcW w:w="9180" w:type="dxa"/>
            <w:gridSpan w:val="3"/>
            <w:tcBorders>
              <w:right w:val="nil"/>
            </w:tcBorders>
          </w:tcPr>
          <w:p w:rsidR="00225952" w:rsidRDefault="00225952" w:rsidP="001B457B">
            <w:pPr>
              <w:pStyle w:val="CheckA"/>
              <w:numPr>
                <w:ilvl w:val="0"/>
                <w:numId w:val="43"/>
              </w:numPr>
              <w:spacing w:after="60" w:line="240" w:lineRule="auto"/>
              <w:jc w:val="left"/>
            </w:pPr>
            <w:r w:rsidRPr="001454F8">
              <w:t>Within an existing transportation concurrency exception area (TCEA), transportation concurrency management area (TCMA), or multimodal transportation district (MMTD) and complies with local government requirements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14" name="Picture 97"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1B457B">
        <w:tc>
          <w:tcPr>
            <w:tcW w:w="3150" w:type="dxa"/>
            <w:tcBorders>
              <w:right w:val="nil"/>
            </w:tcBorders>
            <w:vAlign w:val="center"/>
          </w:tcPr>
          <w:p w:rsidR="00225952" w:rsidRDefault="00225952" w:rsidP="001B457B">
            <w:pPr>
              <w:pStyle w:val="CheckA"/>
              <w:numPr>
                <w:ilvl w:val="0"/>
                <w:numId w:val="43"/>
              </w:numPr>
              <w:jc w:val="left"/>
            </w:pPr>
            <w:r w:rsidRPr="001454F8">
              <w:t>High-occupancy vehicle lanes</w:t>
            </w:r>
          </w:p>
        </w:tc>
        <w:tc>
          <w:tcPr>
            <w:tcW w:w="6030" w:type="dxa"/>
            <w:gridSpan w:val="2"/>
            <w:tcBorders>
              <w:left w:val="nil"/>
              <w:right w:val="nil"/>
            </w:tcBorders>
            <w:vAlign w:val="center"/>
          </w:tcPr>
          <w:p w:rsidR="00225952" w:rsidRDefault="00225952" w:rsidP="00781B72">
            <w:pPr>
              <w:pStyle w:val="Check1"/>
              <w:ind w:left="0" w:firstLine="0"/>
              <w:jc w:val="left"/>
            </w:pPr>
            <w:r w:rsidRPr="004B2972">
              <w:t>1.</w:t>
            </w:r>
            <w:r>
              <w:t xml:space="preserve">  </w:t>
            </w:r>
            <w:r w:rsidRPr="001454F8">
              <w:t>Availability, location, and usage</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15" name="Picture 98"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1B457B">
        <w:tc>
          <w:tcPr>
            <w:tcW w:w="3150" w:type="dxa"/>
            <w:tcBorders>
              <w:right w:val="nil"/>
            </w:tcBorders>
            <w:vAlign w:val="center"/>
          </w:tcPr>
          <w:p w:rsidR="00225952" w:rsidRDefault="00225952" w:rsidP="001B457B">
            <w:pPr>
              <w:pStyle w:val="CheckA"/>
              <w:numPr>
                <w:ilvl w:val="0"/>
                <w:numId w:val="43"/>
              </w:numPr>
              <w:jc w:val="left"/>
            </w:pPr>
            <w:r w:rsidRPr="001454F8">
              <w:t>Pricing strategies</w:t>
            </w:r>
          </w:p>
        </w:tc>
        <w:tc>
          <w:tcPr>
            <w:tcW w:w="6030" w:type="dxa"/>
            <w:gridSpan w:val="2"/>
            <w:tcBorders>
              <w:left w:val="nil"/>
              <w:right w:val="nil"/>
            </w:tcBorders>
            <w:vAlign w:val="center"/>
          </w:tcPr>
          <w:p w:rsidR="00225952" w:rsidRDefault="00225952" w:rsidP="00781B72">
            <w:pPr>
              <w:pStyle w:val="Check1"/>
              <w:jc w:val="left"/>
            </w:pPr>
            <w:r>
              <w:t xml:space="preserve">1.  </w:t>
            </w:r>
            <w:r w:rsidRPr="001454F8">
              <w:t>Transit subsidies, parking fees, parking discounts for ride sharers, parking cash out, travel allowances, tax benefits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92" name="Picture 99"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1B457B">
        <w:tc>
          <w:tcPr>
            <w:tcW w:w="3150" w:type="dxa"/>
            <w:tcBorders>
              <w:right w:val="nil"/>
            </w:tcBorders>
            <w:vAlign w:val="center"/>
          </w:tcPr>
          <w:p w:rsidR="00225952" w:rsidRDefault="00225952" w:rsidP="001B457B">
            <w:pPr>
              <w:pStyle w:val="CheckA"/>
              <w:numPr>
                <w:ilvl w:val="0"/>
                <w:numId w:val="43"/>
              </w:numPr>
              <w:jc w:val="left"/>
            </w:pPr>
            <w:r w:rsidRPr="001454F8">
              <w:t>Transit service</w:t>
            </w:r>
          </w:p>
        </w:tc>
        <w:tc>
          <w:tcPr>
            <w:tcW w:w="6030" w:type="dxa"/>
            <w:gridSpan w:val="2"/>
            <w:tcBorders>
              <w:left w:val="nil"/>
              <w:right w:val="nil"/>
            </w:tcBorders>
            <w:vAlign w:val="center"/>
          </w:tcPr>
          <w:p w:rsidR="00225952" w:rsidRDefault="00225952" w:rsidP="00781B72">
            <w:pPr>
              <w:pStyle w:val="Check1"/>
              <w:jc w:val="left"/>
            </w:pPr>
            <w:r>
              <w:t xml:space="preserve">1.  </w:t>
            </w:r>
            <w:r w:rsidRPr="001454F8">
              <w:t>Location, level of service, span of service, frequency, coverage, connectivity, loading reliability, ridership, and transit auto travel time ratio</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93" name="Picture 100"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1B457B">
        <w:tc>
          <w:tcPr>
            <w:tcW w:w="3150" w:type="dxa"/>
            <w:tcBorders>
              <w:right w:val="nil"/>
            </w:tcBorders>
            <w:vAlign w:val="center"/>
          </w:tcPr>
          <w:p w:rsidR="00225952" w:rsidRDefault="00225952" w:rsidP="001B457B">
            <w:pPr>
              <w:pStyle w:val="CheckA"/>
              <w:numPr>
                <w:ilvl w:val="0"/>
                <w:numId w:val="43"/>
              </w:numPr>
              <w:jc w:val="left"/>
            </w:pPr>
            <w:r w:rsidRPr="001454F8">
              <w:t>Bus rapid transit</w:t>
            </w:r>
          </w:p>
        </w:tc>
        <w:tc>
          <w:tcPr>
            <w:tcW w:w="6030" w:type="dxa"/>
            <w:gridSpan w:val="2"/>
            <w:tcBorders>
              <w:left w:val="nil"/>
              <w:right w:val="nil"/>
            </w:tcBorders>
            <w:vAlign w:val="center"/>
          </w:tcPr>
          <w:p w:rsidR="00225952" w:rsidRDefault="00225952" w:rsidP="00781B72">
            <w:pPr>
              <w:pStyle w:val="Check1"/>
              <w:jc w:val="left"/>
            </w:pPr>
            <w:r>
              <w:t xml:space="preserve">1.  </w:t>
            </w:r>
            <w:r w:rsidRPr="001454F8">
              <w:t>Location, level of service, span of service, frequency, coverage, connectivity, loading, reliability, ridership, and transit/auto travel time ratio</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94" name="Picture 101"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1B457B">
        <w:tc>
          <w:tcPr>
            <w:tcW w:w="3150" w:type="dxa"/>
            <w:tcBorders>
              <w:right w:val="nil"/>
            </w:tcBorders>
            <w:vAlign w:val="center"/>
          </w:tcPr>
          <w:p w:rsidR="00225952" w:rsidRDefault="00225952" w:rsidP="001B457B">
            <w:pPr>
              <w:pStyle w:val="CheckA"/>
              <w:numPr>
                <w:ilvl w:val="0"/>
                <w:numId w:val="43"/>
              </w:numPr>
              <w:jc w:val="left"/>
            </w:pPr>
            <w:r w:rsidRPr="001454F8">
              <w:t>Multi-use trails</w:t>
            </w:r>
          </w:p>
        </w:tc>
        <w:tc>
          <w:tcPr>
            <w:tcW w:w="6030" w:type="dxa"/>
            <w:gridSpan w:val="2"/>
            <w:tcBorders>
              <w:left w:val="nil"/>
              <w:right w:val="nil"/>
            </w:tcBorders>
            <w:vAlign w:val="center"/>
          </w:tcPr>
          <w:p w:rsidR="00225952" w:rsidRDefault="00225952" w:rsidP="00781B72">
            <w:pPr>
              <w:pStyle w:val="Check1"/>
              <w:jc w:val="left"/>
            </w:pPr>
            <w:r>
              <w:t xml:space="preserve">1.  </w:t>
            </w:r>
            <w:r w:rsidRPr="001454F8">
              <w:t>Local and regional (off-road) – availability, location, standard of facility design, LOS, connectivity, parking, and usage</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95" name="Picture 10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1B457B">
        <w:tc>
          <w:tcPr>
            <w:tcW w:w="3150" w:type="dxa"/>
            <w:tcBorders>
              <w:right w:val="nil"/>
            </w:tcBorders>
            <w:vAlign w:val="center"/>
          </w:tcPr>
          <w:p w:rsidR="00225952" w:rsidRDefault="00225952" w:rsidP="001B457B">
            <w:pPr>
              <w:pStyle w:val="CheckA"/>
              <w:numPr>
                <w:ilvl w:val="0"/>
                <w:numId w:val="43"/>
              </w:numPr>
              <w:jc w:val="left"/>
            </w:pPr>
            <w:r w:rsidRPr="001454F8">
              <w:t xml:space="preserve">Bicycle lanes </w:t>
            </w:r>
          </w:p>
        </w:tc>
        <w:tc>
          <w:tcPr>
            <w:tcW w:w="6030" w:type="dxa"/>
            <w:gridSpan w:val="2"/>
            <w:tcBorders>
              <w:left w:val="nil"/>
              <w:right w:val="nil"/>
            </w:tcBorders>
            <w:vAlign w:val="center"/>
          </w:tcPr>
          <w:p w:rsidR="00225952" w:rsidRDefault="00225952" w:rsidP="00781B72">
            <w:pPr>
              <w:pStyle w:val="Check1"/>
              <w:jc w:val="left"/>
            </w:pPr>
            <w:r>
              <w:t xml:space="preserve">1.  </w:t>
            </w:r>
            <w:r w:rsidRPr="001454F8">
              <w:t>Availability, location, standard of facility design, LOS, connectivity, usage, and connectivity to transit</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96" name="Picture 103"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1B457B">
        <w:tc>
          <w:tcPr>
            <w:tcW w:w="3150" w:type="dxa"/>
            <w:tcBorders>
              <w:right w:val="nil"/>
            </w:tcBorders>
            <w:vAlign w:val="center"/>
          </w:tcPr>
          <w:p w:rsidR="00225952" w:rsidRDefault="00225952" w:rsidP="001B457B">
            <w:pPr>
              <w:pStyle w:val="CheckA"/>
              <w:numPr>
                <w:ilvl w:val="0"/>
                <w:numId w:val="43"/>
              </w:numPr>
              <w:jc w:val="left"/>
            </w:pPr>
            <w:r w:rsidRPr="001454F8">
              <w:t>Sidewalks/pedestrian facilities</w:t>
            </w:r>
          </w:p>
        </w:tc>
        <w:tc>
          <w:tcPr>
            <w:tcW w:w="6030" w:type="dxa"/>
            <w:gridSpan w:val="2"/>
            <w:tcBorders>
              <w:left w:val="nil"/>
              <w:right w:val="nil"/>
            </w:tcBorders>
            <w:vAlign w:val="center"/>
          </w:tcPr>
          <w:p w:rsidR="00225952" w:rsidRDefault="00225952" w:rsidP="00781B72">
            <w:pPr>
              <w:pStyle w:val="Check1"/>
              <w:jc w:val="left"/>
            </w:pPr>
            <w:r>
              <w:t xml:space="preserve">1.  </w:t>
            </w:r>
            <w:r w:rsidRPr="001454F8">
              <w:t>Availability, location, standard of facility design, LOS, connectivity,  usage, and connectivity to transit</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97" name="Picture 104"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1B457B">
        <w:tc>
          <w:tcPr>
            <w:tcW w:w="3150" w:type="dxa"/>
            <w:tcBorders>
              <w:right w:val="nil"/>
            </w:tcBorders>
            <w:vAlign w:val="center"/>
          </w:tcPr>
          <w:p w:rsidR="00225952" w:rsidRDefault="00225952" w:rsidP="001B457B">
            <w:pPr>
              <w:pStyle w:val="CheckA"/>
              <w:numPr>
                <w:ilvl w:val="0"/>
                <w:numId w:val="43"/>
              </w:numPr>
              <w:jc w:val="left"/>
            </w:pPr>
            <w:r w:rsidRPr="004B2972">
              <w:t>Parking management</w:t>
            </w:r>
          </w:p>
        </w:tc>
        <w:tc>
          <w:tcPr>
            <w:tcW w:w="6030" w:type="dxa"/>
            <w:gridSpan w:val="2"/>
            <w:tcBorders>
              <w:left w:val="nil"/>
              <w:right w:val="nil"/>
            </w:tcBorders>
            <w:vAlign w:val="center"/>
          </w:tcPr>
          <w:p w:rsidR="00225952" w:rsidRPr="009C28E0" w:rsidRDefault="00225952" w:rsidP="00781B72">
            <w:pPr>
              <w:spacing w:after="0"/>
              <w:ind w:left="252" w:hanging="252"/>
              <w:jc w:val="left"/>
              <w:rPr>
                <w:sz w:val="18"/>
              </w:rPr>
            </w:pP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98" name="Picture 105"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1B457B">
        <w:tc>
          <w:tcPr>
            <w:tcW w:w="9180" w:type="dxa"/>
            <w:gridSpan w:val="3"/>
            <w:tcBorders>
              <w:right w:val="nil"/>
            </w:tcBorders>
            <w:vAlign w:val="center"/>
          </w:tcPr>
          <w:p w:rsidR="00225952" w:rsidRPr="009C28E0" w:rsidRDefault="00225952" w:rsidP="001B457B">
            <w:pPr>
              <w:pStyle w:val="CheckA"/>
              <w:numPr>
                <w:ilvl w:val="0"/>
                <w:numId w:val="43"/>
              </w:numPr>
              <w:jc w:val="left"/>
              <w:rPr>
                <w:sz w:val="18"/>
              </w:rPr>
            </w:pPr>
            <w:r w:rsidRPr="004B2972">
              <w:t>Transportation Demand Management</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99" name="Picture 106"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bl>
    <w:p w:rsidR="001B457B" w:rsidRDefault="001B457B">
      <w:r>
        <w:rPr>
          <w:b/>
        </w:rPr>
        <w:br w:type="page"/>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150"/>
        <w:gridCol w:w="6030"/>
        <w:gridCol w:w="1170"/>
      </w:tblGrid>
      <w:tr w:rsidR="00225952" w:rsidTr="00225952">
        <w:trPr>
          <w:trHeight w:val="95"/>
        </w:trPr>
        <w:tc>
          <w:tcPr>
            <w:tcW w:w="9180" w:type="dxa"/>
            <w:gridSpan w:val="2"/>
            <w:tcBorders>
              <w:right w:val="nil"/>
            </w:tcBorders>
          </w:tcPr>
          <w:p w:rsidR="00225952" w:rsidRPr="001454F8" w:rsidRDefault="00225952" w:rsidP="00225952">
            <w:pPr>
              <w:pStyle w:val="ResourceNotTOC"/>
            </w:pPr>
            <w:r w:rsidRPr="009C28E0">
              <w:rPr>
                <w:color w:val="auto"/>
              </w:rPr>
              <w:lastRenderedPageBreak/>
              <w:t>DRI Checklist 3 |</w:t>
            </w:r>
            <w:r>
              <w:t xml:space="preserve"> ADA Review</w:t>
            </w:r>
          </w:p>
        </w:tc>
        <w:tc>
          <w:tcPr>
            <w:tcW w:w="1170" w:type="dxa"/>
            <w:tcBorders>
              <w:left w:val="nil"/>
            </w:tcBorders>
            <w:vAlign w:val="center"/>
          </w:tcPr>
          <w:p w:rsidR="00225952" w:rsidRPr="002635FD" w:rsidRDefault="00225952" w:rsidP="00225952">
            <w:pPr>
              <w:pStyle w:val="CheckA"/>
              <w:jc w:val="center"/>
            </w:pPr>
            <w:r>
              <w:t>2 of 5</w:t>
            </w:r>
          </w:p>
        </w:tc>
      </w:tr>
      <w:tr w:rsidR="00225952" w:rsidTr="00225952">
        <w:tc>
          <w:tcPr>
            <w:tcW w:w="9180" w:type="dxa"/>
            <w:gridSpan w:val="2"/>
            <w:tcBorders>
              <w:right w:val="nil"/>
            </w:tcBorders>
          </w:tcPr>
          <w:p w:rsidR="00225952" w:rsidRPr="00BC5378" w:rsidRDefault="00225952" w:rsidP="00225952">
            <w:pPr>
              <w:pStyle w:val="Check1"/>
              <w:rPr>
                <w:color w:val="000000" w:themeColor="text1"/>
              </w:rPr>
            </w:pPr>
            <w:r w:rsidRPr="00BC5378">
              <w:rPr>
                <w:b/>
                <w:color w:val="000000" w:themeColor="text1"/>
                <w:sz w:val="20"/>
              </w:rPr>
              <w:t xml:space="preserve">Multimodal Supplement </w:t>
            </w:r>
            <w:r w:rsidRPr="00BC5378">
              <w:rPr>
                <w:b/>
                <w:i/>
                <w:color w:val="000000" w:themeColor="text1"/>
                <w:sz w:val="20"/>
              </w:rPr>
              <w:t>continued</w:t>
            </w:r>
          </w:p>
        </w:tc>
        <w:tc>
          <w:tcPr>
            <w:tcW w:w="1170" w:type="dxa"/>
            <w:tcBorders>
              <w:left w:val="nil"/>
            </w:tcBorders>
            <w:vAlign w:val="center"/>
          </w:tcPr>
          <w:p w:rsidR="00225952" w:rsidRPr="002635FD" w:rsidRDefault="00225952" w:rsidP="00225952">
            <w:pPr>
              <w:spacing w:after="0"/>
              <w:jc w:val="center"/>
            </w:pPr>
            <w:r w:rsidRPr="009C28E0">
              <w:rPr>
                <w:noProof/>
                <w:color w:val="4F6228"/>
                <w:sz w:val="18"/>
              </w:rPr>
              <w:t xml:space="preserve">Y  </w:t>
            </w:r>
            <w:r w:rsidRPr="009C28E0">
              <w:rPr>
                <w:noProof/>
                <w:sz w:val="18"/>
              </w:rPr>
              <w:t xml:space="preserve"> </w:t>
            </w:r>
            <w:r w:rsidRPr="009C28E0">
              <w:rPr>
                <w:noProof/>
                <w:color w:val="C00000"/>
                <w:sz w:val="18"/>
              </w:rPr>
              <w:t>N</w:t>
            </w:r>
            <w:r w:rsidRPr="009C28E0">
              <w:rPr>
                <w:noProof/>
                <w:sz w:val="18"/>
              </w:rPr>
              <w:t xml:space="preserve">  </w:t>
            </w:r>
            <w:r w:rsidRPr="009C28E0">
              <w:rPr>
                <w:noProof/>
                <w:color w:val="7F7F7F"/>
                <w:sz w:val="18"/>
              </w:rPr>
              <w:t>N/A</w:t>
            </w:r>
          </w:p>
        </w:tc>
      </w:tr>
      <w:tr w:rsidR="00225952" w:rsidTr="00225952">
        <w:tc>
          <w:tcPr>
            <w:tcW w:w="3150" w:type="dxa"/>
            <w:tcBorders>
              <w:right w:val="nil"/>
            </w:tcBorders>
          </w:tcPr>
          <w:p w:rsidR="00225952" w:rsidRPr="001B457B" w:rsidRDefault="00225952" w:rsidP="00AD2D7A">
            <w:pPr>
              <w:pStyle w:val="ListParagraph"/>
              <w:numPr>
                <w:ilvl w:val="0"/>
                <w:numId w:val="43"/>
              </w:numPr>
              <w:spacing w:after="0"/>
              <w:rPr>
                <w:sz w:val="20"/>
                <w:szCs w:val="20"/>
              </w:rPr>
            </w:pPr>
            <w:r w:rsidRPr="001B457B">
              <w:rPr>
                <w:sz w:val="20"/>
                <w:szCs w:val="20"/>
              </w:rPr>
              <w:t>Broadband internet access</w:t>
            </w:r>
          </w:p>
        </w:tc>
        <w:tc>
          <w:tcPr>
            <w:tcW w:w="6030" w:type="dxa"/>
            <w:tcBorders>
              <w:left w:val="nil"/>
              <w:right w:val="nil"/>
            </w:tcBorders>
            <w:vAlign w:val="center"/>
          </w:tcPr>
          <w:p w:rsidR="00225952" w:rsidRDefault="00225952">
            <w:pPr>
              <w:pStyle w:val="Check1"/>
            </w:pPr>
            <w:r>
              <w:t xml:space="preserve">1.  </w:t>
            </w:r>
            <w:r w:rsidRPr="001454F8">
              <w:t>Availability</w:t>
            </w:r>
            <w:r>
              <w:t xml:space="preserve"> of broadband internet access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200" name="Picture 107"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2"/>
            <w:tcBorders>
              <w:right w:val="nil"/>
            </w:tcBorders>
          </w:tcPr>
          <w:p w:rsidR="00225952" w:rsidRPr="001B457B" w:rsidRDefault="00225952" w:rsidP="00AD2D7A">
            <w:pPr>
              <w:pStyle w:val="ListParagraph"/>
              <w:numPr>
                <w:ilvl w:val="0"/>
                <w:numId w:val="43"/>
              </w:numPr>
              <w:spacing w:after="0"/>
              <w:rPr>
                <w:sz w:val="20"/>
                <w:szCs w:val="20"/>
              </w:rPr>
            </w:pPr>
            <w:r w:rsidRPr="001B457B">
              <w:rPr>
                <w:sz w:val="20"/>
                <w:szCs w:val="20"/>
              </w:rPr>
              <w:t>Baseline modal split of alternative modes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201" name="Picture 108"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tcBorders>
              <w:right w:val="nil"/>
            </w:tcBorders>
          </w:tcPr>
          <w:p w:rsidR="00225952" w:rsidRPr="001B457B" w:rsidRDefault="00225952" w:rsidP="00AD2D7A">
            <w:pPr>
              <w:pStyle w:val="ListParagraph"/>
              <w:numPr>
                <w:ilvl w:val="0"/>
                <w:numId w:val="43"/>
              </w:numPr>
              <w:spacing w:after="0"/>
              <w:rPr>
                <w:sz w:val="20"/>
                <w:szCs w:val="20"/>
              </w:rPr>
            </w:pPr>
            <w:r w:rsidRPr="001B457B">
              <w:rPr>
                <w:sz w:val="20"/>
                <w:szCs w:val="20"/>
              </w:rPr>
              <w:t>Multimodal Improvements</w:t>
            </w:r>
          </w:p>
        </w:tc>
        <w:tc>
          <w:tcPr>
            <w:tcW w:w="6030" w:type="dxa"/>
            <w:tcBorders>
              <w:left w:val="nil"/>
              <w:right w:val="nil"/>
            </w:tcBorders>
            <w:vAlign w:val="center"/>
          </w:tcPr>
          <w:p w:rsidR="00225952" w:rsidRDefault="001B457B">
            <w:pPr>
              <w:pStyle w:val="Check1"/>
            </w:pPr>
            <w:r>
              <w:t xml:space="preserve">1. </w:t>
            </w:r>
            <w:r w:rsidR="00225952" w:rsidRPr="001454F8">
              <w:t>Planned, programmed or committed improvements to existing or new multimodal facilities including documentation of designated corridor space for transit or multimodal options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202" name="Picture 109"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tcBorders>
              <w:right w:val="nil"/>
            </w:tcBorders>
          </w:tcPr>
          <w:p w:rsidR="00225952" w:rsidRPr="001B457B" w:rsidRDefault="00225952" w:rsidP="00AD2D7A">
            <w:pPr>
              <w:pStyle w:val="ListParagraph"/>
              <w:numPr>
                <w:ilvl w:val="0"/>
                <w:numId w:val="43"/>
              </w:numPr>
              <w:spacing w:after="0"/>
              <w:rPr>
                <w:sz w:val="20"/>
                <w:szCs w:val="20"/>
              </w:rPr>
            </w:pPr>
            <w:r w:rsidRPr="001B457B">
              <w:rPr>
                <w:sz w:val="20"/>
                <w:szCs w:val="20"/>
              </w:rPr>
              <w:t>Existing Transit LOS</w:t>
            </w:r>
          </w:p>
        </w:tc>
        <w:tc>
          <w:tcPr>
            <w:tcW w:w="6030" w:type="dxa"/>
            <w:tcBorders>
              <w:left w:val="nil"/>
              <w:right w:val="nil"/>
            </w:tcBorders>
            <w:vAlign w:val="center"/>
          </w:tcPr>
          <w:p w:rsidR="00225952" w:rsidRDefault="001B457B">
            <w:pPr>
              <w:pStyle w:val="Check1"/>
            </w:pPr>
            <w:r>
              <w:t xml:space="preserve">1. </w:t>
            </w:r>
            <w:r w:rsidR="00225952" w:rsidRPr="001454F8">
              <w:t>Existing level of service for transit or multimodal alternatives, if the local government or transit agency has adopted such LOS standards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203" name="Picture 110"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val="restart"/>
            <w:tcBorders>
              <w:right w:val="nil"/>
            </w:tcBorders>
          </w:tcPr>
          <w:p w:rsidR="00225952" w:rsidRPr="001B457B" w:rsidRDefault="00225952" w:rsidP="00AD2D7A">
            <w:pPr>
              <w:pStyle w:val="Check1"/>
              <w:numPr>
                <w:ilvl w:val="0"/>
                <w:numId w:val="43"/>
              </w:numPr>
              <w:rPr>
                <w:sz w:val="20"/>
                <w:szCs w:val="20"/>
              </w:rPr>
            </w:pPr>
            <w:r w:rsidRPr="001B457B">
              <w:rPr>
                <w:sz w:val="20"/>
                <w:szCs w:val="20"/>
              </w:rPr>
              <w:t>Land Use</w:t>
            </w:r>
          </w:p>
        </w:tc>
        <w:tc>
          <w:tcPr>
            <w:tcW w:w="6030" w:type="dxa"/>
            <w:tcBorders>
              <w:left w:val="nil"/>
              <w:right w:val="nil"/>
            </w:tcBorders>
            <w:vAlign w:val="center"/>
          </w:tcPr>
          <w:p w:rsidR="00225952" w:rsidRDefault="001B457B">
            <w:pPr>
              <w:pStyle w:val="Check1"/>
            </w:pPr>
            <w:r>
              <w:t xml:space="preserve">1. </w:t>
            </w:r>
            <w:r>
              <w:tab/>
            </w:r>
            <w:r w:rsidR="00225952" w:rsidRPr="001454F8">
              <w:t>Land use mix, including both employment and residential, within the context of the DRI and the surrounding community</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204" name="Picture 111"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1B457B" w:rsidRDefault="00225952" w:rsidP="00225952">
            <w:pPr>
              <w:pStyle w:val="Check1"/>
              <w:rPr>
                <w:sz w:val="20"/>
                <w:szCs w:val="20"/>
              </w:rPr>
            </w:pPr>
          </w:p>
        </w:tc>
        <w:tc>
          <w:tcPr>
            <w:tcW w:w="6030" w:type="dxa"/>
            <w:tcBorders>
              <w:left w:val="nil"/>
              <w:right w:val="nil"/>
            </w:tcBorders>
            <w:vAlign w:val="center"/>
          </w:tcPr>
          <w:p w:rsidR="00225952" w:rsidRDefault="00225952">
            <w:pPr>
              <w:pStyle w:val="Check1"/>
            </w:pPr>
            <w:r>
              <w:t xml:space="preserve">2.  </w:t>
            </w:r>
            <w:r w:rsidRPr="001454F8">
              <w:t>Land uses within the DRI that promote pedestrian, bicycle, and transit use</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205" name="Picture 11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val="restart"/>
            <w:tcBorders>
              <w:right w:val="nil"/>
            </w:tcBorders>
          </w:tcPr>
          <w:p w:rsidR="00225952" w:rsidRPr="001B457B" w:rsidRDefault="00225952" w:rsidP="00225952">
            <w:pPr>
              <w:pStyle w:val="Check1"/>
              <w:ind w:left="342" w:hanging="342"/>
              <w:rPr>
                <w:sz w:val="20"/>
                <w:szCs w:val="20"/>
              </w:rPr>
            </w:pPr>
            <w:r w:rsidRPr="001B457B">
              <w:rPr>
                <w:sz w:val="20"/>
                <w:szCs w:val="20"/>
              </w:rPr>
              <w:t xml:space="preserve">P.  </w:t>
            </w:r>
            <w:r w:rsidRPr="001B457B">
              <w:rPr>
                <w:sz w:val="20"/>
                <w:szCs w:val="20"/>
              </w:rPr>
              <w:tab/>
              <w:t>Sufficient Density/Intensity</w:t>
            </w:r>
          </w:p>
        </w:tc>
        <w:tc>
          <w:tcPr>
            <w:tcW w:w="6030" w:type="dxa"/>
            <w:tcBorders>
              <w:left w:val="nil"/>
              <w:right w:val="nil"/>
            </w:tcBorders>
            <w:vAlign w:val="center"/>
          </w:tcPr>
          <w:p w:rsidR="00225952" w:rsidRDefault="00225952">
            <w:pPr>
              <w:pStyle w:val="Check1"/>
            </w:pPr>
            <w:r>
              <w:t xml:space="preserve">1.  </w:t>
            </w:r>
            <w:r w:rsidRPr="001454F8">
              <w:t>Sufficient densities to support transit ridership</w:t>
            </w:r>
            <w:r>
              <w:t>*</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206" name="Picture 113"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1B457B" w:rsidRDefault="00225952" w:rsidP="00225952">
            <w:pPr>
              <w:pStyle w:val="Check1"/>
              <w:rPr>
                <w:sz w:val="20"/>
                <w:szCs w:val="20"/>
              </w:rPr>
            </w:pPr>
          </w:p>
        </w:tc>
        <w:tc>
          <w:tcPr>
            <w:tcW w:w="6030" w:type="dxa"/>
            <w:tcBorders>
              <w:left w:val="nil"/>
              <w:right w:val="nil"/>
            </w:tcBorders>
            <w:vAlign w:val="center"/>
          </w:tcPr>
          <w:p w:rsidR="00225952" w:rsidRDefault="00225952">
            <w:pPr>
              <w:pStyle w:val="Check1"/>
            </w:pPr>
            <w:r>
              <w:t xml:space="preserve">2.  </w:t>
            </w:r>
            <w:r w:rsidRPr="001454F8">
              <w:t>Sufficient intensity along major transit corridors</w:t>
            </w:r>
            <w:r>
              <w:t>*</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207" name="Picture 114"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1B457B" w:rsidRDefault="00225952" w:rsidP="00225952">
            <w:pPr>
              <w:pStyle w:val="Check1"/>
              <w:rPr>
                <w:sz w:val="20"/>
                <w:szCs w:val="20"/>
              </w:rPr>
            </w:pPr>
          </w:p>
        </w:tc>
        <w:tc>
          <w:tcPr>
            <w:tcW w:w="6030" w:type="dxa"/>
            <w:tcBorders>
              <w:left w:val="nil"/>
              <w:right w:val="nil"/>
            </w:tcBorders>
            <w:vAlign w:val="center"/>
          </w:tcPr>
          <w:p w:rsidR="00225952" w:rsidRDefault="00225952">
            <w:pPr>
              <w:pStyle w:val="Check1"/>
            </w:pPr>
            <w:r>
              <w:t xml:space="preserve">3.  </w:t>
            </w:r>
            <w:r w:rsidRPr="001454F8">
              <w:t>Sufficient intensities in and around core areas</w:t>
            </w:r>
            <w:r>
              <w:t>*</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208" name="Picture 115"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val="restart"/>
            <w:tcBorders>
              <w:right w:val="nil"/>
            </w:tcBorders>
          </w:tcPr>
          <w:p w:rsidR="00225952" w:rsidRPr="001B457B" w:rsidRDefault="00225952" w:rsidP="00AD2D7A">
            <w:pPr>
              <w:pStyle w:val="Check1"/>
              <w:numPr>
                <w:ilvl w:val="0"/>
                <w:numId w:val="45"/>
              </w:numPr>
              <w:rPr>
                <w:sz w:val="20"/>
                <w:szCs w:val="20"/>
              </w:rPr>
            </w:pPr>
            <w:r w:rsidRPr="001B457B">
              <w:rPr>
                <w:sz w:val="20"/>
                <w:szCs w:val="20"/>
              </w:rPr>
              <w:t>Connectivity</w:t>
            </w:r>
          </w:p>
        </w:tc>
        <w:tc>
          <w:tcPr>
            <w:tcW w:w="6030" w:type="dxa"/>
            <w:tcBorders>
              <w:left w:val="nil"/>
              <w:right w:val="nil"/>
            </w:tcBorders>
            <w:vAlign w:val="center"/>
          </w:tcPr>
          <w:p w:rsidR="00225952" w:rsidRDefault="00225952">
            <w:pPr>
              <w:pStyle w:val="Check1"/>
            </w:pPr>
            <w:r>
              <w:t xml:space="preserve">1.  </w:t>
            </w:r>
            <w:r w:rsidRPr="001454F8">
              <w:t>Connectivity to adjacent properties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209" name="Picture 116"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1B457B" w:rsidRDefault="00225952" w:rsidP="00225952">
            <w:pPr>
              <w:spacing w:after="0"/>
              <w:ind w:left="342" w:hanging="270"/>
              <w:rPr>
                <w:sz w:val="20"/>
                <w:szCs w:val="20"/>
              </w:rPr>
            </w:pPr>
          </w:p>
        </w:tc>
        <w:tc>
          <w:tcPr>
            <w:tcW w:w="6030" w:type="dxa"/>
            <w:tcBorders>
              <w:left w:val="nil"/>
              <w:right w:val="nil"/>
            </w:tcBorders>
            <w:vAlign w:val="center"/>
          </w:tcPr>
          <w:p w:rsidR="00225952" w:rsidRDefault="00225952">
            <w:pPr>
              <w:pStyle w:val="Check1"/>
            </w:pPr>
            <w:r>
              <w:t xml:space="preserve">2.  </w:t>
            </w:r>
            <w:r w:rsidRPr="001454F8">
              <w:t>Connectivity to transit</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210" name="Picture 117"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1B457B" w:rsidRDefault="00225952" w:rsidP="00225952">
            <w:pPr>
              <w:spacing w:after="0"/>
              <w:ind w:left="342" w:hanging="270"/>
              <w:rPr>
                <w:sz w:val="20"/>
                <w:szCs w:val="20"/>
              </w:rPr>
            </w:pPr>
          </w:p>
        </w:tc>
        <w:tc>
          <w:tcPr>
            <w:tcW w:w="6030" w:type="dxa"/>
            <w:tcBorders>
              <w:left w:val="nil"/>
              <w:right w:val="nil"/>
            </w:tcBorders>
            <w:vAlign w:val="center"/>
          </w:tcPr>
          <w:p w:rsidR="00225952" w:rsidRDefault="00225952">
            <w:pPr>
              <w:pStyle w:val="Check1"/>
            </w:pPr>
            <w:r>
              <w:t xml:space="preserve">3.  </w:t>
            </w:r>
            <w:r w:rsidRPr="001454F8">
              <w:t>Appropriate numbers of connections within the street network</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211" name="Picture 118"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1B457B" w:rsidRDefault="00225952" w:rsidP="00225952">
            <w:pPr>
              <w:spacing w:after="0"/>
              <w:ind w:left="342" w:hanging="270"/>
              <w:rPr>
                <w:sz w:val="20"/>
                <w:szCs w:val="20"/>
              </w:rPr>
            </w:pPr>
          </w:p>
        </w:tc>
        <w:tc>
          <w:tcPr>
            <w:tcW w:w="6030" w:type="dxa"/>
            <w:tcBorders>
              <w:left w:val="nil"/>
              <w:right w:val="nil"/>
            </w:tcBorders>
            <w:vAlign w:val="center"/>
          </w:tcPr>
          <w:p w:rsidR="00225952" w:rsidRDefault="00225952">
            <w:pPr>
              <w:pStyle w:val="Check1"/>
            </w:pPr>
            <w:r>
              <w:t xml:space="preserve">4.  </w:t>
            </w:r>
            <w:r w:rsidRPr="001454F8">
              <w:t>Shorter block lengths to support pedestrian environment.</w:t>
            </w:r>
            <w:r>
              <w:t>*</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212" name="Picture 119"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val="restart"/>
            <w:tcBorders>
              <w:right w:val="nil"/>
            </w:tcBorders>
          </w:tcPr>
          <w:p w:rsidR="00225952" w:rsidRPr="001B457B" w:rsidRDefault="00225952" w:rsidP="00AD2D7A">
            <w:pPr>
              <w:pStyle w:val="ListParagraph"/>
              <w:numPr>
                <w:ilvl w:val="0"/>
                <w:numId w:val="45"/>
              </w:numPr>
              <w:spacing w:after="0"/>
              <w:rPr>
                <w:sz w:val="20"/>
                <w:szCs w:val="20"/>
              </w:rPr>
            </w:pPr>
            <w:r w:rsidRPr="001B457B">
              <w:rPr>
                <w:sz w:val="20"/>
                <w:szCs w:val="20"/>
              </w:rPr>
              <w:t>Data</w:t>
            </w:r>
          </w:p>
        </w:tc>
        <w:tc>
          <w:tcPr>
            <w:tcW w:w="6030" w:type="dxa"/>
            <w:tcBorders>
              <w:left w:val="nil"/>
              <w:right w:val="nil"/>
            </w:tcBorders>
            <w:vAlign w:val="center"/>
          </w:tcPr>
          <w:p w:rsidR="00225952" w:rsidRDefault="00225952">
            <w:pPr>
              <w:pStyle w:val="Check1"/>
            </w:pPr>
            <w:r>
              <w:t xml:space="preserve">1.  </w:t>
            </w:r>
            <w:r w:rsidRPr="001454F8">
              <w:t>Assessment of the reliability of selected trip generation rates to predict the number of trips from the new development</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219" name="Picture 120"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9C28E0" w:rsidRDefault="00225952" w:rsidP="00225952">
            <w:pPr>
              <w:spacing w:after="0"/>
              <w:ind w:left="342" w:hanging="270"/>
              <w:rPr>
                <w:sz w:val="20"/>
              </w:rPr>
            </w:pPr>
          </w:p>
        </w:tc>
        <w:tc>
          <w:tcPr>
            <w:tcW w:w="6030" w:type="dxa"/>
            <w:tcBorders>
              <w:left w:val="nil"/>
              <w:right w:val="nil"/>
            </w:tcBorders>
            <w:vAlign w:val="center"/>
          </w:tcPr>
          <w:p w:rsidR="00225952" w:rsidRDefault="00225952">
            <w:pPr>
              <w:pStyle w:val="Check1"/>
            </w:pPr>
            <w:r>
              <w:t xml:space="preserve">2.  </w:t>
            </w:r>
            <w:r w:rsidRPr="001454F8">
              <w:t>Identification of alternative sources of data, if applicable</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48" name="Picture 121"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2"/>
            <w:tcBorders>
              <w:right w:val="nil"/>
            </w:tcBorders>
            <w:shd w:val="clear" w:color="auto" w:fill="DBE5F1"/>
          </w:tcPr>
          <w:p w:rsidR="00225952" w:rsidRPr="009C28E0" w:rsidRDefault="00225952" w:rsidP="00225952">
            <w:pPr>
              <w:spacing w:after="0"/>
              <w:ind w:left="252" w:hanging="252"/>
              <w:rPr>
                <w:sz w:val="18"/>
              </w:rPr>
            </w:pPr>
            <w:r w:rsidRPr="009C28E0">
              <w:rPr>
                <w:b/>
              </w:rPr>
              <w:t>Section B:  Trip Generation</w:t>
            </w:r>
          </w:p>
        </w:tc>
        <w:tc>
          <w:tcPr>
            <w:tcW w:w="1170" w:type="dxa"/>
            <w:tcBorders>
              <w:left w:val="nil"/>
            </w:tcBorders>
            <w:vAlign w:val="center"/>
          </w:tcPr>
          <w:p w:rsidR="00225952" w:rsidRPr="002635FD" w:rsidRDefault="00225952" w:rsidP="00225952">
            <w:pPr>
              <w:spacing w:after="0"/>
              <w:jc w:val="center"/>
            </w:pPr>
          </w:p>
        </w:tc>
      </w:tr>
      <w:tr w:rsidR="00225952" w:rsidTr="00225952">
        <w:tc>
          <w:tcPr>
            <w:tcW w:w="9180" w:type="dxa"/>
            <w:gridSpan w:val="2"/>
            <w:tcBorders>
              <w:right w:val="nil"/>
            </w:tcBorders>
          </w:tcPr>
          <w:p w:rsidR="00225952" w:rsidRPr="009C28E0" w:rsidRDefault="00225952" w:rsidP="00225952">
            <w:pPr>
              <w:pStyle w:val="CheckA"/>
              <w:rPr>
                <w:sz w:val="18"/>
              </w:rPr>
            </w:pPr>
            <w:r>
              <w:t>A</w:t>
            </w:r>
            <w:r w:rsidRPr="00F05E1C">
              <w:t>.</w:t>
            </w:r>
            <w:r w:rsidRPr="00F05E1C">
              <w:tab/>
              <w:t>Trip generation projections by land use and phase provided?</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49" name="Picture 12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2"/>
            <w:tcBorders>
              <w:right w:val="nil"/>
            </w:tcBorders>
          </w:tcPr>
          <w:p w:rsidR="00225952" w:rsidRPr="009C28E0" w:rsidRDefault="00225952" w:rsidP="00225952">
            <w:pPr>
              <w:pStyle w:val="CheckA"/>
              <w:rPr>
                <w:sz w:val="18"/>
              </w:rPr>
            </w:pPr>
            <w:r>
              <w:t>B</w:t>
            </w:r>
            <w:r w:rsidRPr="00F05E1C">
              <w:t>.</w:t>
            </w:r>
            <w:r w:rsidRPr="00F05E1C">
              <w:tab/>
              <w:t>Trip generation calculations performed per MLOU?</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50" name="Picture 123"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2"/>
            <w:tcBorders>
              <w:right w:val="nil"/>
            </w:tcBorders>
          </w:tcPr>
          <w:p w:rsidR="00225952" w:rsidRPr="009C28E0" w:rsidRDefault="00225952" w:rsidP="001B457B">
            <w:pPr>
              <w:pStyle w:val="CheckA"/>
              <w:jc w:val="left"/>
              <w:rPr>
                <w:sz w:val="18"/>
              </w:rPr>
            </w:pPr>
            <w:r>
              <w:t>C</w:t>
            </w:r>
            <w:r w:rsidRPr="00F05E1C">
              <w:t>.</w:t>
            </w:r>
            <w:r w:rsidRPr="00F05E1C">
              <w:tab/>
              <w:t>Reviewer performed spot verification of trip gen</w:t>
            </w:r>
            <w:r>
              <w:t xml:space="preserve">eration rates, by land use, to </w:t>
            </w:r>
            <w:r w:rsidRPr="00F05E1C">
              <w:t>confirm phase and project totals?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51" name="Picture 124"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2"/>
            <w:tcBorders>
              <w:right w:val="nil"/>
            </w:tcBorders>
            <w:shd w:val="clear" w:color="auto" w:fill="DBE5F1"/>
          </w:tcPr>
          <w:p w:rsidR="00225952" w:rsidRPr="009C28E0" w:rsidRDefault="00225952" w:rsidP="00225952">
            <w:pPr>
              <w:spacing w:after="0"/>
              <w:ind w:left="252" w:hanging="252"/>
              <w:rPr>
                <w:sz w:val="18"/>
              </w:rPr>
            </w:pPr>
            <w:r w:rsidRPr="009C28E0">
              <w:rPr>
                <w:b/>
              </w:rPr>
              <w:t>Section C:  Internal/External Split by Phase</w:t>
            </w:r>
          </w:p>
        </w:tc>
        <w:tc>
          <w:tcPr>
            <w:tcW w:w="1170" w:type="dxa"/>
            <w:tcBorders>
              <w:left w:val="nil"/>
            </w:tcBorders>
            <w:vAlign w:val="center"/>
          </w:tcPr>
          <w:p w:rsidR="00225952" w:rsidRPr="002635FD" w:rsidRDefault="00225952" w:rsidP="00225952">
            <w:pPr>
              <w:spacing w:after="0"/>
              <w:jc w:val="center"/>
            </w:pPr>
          </w:p>
        </w:tc>
      </w:tr>
      <w:tr w:rsidR="00225952" w:rsidTr="00225952">
        <w:tc>
          <w:tcPr>
            <w:tcW w:w="3150" w:type="dxa"/>
            <w:tcBorders>
              <w:right w:val="nil"/>
            </w:tcBorders>
          </w:tcPr>
          <w:p w:rsidR="00225952" w:rsidRPr="00F05E1C" w:rsidRDefault="00225952" w:rsidP="001B457B">
            <w:pPr>
              <w:pStyle w:val="CheckA"/>
              <w:jc w:val="left"/>
            </w:pPr>
            <w:r w:rsidRPr="00F05E1C">
              <w:t>A.</w:t>
            </w:r>
            <w:r w:rsidRPr="00F05E1C">
              <w:tab/>
              <w:t xml:space="preserve">Internal/external project trips </w:t>
            </w:r>
            <w:r w:rsidRPr="002509ED">
              <w:t>calculated using internal capture and</w:t>
            </w:r>
            <w:r>
              <w:t xml:space="preserve"> pass-by </w:t>
            </w:r>
            <w:r w:rsidRPr="00F05E1C">
              <w:t>characteristics per MLOU?</w:t>
            </w:r>
          </w:p>
        </w:tc>
        <w:tc>
          <w:tcPr>
            <w:tcW w:w="6030" w:type="dxa"/>
            <w:tcBorders>
              <w:left w:val="nil"/>
              <w:right w:val="nil"/>
            </w:tcBorders>
            <w:vAlign w:val="center"/>
          </w:tcPr>
          <w:p w:rsidR="00225952" w:rsidRPr="001454F8" w:rsidRDefault="00225952" w:rsidP="00225952">
            <w:pPr>
              <w:pStyle w:val="Check1"/>
            </w:pPr>
            <w:r w:rsidRPr="00F05E1C">
              <w:t>1.</w:t>
            </w:r>
            <w:r w:rsidRPr="00F05E1C">
              <w:tab/>
              <w:t>Master Plan map depicting internal ci</w:t>
            </w:r>
            <w:r>
              <w:t xml:space="preserve">rculation to support internal </w:t>
            </w:r>
            <w:r w:rsidRPr="00F05E1C">
              <w:t>capture shown?</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52" name="Picture 125"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2"/>
            <w:tcBorders>
              <w:right w:val="nil"/>
            </w:tcBorders>
          </w:tcPr>
          <w:p w:rsidR="00225952" w:rsidRPr="009C28E0" w:rsidRDefault="00225952" w:rsidP="001B457B">
            <w:pPr>
              <w:pStyle w:val="CheckA"/>
              <w:jc w:val="left"/>
              <w:rPr>
                <w:sz w:val="18"/>
              </w:rPr>
            </w:pPr>
            <w:r w:rsidRPr="00F05E1C">
              <w:t>B.</w:t>
            </w:r>
            <w:r w:rsidRPr="00F05E1C">
              <w:tab/>
              <w:t>Reviewer performed spot checks of project</w:t>
            </w:r>
            <w:r>
              <w:t xml:space="preserve">-based external trips applying </w:t>
            </w:r>
            <w:r w:rsidRPr="00F05E1C">
              <w:t xml:space="preserve">approved and documented internal capture and pass-by trip rates to project </w:t>
            </w:r>
            <w:r w:rsidRPr="00F05E1C">
              <w:tab/>
              <w:t>trips shown in Section B?</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53" name="Picture 126"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2"/>
            <w:tcBorders>
              <w:right w:val="nil"/>
            </w:tcBorders>
          </w:tcPr>
          <w:p w:rsidR="00225952" w:rsidRDefault="00225952" w:rsidP="00225952">
            <w:pPr>
              <w:pStyle w:val="CheckA"/>
              <w:jc w:val="right"/>
            </w:pPr>
            <w:r w:rsidRPr="006C35C1">
              <w:rPr>
                <w:sz w:val="18"/>
              </w:rPr>
              <w:t>* Criteria are found in applicable local or regional plans and regulatory mechanisms</w:t>
            </w:r>
          </w:p>
        </w:tc>
        <w:tc>
          <w:tcPr>
            <w:tcW w:w="1170" w:type="dxa"/>
            <w:tcBorders>
              <w:left w:val="nil"/>
            </w:tcBorders>
            <w:vAlign w:val="center"/>
          </w:tcPr>
          <w:p w:rsidR="00225952" w:rsidRPr="00235CC8" w:rsidRDefault="00225952" w:rsidP="00225952">
            <w:pPr>
              <w:spacing w:after="0"/>
              <w:jc w:val="center"/>
              <w:rPr>
                <w:noProof/>
              </w:rPr>
            </w:pPr>
          </w:p>
        </w:tc>
      </w:tr>
    </w:tbl>
    <w:p w:rsidR="00225952" w:rsidRDefault="00225952">
      <w:r>
        <w:br w:type="page"/>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150"/>
        <w:gridCol w:w="6030"/>
        <w:gridCol w:w="1170"/>
      </w:tblGrid>
      <w:tr w:rsidR="00225952" w:rsidTr="00225952">
        <w:tc>
          <w:tcPr>
            <w:tcW w:w="9180" w:type="dxa"/>
            <w:gridSpan w:val="2"/>
            <w:tcBorders>
              <w:right w:val="nil"/>
            </w:tcBorders>
            <w:shd w:val="clear" w:color="auto" w:fill="DBE5F1"/>
          </w:tcPr>
          <w:p w:rsidR="00225952" w:rsidRPr="001454F8" w:rsidRDefault="00225952" w:rsidP="00225952">
            <w:pPr>
              <w:pStyle w:val="ResourceNotTOC"/>
            </w:pPr>
            <w:r w:rsidRPr="009C28E0">
              <w:rPr>
                <w:color w:val="auto"/>
              </w:rPr>
              <w:lastRenderedPageBreak/>
              <w:t>DRI Checklist 3 |</w:t>
            </w:r>
            <w:r>
              <w:t xml:space="preserve"> ADA Review</w:t>
            </w:r>
          </w:p>
        </w:tc>
        <w:tc>
          <w:tcPr>
            <w:tcW w:w="1170" w:type="dxa"/>
            <w:tcBorders>
              <w:left w:val="nil"/>
            </w:tcBorders>
            <w:vAlign w:val="center"/>
          </w:tcPr>
          <w:p w:rsidR="00225952" w:rsidRPr="002635FD" w:rsidRDefault="00225952" w:rsidP="00225952">
            <w:pPr>
              <w:pStyle w:val="CheckA"/>
              <w:jc w:val="center"/>
            </w:pPr>
            <w:r>
              <w:t>3 of 5</w:t>
            </w:r>
          </w:p>
        </w:tc>
      </w:tr>
      <w:tr w:rsidR="00225952" w:rsidTr="00225952">
        <w:tc>
          <w:tcPr>
            <w:tcW w:w="9180" w:type="dxa"/>
            <w:gridSpan w:val="2"/>
            <w:tcBorders>
              <w:right w:val="nil"/>
            </w:tcBorders>
            <w:shd w:val="clear" w:color="auto" w:fill="DBE5F1"/>
          </w:tcPr>
          <w:p w:rsidR="00225952" w:rsidRPr="009C28E0" w:rsidRDefault="00225952" w:rsidP="00225952">
            <w:pPr>
              <w:spacing w:after="0"/>
              <w:ind w:left="252" w:hanging="252"/>
              <w:rPr>
                <w:sz w:val="18"/>
              </w:rPr>
            </w:pPr>
            <w:r w:rsidRPr="009C28E0">
              <w:rPr>
                <w:b/>
              </w:rPr>
              <w:t>Section D: Projections</w:t>
            </w:r>
          </w:p>
        </w:tc>
        <w:tc>
          <w:tcPr>
            <w:tcW w:w="1170" w:type="dxa"/>
            <w:tcBorders>
              <w:left w:val="nil"/>
            </w:tcBorders>
            <w:vAlign w:val="center"/>
          </w:tcPr>
          <w:p w:rsidR="00225952" w:rsidRPr="002635FD" w:rsidRDefault="00225952" w:rsidP="00225952">
            <w:pPr>
              <w:spacing w:after="0"/>
              <w:jc w:val="center"/>
            </w:pPr>
            <w:r w:rsidRPr="009C28E0">
              <w:rPr>
                <w:noProof/>
                <w:color w:val="4F6228"/>
                <w:sz w:val="18"/>
              </w:rPr>
              <w:t xml:space="preserve">Y  </w:t>
            </w:r>
            <w:r w:rsidRPr="009C28E0">
              <w:rPr>
                <w:noProof/>
                <w:sz w:val="18"/>
              </w:rPr>
              <w:t xml:space="preserve"> </w:t>
            </w:r>
            <w:r w:rsidRPr="009C28E0">
              <w:rPr>
                <w:noProof/>
                <w:color w:val="C00000"/>
                <w:sz w:val="18"/>
              </w:rPr>
              <w:t>N</w:t>
            </w:r>
            <w:r w:rsidRPr="009C28E0">
              <w:rPr>
                <w:noProof/>
                <w:sz w:val="18"/>
              </w:rPr>
              <w:t xml:space="preserve">  </w:t>
            </w:r>
            <w:r w:rsidRPr="009C28E0">
              <w:rPr>
                <w:noProof/>
                <w:color w:val="7F7F7F"/>
                <w:sz w:val="18"/>
              </w:rPr>
              <w:t>N/A</w:t>
            </w:r>
          </w:p>
        </w:tc>
      </w:tr>
      <w:tr w:rsidR="00225952" w:rsidTr="00225952">
        <w:tc>
          <w:tcPr>
            <w:tcW w:w="9180" w:type="dxa"/>
            <w:gridSpan w:val="2"/>
            <w:tcBorders>
              <w:right w:val="nil"/>
            </w:tcBorders>
          </w:tcPr>
          <w:p w:rsidR="00225952" w:rsidRPr="009C28E0" w:rsidRDefault="00225952" w:rsidP="00225952">
            <w:pPr>
              <w:pStyle w:val="CheckA"/>
              <w:rPr>
                <w:sz w:val="18"/>
              </w:rPr>
            </w:pPr>
            <w:r w:rsidRPr="00F05E1C">
              <w:t>A.</w:t>
            </w:r>
            <w:r w:rsidRPr="00F05E1C">
              <w:tab/>
              <w:t xml:space="preserve">Forecasts of total peak-hour trips, with and </w:t>
            </w:r>
            <w:r>
              <w:t xml:space="preserve">without project, identified by </w:t>
            </w:r>
            <w:r w:rsidRPr="00F05E1C">
              <w:t>phase?</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54" name="Picture 127"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2"/>
            <w:tcBorders>
              <w:right w:val="nil"/>
            </w:tcBorders>
          </w:tcPr>
          <w:p w:rsidR="00225952" w:rsidRPr="009C28E0" w:rsidRDefault="00225952" w:rsidP="00225952">
            <w:pPr>
              <w:pStyle w:val="CheckA"/>
              <w:rPr>
                <w:sz w:val="18"/>
              </w:rPr>
            </w:pPr>
            <w:r w:rsidRPr="00F05E1C">
              <w:t>B.</w:t>
            </w:r>
            <w:r w:rsidRPr="00F05E1C">
              <w:tab/>
              <w:t>Distribution methodology described and assumptions fully documented?</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55" name="Picture 128"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2"/>
            <w:tcBorders>
              <w:right w:val="nil"/>
            </w:tcBorders>
          </w:tcPr>
          <w:p w:rsidR="00225952" w:rsidRPr="009C28E0" w:rsidRDefault="00225952" w:rsidP="001B457B">
            <w:pPr>
              <w:pStyle w:val="CheckA"/>
              <w:jc w:val="left"/>
              <w:rPr>
                <w:sz w:val="18"/>
              </w:rPr>
            </w:pPr>
            <w:r w:rsidRPr="00F05E1C">
              <w:t>C.</w:t>
            </w:r>
            <w:r w:rsidRPr="00F05E1C">
              <w:tab/>
              <w:t xml:space="preserve">For computer-based distribution method, </w:t>
            </w:r>
            <w:r>
              <w:t xml:space="preserve">has FSUTMS model validation or </w:t>
            </w:r>
            <w:r w:rsidRPr="00F05E1C">
              <w:t>modification at project level documented?</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56" name="Picture 129"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2"/>
            <w:tcBorders>
              <w:right w:val="nil"/>
            </w:tcBorders>
          </w:tcPr>
          <w:p w:rsidR="00225952" w:rsidRPr="009C28E0" w:rsidRDefault="00225952" w:rsidP="00225952">
            <w:pPr>
              <w:pStyle w:val="CheckA"/>
              <w:rPr>
                <w:sz w:val="18"/>
              </w:rPr>
            </w:pPr>
            <w:r w:rsidRPr="00F05E1C">
              <w:t>D.</w:t>
            </w:r>
            <w:r w:rsidRPr="00F05E1C">
              <w:tab/>
              <w:t>Trip distribution method shown per MLOU?</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57" name="Picture 130"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val="restart"/>
            <w:tcBorders>
              <w:right w:val="nil"/>
            </w:tcBorders>
          </w:tcPr>
          <w:p w:rsidR="00225952" w:rsidRPr="00F05E1C" w:rsidRDefault="00225952" w:rsidP="001B457B">
            <w:pPr>
              <w:pStyle w:val="CheckA"/>
              <w:jc w:val="left"/>
            </w:pPr>
            <w:r w:rsidRPr="00F05E1C">
              <w:t>E.</w:t>
            </w:r>
            <w:r w:rsidRPr="00F05E1C">
              <w:tab/>
              <w:t>Reviewer performed random spot checks of</w:t>
            </w:r>
            <w:r>
              <w:t xml:space="preserve"> forecasts per analysis method </w:t>
            </w:r>
            <w:r w:rsidRPr="00F05E1C">
              <w:t>used?</w:t>
            </w:r>
          </w:p>
        </w:tc>
        <w:tc>
          <w:tcPr>
            <w:tcW w:w="6030" w:type="dxa"/>
            <w:tcBorders>
              <w:left w:val="nil"/>
              <w:right w:val="nil"/>
            </w:tcBorders>
            <w:vAlign w:val="center"/>
          </w:tcPr>
          <w:p w:rsidR="00225952" w:rsidRPr="001454F8" w:rsidRDefault="00225952" w:rsidP="00225952">
            <w:pPr>
              <w:pStyle w:val="Check1"/>
            </w:pPr>
            <w:r w:rsidRPr="00F05E1C">
              <w:t>1.</w:t>
            </w:r>
            <w:r w:rsidRPr="00F05E1C">
              <w:tab/>
              <w:t>For manual calculation analysis, approved growth rates per year applied to existing traffic volumes?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58" name="Picture 131"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9C28E0" w:rsidRDefault="00225952" w:rsidP="00225952">
            <w:pPr>
              <w:spacing w:after="0"/>
              <w:ind w:left="342" w:hanging="270"/>
              <w:rPr>
                <w:sz w:val="20"/>
              </w:rPr>
            </w:pPr>
          </w:p>
        </w:tc>
        <w:tc>
          <w:tcPr>
            <w:tcW w:w="6030" w:type="dxa"/>
            <w:tcBorders>
              <w:left w:val="nil"/>
              <w:right w:val="nil"/>
            </w:tcBorders>
            <w:vAlign w:val="center"/>
          </w:tcPr>
          <w:p w:rsidR="00225952" w:rsidRPr="001454F8" w:rsidRDefault="00225952" w:rsidP="00225952">
            <w:pPr>
              <w:pStyle w:val="Check1"/>
            </w:pPr>
            <w:r w:rsidRPr="00F05E1C">
              <w:t>2.</w:t>
            </w:r>
            <w:r w:rsidRPr="00F05E1C">
              <w:tab/>
              <w:t>For model-based analysis, future year ZDATA files reviewed for reasonableness and inclusion of other development?</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59" name="Picture 13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2"/>
            <w:tcBorders>
              <w:right w:val="nil"/>
            </w:tcBorders>
          </w:tcPr>
          <w:p w:rsidR="00225952" w:rsidRPr="009C28E0" w:rsidRDefault="00225952" w:rsidP="00225952">
            <w:pPr>
              <w:pStyle w:val="CheckA"/>
              <w:rPr>
                <w:sz w:val="18"/>
              </w:rPr>
            </w:pPr>
            <w:r w:rsidRPr="00F05E1C">
              <w:t>F.</w:t>
            </w:r>
            <w:r w:rsidRPr="00F05E1C">
              <w:tab/>
              <w:t>Proper documentation provided for</w:t>
            </w:r>
            <w:r>
              <w:t xml:space="preserve"> any new transportation system </w:t>
            </w:r>
            <w:r w:rsidRPr="00F05E1C">
              <w:t>improvements reflected in the future year(s) network?</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60" name="Picture 133"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2"/>
            <w:tcBorders>
              <w:right w:val="nil"/>
            </w:tcBorders>
          </w:tcPr>
          <w:p w:rsidR="00225952" w:rsidRPr="009C28E0" w:rsidRDefault="00225952" w:rsidP="00225952">
            <w:pPr>
              <w:pStyle w:val="CheckA"/>
              <w:rPr>
                <w:sz w:val="18"/>
              </w:rPr>
            </w:pPr>
            <w:r w:rsidRPr="00F05E1C">
              <w:t>G.</w:t>
            </w:r>
            <w:r w:rsidRPr="00F05E1C">
              <w:tab/>
              <w:t>Maps or tables provided showing total traffic wi</w:t>
            </w:r>
            <w:r>
              <w:t xml:space="preserve">th and without the project, by </w:t>
            </w:r>
            <w:r w:rsidRPr="00F05E1C">
              <w:t>development phase?</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61" name="Picture 134"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2"/>
            <w:tcBorders>
              <w:right w:val="nil"/>
            </w:tcBorders>
            <w:shd w:val="clear" w:color="auto" w:fill="DBE5F1"/>
          </w:tcPr>
          <w:p w:rsidR="00225952" w:rsidRPr="009C28E0" w:rsidRDefault="00225952" w:rsidP="00225952">
            <w:pPr>
              <w:spacing w:after="0"/>
              <w:ind w:left="252" w:hanging="252"/>
              <w:rPr>
                <w:sz w:val="18"/>
              </w:rPr>
            </w:pPr>
            <w:r w:rsidRPr="009C28E0">
              <w:rPr>
                <w:b/>
              </w:rPr>
              <w:t>Section E:  Development’s Trip Assignments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62" name="Picture 135"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val="restart"/>
            <w:tcBorders>
              <w:right w:val="nil"/>
            </w:tcBorders>
          </w:tcPr>
          <w:p w:rsidR="00225952" w:rsidRPr="00F05E1C" w:rsidRDefault="00225952" w:rsidP="001B457B">
            <w:pPr>
              <w:pStyle w:val="CheckA"/>
              <w:jc w:val="left"/>
            </w:pPr>
            <w:r w:rsidRPr="00F05E1C">
              <w:t>A.</w:t>
            </w:r>
            <w:r w:rsidRPr="00F05E1C">
              <w:tab/>
              <w:t>Assignment of AADT project trips</w:t>
            </w:r>
          </w:p>
        </w:tc>
        <w:tc>
          <w:tcPr>
            <w:tcW w:w="6030" w:type="dxa"/>
            <w:tcBorders>
              <w:left w:val="nil"/>
              <w:right w:val="nil"/>
            </w:tcBorders>
            <w:vAlign w:val="center"/>
          </w:tcPr>
          <w:p w:rsidR="00225952" w:rsidRPr="001454F8" w:rsidRDefault="00225952" w:rsidP="001B457B">
            <w:pPr>
              <w:pStyle w:val="Check1"/>
              <w:jc w:val="left"/>
            </w:pPr>
            <w:r>
              <w:t xml:space="preserve">1.  </w:t>
            </w:r>
            <w:r w:rsidRPr="00F05E1C">
              <w:t>Assignment of AADT project trips, by phase,</w:t>
            </w:r>
            <w:r>
              <w:t xml:space="preserve"> to surrounding transportation </w:t>
            </w:r>
            <w:r w:rsidRPr="00F05E1C">
              <w:t xml:space="preserve">network </w:t>
            </w:r>
            <w:r w:rsidRPr="00235CC8">
              <w:t>performed</w:t>
            </w:r>
            <w:r w:rsidRPr="00F05E1C">
              <w:t>?</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63" name="Picture 136"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vAlign w:val="center"/>
          </w:tcPr>
          <w:p w:rsidR="00225952" w:rsidRPr="001454F8" w:rsidRDefault="00225952" w:rsidP="001B457B">
            <w:pPr>
              <w:pStyle w:val="Check1"/>
              <w:jc w:val="left"/>
            </w:pPr>
          </w:p>
        </w:tc>
        <w:tc>
          <w:tcPr>
            <w:tcW w:w="6030" w:type="dxa"/>
            <w:tcBorders>
              <w:left w:val="nil"/>
              <w:right w:val="nil"/>
            </w:tcBorders>
            <w:vAlign w:val="center"/>
          </w:tcPr>
          <w:p w:rsidR="00225952" w:rsidRPr="007F3D96" w:rsidRDefault="00225952" w:rsidP="001B457B">
            <w:pPr>
              <w:pStyle w:val="Check1"/>
              <w:jc w:val="left"/>
            </w:pPr>
            <w:r>
              <w:t>2</w:t>
            </w:r>
            <w:r w:rsidRPr="007F3D96">
              <w:t>.</w:t>
            </w:r>
            <w:r w:rsidRPr="007F3D96">
              <w:tab/>
              <w:t>Assignment also performed at directional peak-hour level?</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64" name="Picture 137"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2"/>
            <w:tcBorders>
              <w:right w:val="nil"/>
            </w:tcBorders>
          </w:tcPr>
          <w:p w:rsidR="00225952" w:rsidRPr="009C28E0" w:rsidRDefault="00225952" w:rsidP="001B457B">
            <w:pPr>
              <w:pStyle w:val="CheckA"/>
              <w:jc w:val="left"/>
              <w:rPr>
                <w:sz w:val="18"/>
              </w:rPr>
            </w:pPr>
            <w:r w:rsidRPr="00F05E1C">
              <w:t>B.</w:t>
            </w:r>
            <w:r w:rsidRPr="00F05E1C">
              <w:tab/>
              <w:t>Comparison of average trip length for pr</w:t>
            </w:r>
            <w:r>
              <w:t xml:space="preserve">oject and no-project scenarios </w:t>
            </w:r>
            <w:r w:rsidRPr="00F05E1C">
              <w:t>performed?</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65" name="Picture 138"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2"/>
            <w:tcBorders>
              <w:right w:val="nil"/>
            </w:tcBorders>
          </w:tcPr>
          <w:p w:rsidR="00225952" w:rsidRPr="009C28E0" w:rsidRDefault="00225952" w:rsidP="001B457B">
            <w:pPr>
              <w:pStyle w:val="CheckA"/>
              <w:jc w:val="left"/>
              <w:rPr>
                <w:sz w:val="18"/>
              </w:rPr>
            </w:pPr>
            <w:r w:rsidRPr="00F05E1C">
              <w:t>C.</w:t>
            </w:r>
            <w:r w:rsidRPr="00F05E1C">
              <w:tab/>
              <w:t>Reviewer verified that project trip assignme</w:t>
            </w:r>
            <w:r>
              <w:t xml:space="preserve">nts account for 100 percent of </w:t>
            </w:r>
            <w:r w:rsidRPr="00F05E1C">
              <w:t>external project trips, as documented into Sections B and C responses?</w:t>
            </w:r>
          </w:p>
        </w:tc>
        <w:tc>
          <w:tcPr>
            <w:tcW w:w="1170" w:type="dxa"/>
            <w:tcBorders>
              <w:left w:val="nil"/>
              <w:bottom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66" name="Picture 139"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rPr>
          <w:trHeight w:val="556"/>
        </w:trPr>
        <w:tc>
          <w:tcPr>
            <w:tcW w:w="3150" w:type="dxa"/>
            <w:vMerge w:val="restart"/>
            <w:tcBorders>
              <w:left w:val="single" w:sz="4" w:space="0" w:color="auto"/>
            </w:tcBorders>
          </w:tcPr>
          <w:p w:rsidR="00225952" w:rsidRDefault="00225952" w:rsidP="001B457B">
            <w:pPr>
              <w:pStyle w:val="CheckA"/>
              <w:jc w:val="left"/>
            </w:pPr>
            <w:r w:rsidRPr="00F05E1C">
              <w:t>D.</w:t>
            </w:r>
            <w:r>
              <w:t xml:space="preserve">  </w:t>
            </w:r>
            <w:r w:rsidRPr="00F05E1C">
              <w:t>If splits to alternative modes assumed,</w:t>
            </w:r>
            <w:r>
              <w:t xml:space="preserve"> supporting documentation from </w:t>
            </w:r>
            <w:r w:rsidRPr="00F05E1C">
              <w:t>service agencies</w:t>
            </w:r>
            <w:r>
              <w:t xml:space="preserve"> and modal plans</w:t>
            </w:r>
            <w:r w:rsidRPr="00F05E1C">
              <w:t xml:space="preserve"> been included?</w:t>
            </w:r>
          </w:p>
        </w:tc>
        <w:tc>
          <w:tcPr>
            <w:tcW w:w="6030" w:type="dxa"/>
            <w:tcBorders>
              <w:bottom w:val="single" w:sz="4" w:space="0" w:color="auto"/>
            </w:tcBorders>
            <w:vAlign w:val="center"/>
          </w:tcPr>
          <w:p w:rsidR="00225952" w:rsidRPr="007F3D96" w:rsidRDefault="00225952" w:rsidP="001B457B">
            <w:pPr>
              <w:pStyle w:val="Check1"/>
              <w:jc w:val="left"/>
            </w:pPr>
            <w:r w:rsidRPr="007F3D96">
              <w:t>1.</w:t>
            </w:r>
            <w:r w:rsidRPr="007F3D96">
              <w:tab/>
              <w:t>Service feasibility verified?</w:t>
            </w:r>
          </w:p>
        </w:tc>
        <w:tc>
          <w:tcPr>
            <w:tcW w:w="1170" w:type="dxa"/>
            <w:tcBorders>
              <w:right w:val="single" w:sz="4" w:space="0" w:color="auto"/>
            </w:tcBorders>
          </w:tcPr>
          <w:p w:rsidR="00225952" w:rsidRPr="002635FD" w:rsidRDefault="00225952" w:rsidP="00225952">
            <w:pPr>
              <w:spacing w:after="0"/>
              <w:jc w:val="center"/>
            </w:pPr>
            <w:r>
              <w:rPr>
                <w:noProof/>
              </w:rPr>
              <w:drawing>
                <wp:inline distT="0" distB="0" distL="0" distR="0">
                  <wp:extent cx="462915" cy="154305"/>
                  <wp:effectExtent l="0" t="0" r="0" b="0"/>
                  <wp:docPr id="467" name="Picture 140"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rPr>
          <w:trHeight w:val="557"/>
        </w:trPr>
        <w:tc>
          <w:tcPr>
            <w:tcW w:w="3150" w:type="dxa"/>
            <w:vMerge/>
            <w:tcBorders>
              <w:top w:val="single" w:sz="4" w:space="0" w:color="auto"/>
              <w:left w:val="single" w:sz="4" w:space="0" w:color="auto"/>
            </w:tcBorders>
          </w:tcPr>
          <w:p w:rsidR="00225952" w:rsidRPr="00F05E1C" w:rsidRDefault="00225952" w:rsidP="001B457B">
            <w:pPr>
              <w:pStyle w:val="CheckA"/>
              <w:jc w:val="left"/>
            </w:pPr>
          </w:p>
        </w:tc>
        <w:tc>
          <w:tcPr>
            <w:tcW w:w="6030" w:type="dxa"/>
            <w:tcBorders>
              <w:top w:val="single" w:sz="4" w:space="0" w:color="auto"/>
            </w:tcBorders>
            <w:vAlign w:val="center"/>
          </w:tcPr>
          <w:p w:rsidR="00225952" w:rsidRPr="007F3D96" w:rsidRDefault="00225952" w:rsidP="001B457B">
            <w:pPr>
              <w:pStyle w:val="Check1"/>
              <w:jc w:val="left"/>
            </w:pPr>
            <w:r w:rsidRPr="007F3D96">
              <w:t>2.</w:t>
            </w:r>
            <w:r w:rsidRPr="007F3D96">
              <w:tab/>
              <w:t>Auto occupancy adjustment factors by trip purpose verified?</w:t>
            </w:r>
          </w:p>
        </w:tc>
        <w:tc>
          <w:tcPr>
            <w:tcW w:w="1170" w:type="dxa"/>
            <w:tcBorders>
              <w:right w:val="single" w:sz="4" w:space="0" w:color="auto"/>
            </w:tcBorders>
          </w:tcPr>
          <w:p w:rsidR="00225952" w:rsidRPr="002635FD" w:rsidRDefault="00225952" w:rsidP="00225952">
            <w:pPr>
              <w:spacing w:after="0"/>
              <w:jc w:val="center"/>
            </w:pPr>
            <w:r>
              <w:rPr>
                <w:noProof/>
              </w:rPr>
              <w:drawing>
                <wp:inline distT="0" distB="0" distL="0" distR="0">
                  <wp:extent cx="462915" cy="154305"/>
                  <wp:effectExtent l="0" t="0" r="0" b="0"/>
                  <wp:docPr id="468" name="Picture 141"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2"/>
            <w:tcBorders>
              <w:right w:val="nil"/>
            </w:tcBorders>
          </w:tcPr>
          <w:p w:rsidR="00225952" w:rsidRPr="009C28E0" w:rsidRDefault="00225952" w:rsidP="001B457B">
            <w:pPr>
              <w:pStyle w:val="CheckA"/>
              <w:jc w:val="left"/>
              <w:rPr>
                <w:sz w:val="18"/>
              </w:rPr>
            </w:pPr>
            <w:r w:rsidRPr="00F05E1C">
              <w:t>E.</w:t>
            </w:r>
            <w:r w:rsidRPr="00F05E1C">
              <w:tab/>
              <w:t>For model-based assignment methods, full documentation of manual model adjustments provided?</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69" name="Picture 14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2"/>
            <w:tcBorders>
              <w:right w:val="nil"/>
            </w:tcBorders>
          </w:tcPr>
          <w:p w:rsidR="00225952" w:rsidRPr="009C28E0" w:rsidRDefault="00225952" w:rsidP="001B457B">
            <w:pPr>
              <w:pStyle w:val="CheckA"/>
              <w:jc w:val="left"/>
              <w:rPr>
                <w:sz w:val="18"/>
              </w:rPr>
            </w:pPr>
            <w:r w:rsidRPr="00F05E1C">
              <w:t>F.</w:t>
            </w:r>
            <w:r w:rsidRPr="00F05E1C">
              <w:tab/>
              <w:t>LOS for regionally significant roadways’ segments, SIS/FIHS/SHS</w:t>
            </w:r>
            <w:r>
              <w:t xml:space="preserve"> facilities and </w:t>
            </w:r>
            <w:r w:rsidRPr="00F05E1C">
              <w:t>critical intersections calculated, with and without project?</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70" name="Picture 143"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2"/>
            <w:tcBorders>
              <w:right w:val="nil"/>
            </w:tcBorders>
          </w:tcPr>
          <w:p w:rsidR="00225952" w:rsidRPr="009C28E0" w:rsidRDefault="00225952" w:rsidP="001B457B">
            <w:pPr>
              <w:pStyle w:val="CheckA"/>
              <w:jc w:val="left"/>
              <w:rPr>
                <w:sz w:val="18"/>
              </w:rPr>
            </w:pPr>
            <w:r w:rsidRPr="00F05E1C">
              <w:t>G.</w:t>
            </w:r>
            <w:r w:rsidRPr="00F05E1C">
              <w:tab/>
              <w:t>Trip assignments and LOS analyses performed per MLOU?</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71" name="Picture 144"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2"/>
            <w:tcBorders>
              <w:right w:val="nil"/>
            </w:tcBorders>
          </w:tcPr>
          <w:p w:rsidR="00225952" w:rsidRPr="009C28E0" w:rsidRDefault="00225952" w:rsidP="001B457B">
            <w:pPr>
              <w:pStyle w:val="CheckA"/>
              <w:jc w:val="left"/>
              <w:rPr>
                <w:sz w:val="18"/>
              </w:rPr>
            </w:pPr>
            <w:r w:rsidRPr="00F05E1C">
              <w:t>H.</w:t>
            </w:r>
            <w:r w:rsidRPr="00F05E1C">
              <w:tab/>
              <w:t>Maps or tables provided which summarize LOS by phase, with and without project?</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72" name="Picture 145"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2"/>
            <w:tcBorders>
              <w:right w:val="nil"/>
            </w:tcBorders>
          </w:tcPr>
          <w:p w:rsidR="00225952" w:rsidRPr="009C28E0" w:rsidRDefault="00225952" w:rsidP="00225952">
            <w:pPr>
              <w:pStyle w:val="CheckA"/>
              <w:rPr>
                <w:sz w:val="18"/>
              </w:rPr>
            </w:pPr>
            <w:r w:rsidRPr="00F05E1C">
              <w:t>I.</w:t>
            </w:r>
            <w:r w:rsidRPr="00F05E1C">
              <w:tab/>
              <w:t>Merge, diverge, weaving and ramp queuing ana</w:t>
            </w:r>
            <w:r>
              <w:t xml:space="preserve">lyses performed for study area </w:t>
            </w:r>
            <w:r w:rsidRPr="00F05E1C">
              <w:t>freeway segments?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73" name="Picture 146"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2"/>
            <w:tcBorders>
              <w:right w:val="nil"/>
            </w:tcBorders>
          </w:tcPr>
          <w:p w:rsidR="00225952" w:rsidRPr="009C28E0" w:rsidRDefault="00225952" w:rsidP="001B457B">
            <w:pPr>
              <w:pStyle w:val="CheckA"/>
              <w:jc w:val="left"/>
              <w:rPr>
                <w:sz w:val="18"/>
              </w:rPr>
            </w:pPr>
            <w:r w:rsidRPr="00F05E1C">
              <w:t>J.</w:t>
            </w:r>
            <w:r w:rsidRPr="00F05E1C">
              <w:tab/>
              <w:t>Reviewer performed spot checks of LOS analyse</w:t>
            </w:r>
            <w:r>
              <w:t xml:space="preserve">s to verify appropriateness of </w:t>
            </w:r>
            <w:r w:rsidRPr="00F05E1C">
              <w:t>analysis technique and accuracy of reported results?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74" name="Picture 147"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bl>
    <w:p w:rsidR="00225952" w:rsidRDefault="00225952">
      <w:r>
        <w:br w:type="page"/>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150"/>
        <w:gridCol w:w="6030"/>
        <w:gridCol w:w="1170"/>
      </w:tblGrid>
      <w:tr w:rsidR="00225952" w:rsidTr="00225952">
        <w:tc>
          <w:tcPr>
            <w:tcW w:w="9180" w:type="dxa"/>
            <w:gridSpan w:val="2"/>
            <w:tcBorders>
              <w:right w:val="nil"/>
            </w:tcBorders>
            <w:shd w:val="clear" w:color="auto" w:fill="DBE5F1"/>
          </w:tcPr>
          <w:p w:rsidR="00225952" w:rsidRPr="001454F8" w:rsidRDefault="00225952" w:rsidP="00225952">
            <w:pPr>
              <w:pStyle w:val="ResourceNotTOC"/>
            </w:pPr>
            <w:r w:rsidRPr="009C28E0">
              <w:rPr>
                <w:color w:val="auto"/>
              </w:rPr>
              <w:lastRenderedPageBreak/>
              <w:t>DRI Checklist 3 |</w:t>
            </w:r>
            <w:r>
              <w:t xml:space="preserve"> ADA Review</w:t>
            </w:r>
          </w:p>
        </w:tc>
        <w:tc>
          <w:tcPr>
            <w:tcW w:w="1170" w:type="dxa"/>
            <w:tcBorders>
              <w:left w:val="nil"/>
            </w:tcBorders>
            <w:vAlign w:val="center"/>
          </w:tcPr>
          <w:p w:rsidR="00225952" w:rsidRPr="002635FD" w:rsidRDefault="00225952" w:rsidP="00225952">
            <w:pPr>
              <w:pStyle w:val="CheckA"/>
              <w:jc w:val="center"/>
            </w:pPr>
            <w:r>
              <w:t>4 of 5</w:t>
            </w:r>
          </w:p>
        </w:tc>
      </w:tr>
      <w:tr w:rsidR="00225952" w:rsidTr="00225952">
        <w:tc>
          <w:tcPr>
            <w:tcW w:w="9180" w:type="dxa"/>
            <w:gridSpan w:val="2"/>
            <w:tcBorders>
              <w:right w:val="nil"/>
            </w:tcBorders>
            <w:shd w:val="clear" w:color="auto" w:fill="DBE5F1"/>
          </w:tcPr>
          <w:p w:rsidR="00225952" w:rsidRPr="009C28E0" w:rsidRDefault="00225952" w:rsidP="00225952">
            <w:pPr>
              <w:spacing w:after="0"/>
              <w:ind w:left="252" w:hanging="252"/>
              <w:rPr>
                <w:sz w:val="18"/>
              </w:rPr>
            </w:pPr>
            <w:r w:rsidRPr="009C28E0">
              <w:rPr>
                <w:b/>
              </w:rPr>
              <w:t>Section F:  Recommended Road and Intersections’ Improvements</w:t>
            </w:r>
          </w:p>
        </w:tc>
        <w:tc>
          <w:tcPr>
            <w:tcW w:w="1170" w:type="dxa"/>
            <w:tcBorders>
              <w:left w:val="nil"/>
              <w:bottom w:val="nil"/>
            </w:tcBorders>
            <w:vAlign w:val="center"/>
          </w:tcPr>
          <w:p w:rsidR="00225952" w:rsidRPr="002635FD" w:rsidRDefault="00225952" w:rsidP="00225952">
            <w:pPr>
              <w:spacing w:after="0"/>
              <w:jc w:val="center"/>
            </w:pPr>
            <w:r w:rsidRPr="009C28E0">
              <w:rPr>
                <w:noProof/>
                <w:color w:val="4F6228"/>
                <w:sz w:val="18"/>
              </w:rPr>
              <w:t xml:space="preserve">Y  </w:t>
            </w:r>
            <w:r w:rsidRPr="009C28E0">
              <w:rPr>
                <w:noProof/>
                <w:sz w:val="18"/>
              </w:rPr>
              <w:t xml:space="preserve"> </w:t>
            </w:r>
            <w:r w:rsidRPr="009C28E0">
              <w:rPr>
                <w:noProof/>
                <w:color w:val="C00000"/>
                <w:sz w:val="18"/>
              </w:rPr>
              <w:t>N</w:t>
            </w:r>
            <w:r w:rsidRPr="009C28E0">
              <w:rPr>
                <w:noProof/>
                <w:sz w:val="18"/>
              </w:rPr>
              <w:t xml:space="preserve">  </w:t>
            </w:r>
            <w:r w:rsidRPr="009C28E0">
              <w:rPr>
                <w:noProof/>
                <w:color w:val="7F7F7F"/>
                <w:sz w:val="18"/>
              </w:rPr>
              <w:t>N/A</w:t>
            </w:r>
          </w:p>
        </w:tc>
      </w:tr>
      <w:tr w:rsidR="00225952" w:rsidTr="00225952">
        <w:trPr>
          <w:trHeight w:val="332"/>
        </w:trPr>
        <w:tc>
          <w:tcPr>
            <w:tcW w:w="3150" w:type="dxa"/>
            <w:vMerge w:val="restart"/>
            <w:tcBorders>
              <w:left w:val="single" w:sz="4" w:space="0" w:color="auto"/>
              <w:bottom w:val="single" w:sz="4" w:space="0" w:color="auto"/>
            </w:tcBorders>
          </w:tcPr>
          <w:p w:rsidR="00225952" w:rsidRPr="00F05E1C" w:rsidRDefault="00225952" w:rsidP="001B457B">
            <w:pPr>
              <w:pStyle w:val="CheckA"/>
              <w:jc w:val="left"/>
            </w:pPr>
            <w:r w:rsidRPr="00F05E1C">
              <w:t>A.</w:t>
            </w:r>
            <w:r w:rsidRPr="00F05E1C">
              <w:tab/>
              <w:t>Transportation system improvements which wi</w:t>
            </w:r>
            <w:r>
              <w:t xml:space="preserve">ll result in acceptable LOS on </w:t>
            </w:r>
            <w:r w:rsidRPr="00F05E1C">
              <w:t>SIS, FIHS and SHS facility segments identified?</w:t>
            </w:r>
            <w:r w:rsidRPr="00F05E1C">
              <w:tab/>
            </w:r>
          </w:p>
        </w:tc>
        <w:tc>
          <w:tcPr>
            <w:tcW w:w="6030" w:type="dxa"/>
            <w:tcBorders>
              <w:bottom w:val="single" w:sz="4" w:space="0" w:color="auto"/>
            </w:tcBorders>
            <w:vAlign w:val="center"/>
          </w:tcPr>
          <w:p w:rsidR="00225952" w:rsidRPr="007F3D96" w:rsidRDefault="00225952" w:rsidP="001B457B">
            <w:pPr>
              <w:pStyle w:val="Check1"/>
              <w:jc w:val="left"/>
            </w:pPr>
            <w:r w:rsidRPr="007F3D96">
              <w:t>1.</w:t>
            </w:r>
            <w:r w:rsidRPr="007F3D96">
              <w:tab/>
              <w:t>Improvements been identified for each project phase?</w:t>
            </w:r>
          </w:p>
        </w:tc>
        <w:tc>
          <w:tcPr>
            <w:tcW w:w="1170" w:type="dxa"/>
            <w:tcBorders>
              <w:right w:val="single" w:sz="4" w:space="0" w:color="auto"/>
            </w:tcBorders>
          </w:tcPr>
          <w:p w:rsidR="00225952" w:rsidRPr="002635FD" w:rsidRDefault="00225952" w:rsidP="00225952">
            <w:pPr>
              <w:spacing w:after="0"/>
              <w:jc w:val="center"/>
            </w:pPr>
            <w:r>
              <w:rPr>
                <w:noProof/>
              </w:rPr>
              <w:drawing>
                <wp:inline distT="0" distB="0" distL="0" distR="0">
                  <wp:extent cx="462915" cy="154305"/>
                  <wp:effectExtent l="0" t="0" r="0" b="0"/>
                  <wp:docPr id="475" name="Picture 148"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rPr>
          <w:trHeight w:val="548"/>
        </w:trPr>
        <w:tc>
          <w:tcPr>
            <w:tcW w:w="3150" w:type="dxa"/>
            <w:vMerge/>
            <w:tcBorders>
              <w:top w:val="single" w:sz="4" w:space="0" w:color="auto"/>
              <w:left w:val="single" w:sz="4" w:space="0" w:color="auto"/>
              <w:bottom w:val="single" w:sz="4" w:space="0" w:color="auto"/>
            </w:tcBorders>
          </w:tcPr>
          <w:p w:rsidR="00225952" w:rsidRPr="00F05E1C" w:rsidRDefault="00225952" w:rsidP="001B457B">
            <w:pPr>
              <w:pStyle w:val="CheckA"/>
              <w:jc w:val="left"/>
            </w:pPr>
          </w:p>
        </w:tc>
        <w:tc>
          <w:tcPr>
            <w:tcW w:w="6030" w:type="dxa"/>
            <w:tcBorders>
              <w:top w:val="single" w:sz="4" w:space="0" w:color="auto"/>
              <w:bottom w:val="single" w:sz="4" w:space="0" w:color="auto"/>
            </w:tcBorders>
            <w:vAlign w:val="center"/>
          </w:tcPr>
          <w:p w:rsidR="00225952" w:rsidRDefault="00225952" w:rsidP="001B457B">
            <w:pPr>
              <w:pStyle w:val="Check1"/>
              <w:jc w:val="left"/>
            </w:pPr>
            <w:r w:rsidRPr="007F3D96">
              <w:t>2.</w:t>
            </w:r>
            <w:r w:rsidRPr="007F3D96">
              <w:tab/>
              <w:t>Improvements include measures other than addition of roadway lane</w:t>
            </w:r>
            <w:r>
              <w:t>s</w:t>
            </w:r>
            <w:r w:rsidRPr="007F3D96">
              <w:t xml:space="preserve"> or new roadway facilities?</w:t>
            </w:r>
          </w:p>
        </w:tc>
        <w:tc>
          <w:tcPr>
            <w:tcW w:w="1170" w:type="dxa"/>
            <w:tcBorders>
              <w:right w:val="single" w:sz="4" w:space="0" w:color="auto"/>
            </w:tcBorders>
          </w:tcPr>
          <w:p w:rsidR="00225952" w:rsidRPr="002635FD" w:rsidRDefault="00225952" w:rsidP="00225952">
            <w:pPr>
              <w:spacing w:after="0"/>
              <w:jc w:val="center"/>
            </w:pPr>
            <w:r>
              <w:rPr>
                <w:noProof/>
              </w:rPr>
              <w:drawing>
                <wp:inline distT="0" distB="0" distL="0" distR="0">
                  <wp:extent cx="462915" cy="154305"/>
                  <wp:effectExtent l="0" t="0" r="0" b="0"/>
                  <wp:docPr id="476" name="Picture 149"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rPr>
          <w:trHeight w:val="422"/>
        </w:trPr>
        <w:tc>
          <w:tcPr>
            <w:tcW w:w="3150" w:type="dxa"/>
            <w:vMerge/>
            <w:tcBorders>
              <w:left w:val="single" w:sz="4" w:space="0" w:color="auto"/>
              <w:bottom w:val="single" w:sz="4" w:space="0" w:color="auto"/>
            </w:tcBorders>
          </w:tcPr>
          <w:p w:rsidR="00225952" w:rsidRPr="00F05E1C" w:rsidRDefault="00225952" w:rsidP="001B457B">
            <w:pPr>
              <w:pStyle w:val="CheckA"/>
              <w:jc w:val="left"/>
            </w:pPr>
          </w:p>
        </w:tc>
        <w:tc>
          <w:tcPr>
            <w:tcW w:w="6030" w:type="dxa"/>
            <w:tcBorders>
              <w:top w:val="single" w:sz="4" w:space="0" w:color="auto"/>
              <w:bottom w:val="single" w:sz="4" w:space="0" w:color="auto"/>
            </w:tcBorders>
            <w:vAlign w:val="center"/>
          </w:tcPr>
          <w:p w:rsidR="00225952" w:rsidRDefault="00225952" w:rsidP="001B457B">
            <w:pPr>
              <w:pStyle w:val="Check1"/>
              <w:numPr>
                <w:ilvl w:val="0"/>
                <w:numId w:val="40"/>
              </w:numPr>
              <w:jc w:val="left"/>
            </w:pPr>
            <w:r w:rsidRPr="007F3D96">
              <w:t>Documentation from appropriate agency(ies) included to verify improvement feasibility?</w:t>
            </w:r>
          </w:p>
        </w:tc>
        <w:tc>
          <w:tcPr>
            <w:tcW w:w="1170" w:type="dxa"/>
            <w:tcBorders>
              <w:right w:val="single" w:sz="4" w:space="0" w:color="auto"/>
            </w:tcBorders>
          </w:tcPr>
          <w:p w:rsidR="00225952" w:rsidRDefault="00225952" w:rsidP="00225952">
            <w:pPr>
              <w:spacing w:after="0"/>
              <w:jc w:val="center"/>
            </w:pPr>
            <w:r>
              <w:rPr>
                <w:noProof/>
              </w:rPr>
              <w:drawing>
                <wp:inline distT="0" distB="0" distL="0" distR="0">
                  <wp:extent cx="462915" cy="154305"/>
                  <wp:effectExtent l="0" t="0" r="0" b="0"/>
                  <wp:docPr id="477" name="Picture 150"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rPr>
          <w:trHeight w:val="416"/>
        </w:trPr>
        <w:tc>
          <w:tcPr>
            <w:tcW w:w="3150" w:type="dxa"/>
            <w:vMerge w:val="restart"/>
            <w:tcBorders>
              <w:left w:val="single" w:sz="4" w:space="0" w:color="auto"/>
              <w:bottom w:val="single" w:sz="4" w:space="0" w:color="auto"/>
            </w:tcBorders>
          </w:tcPr>
          <w:p w:rsidR="00225952" w:rsidRPr="00F05E1C" w:rsidRDefault="00225952" w:rsidP="001B457B">
            <w:pPr>
              <w:pStyle w:val="CheckA"/>
              <w:jc w:val="left"/>
            </w:pPr>
            <w:r w:rsidRPr="00F05E1C">
              <w:t>B.</w:t>
            </w:r>
            <w:r w:rsidRPr="00F05E1C">
              <w:tab/>
              <w:t>Measures required to mitigate for increased percentage of tru</w:t>
            </w:r>
            <w:r>
              <w:t xml:space="preserve">cks </w:t>
            </w:r>
            <w:r w:rsidRPr="00F05E1C">
              <w:t>from project?</w:t>
            </w:r>
          </w:p>
        </w:tc>
        <w:tc>
          <w:tcPr>
            <w:tcW w:w="6030" w:type="dxa"/>
            <w:tcBorders>
              <w:top w:val="single" w:sz="4" w:space="0" w:color="auto"/>
              <w:bottom w:val="single" w:sz="4" w:space="0" w:color="auto"/>
            </w:tcBorders>
            <w:vAlign w:val="center"/>
          </w:tcPr>
          <w:p w:rsidR="00225952" w:rsidRDefault="00225952" w:rsidP="001B457B">
            <w:pPr>
              <w:pStyle w:val="Check1"/>
              <w:jc w:val="left"/>
            </w:pPr>
            <w:r w:rsidRPr="007F3D96">
              <w:t>1.</w:t>
            </w:r>
            <w:r w:rsidRPr="007F3D96">
              <w:tab/>
            </w:r>
            <w:r>
              <w:t xml:space="preserve">Intersection design </w:t>
            </w:r>
            <w:r w:rsidRPr="007F3D96">
              <w:t>at critical intersections</w:t>
            </w:r>
            <w:r>
              <w:t xml:space="preserve"> and accesses </w:t>
            </w:r>
            <w:r w:rsidRPr="007F3D96">
              <w:t>required?</w:t>
            </w:r>
          </w:p>
        </w:tc>
        <w:tc>
          <w:tcPr>
            <w:tcW w:w="1170" w:type="dxa"/>
            <w:tcBorders>
              <w:right w:val="single" w:sz="4" w:space="0" w:color="auto"/>
            </w:tcBorders>
          </w:tcPr>
          <w:p w:rsidR="00225952" w:rsidRPr="002635FD" w:rsidRDefault="00225952" w:rsidP="00225952">
            <w:pPr>
              <w:spacing w:after="0"/>
              <w:jc w:val="center"/>
            </w:pPr>
            <w:r>
              <w:rPr>
                <w:noProof/>
              </w:rPr>
              <w:drawing>
                <wp:inline distT="0" distB="0" distL="0" distR="0">
                  <wp:extent cx="462915" cy="154305"/>
                  <wp:effectExtent l="0" t="0" r="0" b="0"/>
                  <wp:docPr id="478" name="Picture 1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rPr>
          <w:trHeight w:val="416"/>
        </w:trPr>
        <w:tc>
          <w:tcPr>
            <w:tcW w:w="3150" w:type="dxa"/>
            <w:vMerge/>
            <w:tcBorders>
              <w:left w:val="single" w:sz="4" w:space="0" w:color="auto"/>
              <w:bottom w:val="single" w:sz="4" w:space="0" w:color="auto"/>
            </w:tcBorders>
          </w:tcPr>
          <w:p w:rsidR="00225952" w:rsidRPr="00F05E1C" w:rsidRDefault="00225952" w:rsidP="001B457B">
            <w:pPr>
              <w:pStyle w:val="CheckA"/>
              <w:jc w:val="left"/>
            </w:pPr>
          </w:p>
        </w:tc>
        <w:tc>
          <w:tcPr>
            <w:tcW w:w="6030" w:type="dxa"/>
            <w:tcBorders>
              <w:top w:val="single" w:sz="4" w:space="0" w:color="auto"/>
            </w:tcBorders>
            <w:vAlign w:val="center"/>
          </w:tcPr>
          <w:p w:rsidR="00225952" w:rsidRPr="007F3D96" w:rsidRDefault="00225952" w:rsidP="001B457B">
            <w:pPr>
              <w:pStyle w:val="Check1"/>
              <w:jc w:val="left"/>
            </w:pPr>
            <w:r w:rsidRPr="007F3D96">
              <w:t>2.</w:t>
            </w:r>
            <w:r w:rsidRPr="007F3D96">
              <w:tab/>
              <w:t xml:space="preserve">Intersection left-turn and right-turn channelization modifications </w:t>
            </w:r>
            <w:r w:rsidRPr="007F3D96">
              <w:tab/>
              <w:t>required?</w:t>
            </w:r>
          </w:p>
        </w:tc>
        <w:tc>
          <w:tcPr>
            <w:tcW w:w="1170" w:type="dxa"/>
            <w:tcBorders>
              <w:right w:val="single" w:sz="4" w:space="0" w:color="auto"/>
            </w:tcBorders>
          </w:tcPr>
          <w:p w:rsidR="00225952" w:rsidRPr="002635FD" w:rsidRDefault="00225952" w:rsidP="00225952">
            <w:pPr>
              <w:spacing w:after="0"/>
              <w:jc w:val="center"/>
            </w:pPr>
            <w:r>
              <w:rPr>
                <w:noProof/>
              </w:rPr>
              <w:drawing>
                <wp:inline distT="0" distB="0" distL="0" distR="0">
                  <wp:extent cx="462915" cy="154305"/>
                  <wp:effectExtent l="0" t="0" r="0" b="0"/>
                  <wp:docPr id="479" name="Picture 153"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val="restart"/>
            <w:tcBorders>
              <w:left w:val="single" w:sz="4" w:space="0" w:color="auto"/>
              <w:bottom w:val="single" w:sz="4" w:space="0" w:color="auto"/>
              <w:right w:val="nil"/>
            </w:tcBorders>
          </w:tcPr>
          <w:p w:rsidR="00225952" w:rsidRDefault="00225952" w:rsidP="001B457B">
            <w:pPr>
              <w:pStyle w:val="CheckA"/>
              <w:jc w:val="left"/>
            </w:pPr>
            <w:r w:rsidRPr="00F05E1C">
              <w:t>C.</w:t>
            </w:r>
            <w:r w:rsidRPr="00F05E1C">
              <w:tab/>
            </w:r>
            <w:r>
              <w:t xml:space="preserve">Mitigate for Noise Impacts? </w:t>
            </w:r>
          </w:p>
        </w:tc>
        <w:tc>
          <w:tcPr>
            <w:tcW w:w="6030" w:type="dxa"/>
            <w:tcBorders>
              <w:left w:val="nil"/>
              <w:right w:val="nil"/>
            </w:tcBorders>
            <w:vAlign w:val="center"/>
          </w:tcPr>
          <w:p w:rsidR="00225952" w:rsidRPr="007F3D96" w:rsidRDefault="00225952" w:rsidP="001B457B">
            <w:pPr>
              <w:pStyle w:val="Check1"/>
              <w:jc w:val="left"/>
            </w:pPr>
            <w:r w:rsidRPr="007F3D96">
              <w:t>1.</w:t>
            </w:r>
            <w:r w:rsidRPr="007F3D96">
              <w:tab/>
              <w:t>Measures for dealing with noise impacts adequately addressed?</w:t>
            </w:r>
          </w:p>
        </w:tc>
        <w:tc>
          <w:tcPr>
            <w:tcW w:w="1170" w:type="dxa"/>
            <w:tcBorders>
              <w:left w:val="nil"/>
              <w:right w:val="single" w:sz="4" w:space="0" w:color="auto"/>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80" name="Picture 154"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left w:val="single" w:sz="4" w:space="0" w:color="auto"/>
              <w:bottom w:val="single" w:sz="4" w:space="0" w:color="auto"/>
              <w:right w:val="nil"/>
            </w:tcBorders>
          </w:tcPr>
          <w:p w:rsidR="00225952" w:rsidRPr="00F05E1C" w:rsidRDefault="00225952" w:rsidP="001B457B">
            <w:pPr>
              <w:pStyle w:val="CheckA"/>
              <w:jc w:val="left"/>
            </w:pPr>
          </w:p>
        </w:tc>
        <w:tc>
          <w:tcPr>
            <w:tcW w:w="6030" w:type="dxa"/>
            <w:tcBorders>
              <w:left w:val="nil"/>
              <w:right w:val="nil"/>
            </w:tcBorders>
            <w:vAlign w:val="center"/>
          </w:tcPr>
          <w:p w:rsidR="00225952" w:rsidRPr="007F3D96" w:rsidRDefault="00225952" w:rsidP="001B457B">
            <w:pPr>
              <w:pStyle w:val="Check1"/>
              <w:jc w:val="left"/>
            </w:pPr>
            <w:r>
              <w:t xml:space="preserve">2.  </w:t>
            </w:r>
            <w:r w:rsidRPr="003B2638">
              <w:t>Proposed improvements to SIS, FIHS and SHS facilities avoid noise impacts to study area segments or need to study potential noise impacts and associated mitigation for noise-sensitive sites adjacent to these segments?</w:t>
            </w:r>
          </w:p>
        </w:tc>
        <w:tc>
          <w:tcPr>
            <w:tcW w:w="1170" w:type="dxa"/>
            <w:tcBorders>
              <w:left w:val="nil"/>
              <w:right w:val="single" w:sz="4" w:space="0" w:color="auto"/>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81" name="Picture 155"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rPr>
          <w:trHeight w:val="556"/>
        </w:trPr>
        <w:tc>
          <w:tcPr>
            <w:tcW w:w="3150" w:type="dxa"/>
            <w:vMerge w:val="restart"/>
            <w:tcBorders>
              <w:left w:val="single" w:sz="4" w:space="0" w:color="auto"/>
              <w:bottom w:val="single" w:sz="4" w:space="0" w:color="auto"/>
            </w:tcBorders>
          </w:tcPr>
          <w:p w:rsidR="00225952" w:rsidRPr="00F05E1C" w:rsidRDefault="00225952" w:rsidP="001B457B">
            <w:pPr>
              <w:pStyle w:val="CheckA"/>
              <w:jc w:val="left"/>
            </w:pPr>
            <w:r w:rsidRPr="00F05E1C">
              <w:t>D.</w:t>
            </w:r>
            <w:r w:rsidRPr="00F05E1C">
              <w:tab/>
              <w:t xml:space="preserve">Proposed improvements </w:t>
            </w:r>
            <w:r>
              <w:t xml:space="preserve">do not </w:t>
            </w:r>
            <w:r w:rsidRPr="00F05E1C">
              <w:t>have a negative impact on the air quality</w:t>
            </w:r>
            <w:r>
              <w:t xml:space="preserve"> </w:t>
            </w:r>
            <w:r w:rsidRPr="00F05E1C">
              <w:t>conformity status of the overall network?</w:t>
            </w:r>
          </w:p>
        </w:tc>
        <w:tc>
          <w:tcPr>
            <w:tcW w:w="6030" w:type="dxa"/>
            <w:tcBorders>
              <w:bottom w:val="single" w:sz="4" w:space="0" w:color="auto"/>
            </w:tcBorders>
          </w:tcPr>
          <w:p w:rsidR="00225952" w:rsidRPr="007F3D96" w:rsidRDefault="00225952" w:rsidP="001B457B">
            <w:pPr>
              <w:pStyle w:val="Check1"/>
              <w:jc w:val="left"/>
            </w:pPr>
            <w:r w:rsidRPr="007F3D96">
              <w:t>1.</w:t>
            </w:r>
            <w:r w:rsidRPr="007F3D96">
              <w:tab/>
              <w:t>Alternative improvement scenarios proposed if air quality conformity cannot be maintained?</w:t>
            </w:r>
          </w:p>
        </w:tc>
        <w:tc>
          <w:tcPr>
            <w:tcW w:w="1170" w:type="dxa"/>
            <w:tcBorders>
              <w:right w:val="single" w:sz="4" w:space="0" w:color="auto"/>
            </w:tcBorders>
          </w:tcPr>
          <w:p w:rsidR="00225952" w:rsidRPr="002635FD" w:rsidRDefault="00225952" w:rsidP="00225952">
            <w:pPr>
              <w:spacing w:after="0"/>
              <w:jc w:val="center"/>
            </w:pPr>
            <w:r>
              <w:rPr>
                <w:noProof/>
              </w:rPr>
              <w:drawing>
                <wp:inline distT="0" distB="0" distL="0" distR="0">
                  <wp:extent cx="462915" cy="154305"/>
                  <wp:effectExtent l="0" t="0" r="0" b="0"/>
                  <wp:docPr id="482" name="Picture 156"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rPr>
          <w:trHeight w:val="557"/>
        </w:trPr>
        <w:tc>
          <w:tcPr>
            <w:tcW w:w="3150" w:type="dxa"/>
            <w:vMerge/>
            <w:tcBorders>
              <w:left w:val="single" w:sz="4" w:space="0" w:color="auto"/>
              <w:bottom w:val="single" w:sz="4" w:space="0" w:color="auto"/>
            </w:tcBorders>
          </w:tcPr>
          <w:p w:rsidR="00225952" w:rsidRPr="009C28E0" w:rsidRDefault="00225952" w:rsidP="001B457B">
            <w:pPr>
              <w:spacing w:after="0"/>
              <w:ind w:left="342" w:hanging="270"/>
              <w:jc w:val="left"/>
              <w:rPr>
                <w:sz w:val="20"/>
              </w:rPr>
            </w:pPr>
          </w:p>
        </w:tc>
        <w:tc>
          <w:tcPr>
            <w:tcW w:w="6030" w:type="dxa"/>
            <w:tcBorders>
              <w:top w:val="single" w:sz="4" w:space="0" w:color="auto"/>
            </w:tcBorders>
          </w:tcPr>
          <w:p w:rsidR="00225952" w:rsidRPr="007F3D96" w:rsidRDefault="00225952" w:rsidP="001B457B">
            <w:pPr>
              <w:pStyle w:val="Check1"/>
              <w:jc w:val="left"/>
            </w:pPr>
            <w:r w:rsidRPr="007F3D96">
              <w:t>2.</w:t>
            </w:r>
            <w:r w:rsidRPr="007F3D96">
              <w:tab/>
              <w:t>Detailed air quality modeling required on study area segments during project implementation?</w:t>
            </w:r>
          </w:p>
        </w:tc>
        <w:tc>
          <w:tcPr>
            <w:tcW w:w="1170" w:type="dxa"/>
            <w:tcBorders>
              <w:right w:val="single" w:sz="4" w:space="0" w:color="auto"/>
            </w:tcBorders>
          </w:tcPr>
          <w:p w:rsidR="00225952" w:rsidRPr="002635FD" w:rsidRDefault="00225952" w:rsidP="00225952">
            <w:pPr>
              <w:spacing w:after="0"/>
              <w:jc w:val="center"/>
            </w:pPr>
            <w:r>
              <w:rPr>
                <w:noProof/>
              </w:rPr>
              <w:drawing>
                <wp:inline distT="0" distB="0" distL="0" distR="0">
                  <wp:extent cx="462915" cy="154305"/>
                  <wp:effectExtent l="0" t="0" r="0" b="0"/>
                  <wp:docPr id="483" name="Picture 157"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2"/>
            <w:tcBorders>
              <w:right w:val="nil"/>
            </w:tcBorders>
          </w:tcPr>
          <w:p w:rsidR="00225952" w:rsidRPr="009C28E0" w:rsidRDefault="00225952" w:rsidP="001B457B">
            <w:pPr>
              <w:pStyle w:val="CheckA"/>
              <w:jc w:val="left"/>
              <w:rPr>
                <w:sz w:val="18"/>
              </w:rPr>
            </w:pPr>
            <w:r w:rsidRPr="00F05E1C">
              <w:t>E.</w:t>
            </w:r>
            <w:r w:rsidRPr="00F05E1C">
              <w:tab/>
              <w:t>Identified where additional rights-of way includi</w:t>
            </w:r>
            <w:r>
              <w:t xml:space="preserve">ng intersection flareouts, may </w:t>
            </w:r>
            <w:r w:rsidRPr="00F05E1C">
              <w:t>be required for proposed improvements?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84" name="Picture 158"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2"/>
            <w:tcBorders>
              <w:right w:val="nil"/>
            </w:tcBorders>
            <w:shd w:val="clear" w:color="auto" w:fill="DBE5F1"/>
          </w:tcPr>
          <w:p w:rsidR="00225952" w:rsidRPr="009C28E0" w:rsidRDefault="00225952" w:rsidP="00225952">
            <w:pPr>
              <w:spacing w:after="0"/>
              <w:ind w:left="252" w:hanging="252"/>
              <w:rPr>
                <w:sz w:val="18"/>
              </w:rPr>
            </w:pPr>
            <w:r w:rsidRPr="009C28E0">
              <w:rPr>
                <w:b/>
              </w:rPr>
              <w:t>Section G:  Access Management and Median Openings</w:t>
            </w:r>
          </w:p>
        </w:tc>
        <w:tc>
          <w:tcPr>
            <w:tcW w:w="1170" w:type="dxa"/>
            <w:tcBorders>
              <w:left w:val="nil"/>
            </w:tcBorders>
            <w:vAlign w:val="center"/>
          </w:tcPr>
          <w:p w:rsidR="00225952" w:rsidRPr="002635FD" w:rsidRDefault="00225952" w:rsidP="00225952">
            <w:pPr>
              <w:spacing w:after="0"/>
              <w:jc w:val="center"/>
            </w:pPr>
          </w:p>
        </w:tc>
      </w:tr>
      <w:tr w:rsidR="00225952" w:rsidTr="00225952">
        <w:tc>
          <w:tcPr>
            <w:tcW w:w="3150" w:type="dxa"/>
            <w:tcBorders>
              <w:right w:val="nil"/>
            </w:tcBorders>
          </w:tcPr>
          <w:p w:rsidR="00225952" w:rsidRPr="00F05E1C" w:rsidRDefault="00225952" w:rsidP="001B457B">
            <w:pPr>
              <w:pStyle w:val="CheckA"/>
              <w:jc w:val="left"/>
            </w:pPr>
            <w:r w:rsidRPr="00F05E1C">
              <w:t>A.</w:t>
            </w:r>
            <w:r w:rsidRPr="00F05E1C">
              <w:tab/>
              <w:t>Number and general location of proposed points of access identified?</w:t>
            </w:r>
          </w:p>
        </w:tc>
        <w:tc>
          <w:tcPr>
            <w:tcW w:w="6030" w:type="dxa"/>
            <w:tcBorders>
              <w:left w:val="nil"/>
              <w:right w:val="nil"/>
            </w:tcBorders>
            <w:vAlign w:val="center"/>
          </w:tcPr>
          <w:p w:rsidR="00225952" w:rsidRDefault="00225952" w:rsidP="001B457B">
            <w:pPr>
              <w:pStyle w:val="Check1"/>
              <w:jc w:val="left"/>
            </w:pPr>
            <w:r w:rsidRPr="00F05E1C">
              <w:t>1.</w:t>
            </w:r>
            <w:r w:rsidRPr="00F05E1C">
              <w:tab/>
              <w:t>Access points conform to Department</w:t>
            </w:r>
            <w:r>
              <w:t xml:space="preserve"> access and driveway spacing </w:t>
            </w:r>
            <w:r w:rsidRPr="00F05E1C">
              <w:t>standards?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85" name="Picture 159"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tcBorders>
              <w:right w:val="nil"/>
            </w:tcBorders>
          </w:tcPr>
          <w:p w:rsidR="00225952" w:rsidRDefault="00225952" w:rsidP="001B457B">
            <w:pPr>
              <w:pStyle w:val="CheckA"/>
              <w:jc w:val="left"/>
            </w:pPr>
            <w:r w:rsidRPr="00F05E1C">
              <w:t>B.</w:t>
            </w:r>
            <w:r w:rsidRPr="00F05E1C">
              <w:tab/>
              <w:t xml:space="preserve">Joint access </w:t>
            </w:r>
            <w:r>
              <w:t>and connectivity improvements</w:t>
            </w:r>
            <w:r w:rsidRPr="00F05E1C">
              <w:t xml:space="preserve"> with neighboring non-project parcels evaluated?</w:t>
            </w:r>
          </w:p>
        </w:tc>
        <w:tc>
          <w:tcPr>
            <w:tcW w:w="6030" w:type="dxa"/>
            <w:tcBorders>
              <w:left w:val="nil"/>
              <w:right w:val="nil"/>
            </w:tcBorders>
            <w:vAlign w:val="center"/>
          </w:tcPr>
          <w:p w:rsidR="00225952" w:rsidRPr="001454F8" w:rsidRDefault="00225952" w:rsidP="001B457B">
            <w:pPr>
              <w:pStyle w:val="Check1"/>
              <w:jc w:val="left"/>
            </w:pPr>
            <w:r w:rsidRPr="00F05E1C">
              <w:t>1.</w:t>
            </w:r>
            <w:r>
              <w:t xml:space="preserve"> </w:t>
            </w:r>
            <w:r w:rsidRPr="00F05E1C">
              <w:t xml:space="preserve"> </w:t>
            </w:r>
            <w:r w:rsidRPr="007113DF">
              <w:t>Potential</w:t>
            </w:r>
            <w:r w:rsidRPr="00F05E1C">
              <w:t xml:space="preserve"> for shared access among com</w:t>
            </w:r>
            <w:r>
              <w:t xml:space="preserve">mercial developments, including </w:t>
            </w:r>
            <w:r w:rsidRPr="00F05E1C">
              <w:t>alternate access roads sometimes referred to as “fringe roads” or “backage roads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86" name="Picture 160"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2"/>
            <w:tcBorders>
              <w:right w:val="nil"/>
            </w:tcBorders>
          </w:tcPr>
          <w:p w:rsidR="00225952" w:rsidRPr="007113DF" w:rsidRDefault="00225952" w:rsidP="001B457B">
            <w:pPr>
              <w:pStyle w:val="CheckA"/>
              <w:jc w:val="left"/>
            </w:pPr>
            <w:r w:rsidRPr="00F05E1C">
              <w:t>C.</w:t>
            </w:r>
            <w:r w:rsidRPr="00F05E1C">
              <w:tab/>
              <w:t>Reasonable connections between internal proje</w:t>
            </w:r>
            <w:r>
              <w:t xml:space="preserve">ct parcels proposed to provide </w:t>
            </w:r>
            <w:r w:rsidRPr="00F05E1C">
              <w:t xml:space="preserve">complete project traffic circulation </w:t>
            </w:r>
            <w:r>
              <w:t xml:space="preserve">system and minimum demands for </w:t>
            </w:r>
            <w:r w:rsidRPr="00F05E1C">
              <w:t>external driveways or access points?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60" name="Picture 161"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2"/>
            <w:tcBorders>
              <w:right w:val="nil"/>
            </w:tcBorders>
          </w:tcPr>
          <w:p w:rsidR="00225952" w:rsidRPr="007113DF" w:rsidRDefault="00225952" w:rsidP="001B457B">
            <w:pPr>
              <w:pStyle w:val="CheckA"/>
              <w:jc w:val="left"/>
            </w:pPr>
            <w:r w:rsidRPr="00F05E1C">
              <w:t>D.</w:t>
            </w:r>
            <w:r w:rsidRPr="00F05E1C">
              <w:tab/>
              <w:t xml:space="preserve">Can </w:t>
            </w:r>
            <w:r>
              <w:t xml:space="preserve">some </w:t>
            </w:r>
            <w:r w:rsidRPr="00F05E1C">
              <w:t>proposed access points be relocated to side (non-SHS) streets?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61" name="Picture 16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2"/>
            <w:tcBorders>
              <w:right w:val="nil"/>
            </w:tcBorders>
          </w:tcPr>
          <w:p w:rsidR="00225952" w:rsidRDefault="00225952" w:rsidP="001B457B">
            <w:pPr>
              <w:pStyle w:val="CheckA"/>
              <w:jc w:val="left"/>
            </w:pPr>
            <w:r w:rsidRPr="00F05E1C">
              <w:t>E.</w:t>
            </w:r>
            <w:r w:rsidRPr="00F05E1C">
              <w:tab/>
              <w:t xml:space="preserve">Maps provided which show existing median </w:t>
            </w:r>
            <w:r>
              <w:t>openings</w:t>
            </w:r>
            <w:r w:rsidRPr="00F05E1C">
              <w:t xml:space="preserve"> and </w:t>
            </w:r>
            <w:r>
              <w:t xml:space="preserve">major </w:t>
            </w:r>
            <w:r w:rsidRPr="00F05E1C">
              <w:t>driveways?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62" name="Picture 163"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tcBorders>
              <w:right w:val="nil"/>
            </w:tcBorders>
          </w:tcPr>
          <w:p w:rsidR="00225952" w:rsidRDefault="00225952" w:rsidP="001B457B">
            <w:pPr>
              <w:pStyle w:val="CheckA"/>
              <w:jc w:val="left"/>
            </w:pPr>
            <w:r w:rsidRPr="00F05E1C">
              <w:t>F.</w:t>
            </w:r>
            <w:r w:rsidRPr="00F05E1C">
              <w:tab/>
              <w:t>Proposed location(s) of access points relative to</w:t>
            </w:r>
            <w:r>
              <w:t xml:space="preserve"> existing (or proposed) median openings that may</w:t>
            </w:r>
            <w:r w:rsidRPr="00F05E1C">
              <w:t xml:space="preserve"> require signal</w:t>
            </w:r>
            <w:r>
              <w:t>s</w:t>
            </w:r>
            <w:r w:rsidRPr="00F05E1C">
              <w:t>?</w:t>
            </w:r>
          </w:p>
        </w:tc>
        <w:tc>
          <w:tcPr>
            <w:tcW w:w="6030" w:type="dxa"/>
            <w:tcBorders>
              <w:left w:val="nil"/>
              <w:right w:val="nil"/>
            </w:tcBorders>
            <w:vAlign w:val="center"/>
          </w:tcPr>
          <w:p w:rsidR="00225952" w:rsidRPr="001454F8" w:rsidRDefault="00225952" w:rsidP="001B457B">
            <w:pPr>
              <w:pStyle w:val="Check1"/>
              <w:jc w:val="left"/>
            </w:pPr>
            <w:r w:rsidRPr="00F05E1C">
              <w:t>1.</w:t>
            </w:r>
            <w:r w:rsidRPr="00F05E1C">
              <w:tab/>
              <w:t xml:space="preserve">Potential signal locations conform </w:t>
            </w:r>
            <w:r>
              <w:t xml:space="preserve">to Department signal spacing </w:t>
            </w:r>
            <w:r w:rsidRPr="00F05E1C">
              <w:t>standards for the SHS facility type and area type?</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63" name="Picture 164"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954053">
        <w:tc>
          <w:tcPr>
            <w:tcW w:w="3150" w:type="dxa"/>
            <w:tcBorders>
              <w:right w:val="nil"/>
            </w:tcBorders>
            <w:vAlign w:val="center"/>
          </w:tcPr>
          <w:p w:rsidR="00225952" w:rsidRPr="00F05E1C" w:rsidRDefault="00225952" w:rsidP="00954053">
            <w:pPr>
              <w:pStyle w:val="CheckA"/>
              <w:jc w:val="left"/>
            </w:pPr>
            <w:r>
              <w:t>G. Access Management Standards</w:t>
            </w:r>
          </w:p>
        </w:tc>
        <w:tc>
          <w:tcPr>
            <w:tcW w:w="6030" w:type="dxa"/>
            <w:tcBorders>
              <w:left w:val="nil"/>
              <w:right w:val="nil"/>
            </w:tcBorders>
            <w:vAlign w:val="center"/>
          </w:tcPr>
          <w:p w:rsidR="00225952" w:rsidRDefault="00225952" w:rsidP="001B457B">
            <w:pPr>
              <w:pStyle w:val="Check1"/>
              <w:spacing w:before="60" w:after="60"/>
              <w:jc w:val="left"/>
            </w:pPr>
            <w:r>
              <w:t>1</w:t>
            </w:r>
            <w:r w:rsidRPr="00F05E1C">
              <w:t>.</w:t>
            </w:r>
            <w:r w:rsidRPr="00F05E1C">
              <w:tab/>
              <w:t>Review independently verified Access Manage</w:t>
            </w:r>
            <w:r>
              <w:t xml:space="preserve">ment Standards applied in the </w:t>
            </w:r>
            <w:r w:rsidRPr="00F05E1C">
              <w:t>study area are appropriate?</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64" name="Picture 165"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bl>
    <w:p w:rsidR="00225952" w:rsidRDefault="00225952"/>
    <w:p w:rsidR="00225952" w:rsidRDefault="00225952"/>
    <w:p w:rsidR="00225952" w:rsidRDefault="00225952" w:rsidP="00225952">
      <w:pPr>
        <w:pStyle w:val="ResourceNotTOC"/>
        <w:rPr>
          <w:color w:val="auto"/>
        </w:rPr>
        <w:sectPr w:rsidR="00225952" w:rsidSect="00832911">
          <w:headerReference w:type="default" r:id="rId337"/>
          <w:pgSz w:w="12240" w:h="15840"/>
          <w:pgMar w:top="1440" w:right="720" w:bottom="1440" w:left="1152" w:header="720" w:footer="720" w:gutter="0"/>
          <w:cols w:space="720"/>
          <w:docGrid w:linePitch="360"/>
        </w:sect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150"/>
        <w:gridCol w:w="6030"/>
        <w:gridCol w:w="1170"/>
      </w:tblGrid>
      <w:tr w:rsidR="00225952" w:rsidTr="00225952">
        <w:tc>
          <w:tcPr>
            <w:tcW w:w="9180" w:type="dxa"/>
            <w:gridSpan w:val="2"/>
            <w:tcBorders>
              <w:right w:val="nil"/>
            </w:tcBorders>
            <w:shd w:val="clear" w:color="auto" w:fill="DBE5F1"/>
          </w:tcPr>
          <w:p w:rsidR="00225952" w:rsidRPr="001454F8" w:rsidRDefault="00225952" w:rsidP="00225952">
            <w:pPr>
              <w:pStyle w:val="ResourceNotTOC"/>
            </w:pPr>
            <w:r w:rsidRPr="009C28E0">
              <w:rPr>
                <w:color w:val="auto"/>
              </w:rPr>
              <w:lastRenderedPageBreak/>
              <w:t>DRI Checklist 3 |</w:t>
            </w:r>
            <w:r>
              <w:t xml:space="preserve"> ADA Review</w:t>
            </w:r>
          </w:p>
        </w:tc>
        <w:tc>
          <w:tcPr>
            <w:tcW w:w="1170" w:type="dxa"/>
            <w:tcBorders>
              <w:left w:val="nil"/>
            </w:tcBorders>
            <w:vAlign w:val="center"/>
          </w:tcPr>
          <w:p w:rsidR="00225952" w:rsidRPr="002635FD" w:rsidRDefault="00225952" w:rsidP="00225952">
            <w:pPr>
              <w:pStyle w:val="CheckA"/>
              <w:jc w:val="center"/>
            </w:pPr>
            <w:r>
              <w:t>5 of 5</w:t>
            </w:r>
          </w:p>
        </w:tc>
      </w:tr>
      <w:tr w:rsidR="00225952" w:rsidTr="00225952">
        <w:tc>
          <w:tcPr>
            <w:tcW w:w="9180" w:type="dxa"/>
            <w:gridSpan w:val="2"/>
            <w:tcBorders>
              <w:right w:val="nil"/>
            </w:tcBorders>
            <w:shd w:val="clear" w:color="auto" w:fill="DBE5F1"/>
          </w:tcPr>
          <w:p w:rsidR="00225952" w:rsidRPr="009C28E0" w:rsidRDefault="00225952" w:rsidP="00225952">
            <w:pPr>
              <w:spacing w:after="0"/>
              <w:ind w:left="252" w:hanging="252"/>
              <w:rPr>
                <w:sz w:val="18"/>
              </w:rPr>
            </w:pPr>
            <w:r w:rsidRPr="009C28E0">
              <w:rPr>
                <w:b/>
              </w:rPr>
              <w:t>Section H:  Corridor Management Strategies</w:t>
            </w:r>
          </w:p>
        </w:tc>
        <w:tc>
          <w:tcPr>
            <w:tcW w:w="1170" w:type="dxa"/>
            <w:tcBorders>
              <w:left w:val="nil"/>
              <w:bottom w:val="nil"/>
            </w:tcBorders>
            <w:vAlign w:val="center"/>
          </w:tcPr>
          <w:p w:rsidR="00225952" w:rsidRPr="002635FD" w:rsidRDefault="00225952" w:rsidP="00225952">
            <w:pPr>
              <w:spacing w:after="0"/>
              <w:jc w:val="center"/>
            </w:pPr>
            <w:r w:rsidRPr="009C28E0">
              <w:rPr>
                <w:noProof/>
                <w:color w:val="4F6228"/>
                <w:sz w:val="18"/>
              </w:rPr>
              <w:t xml:space="preserve">Y  </w:t>
            </w:r>
            <w:r w:rsidRPr="009C28E0">
              <w:rPr>
                <w:noProof/>
                <w:sz w:val="18"/>
              </w:rPr>
              <w:t xml:space="preserve"> </w:t>
            </w:r>
            <w:r w:rsidRPr="009C28E0">
              <w:rPr>
                <w:noProof/>
                <w:color w:val="C00000"/>
                <w:sz w:val="18"/>
              </w:rPr>
              <w:t>N</w:t>
            </w:r>
            <w:r w:rsidRPr="009C28E0">
              <w:rPr>
                <w:noProof/>
                <w:sz w:val="18"/>
              </w:rPr>
              <w:t xml:space="preserve">  </w:t>
            </w:r>
            <w:r w:rsidRPr="009C28E0">
              <w:rPr>
                <w:noProof/>
                <w:color w:val="7F7F7F"/>
                <w:sz w:val="18"/>
              </w:rPr>
              <w:t>N/A</w:t>
            </w:r>
          </w:p>
        </w:tc>
      </w:tr>
      <w:tr w:rsidR="00225952" w:rsidTr="00225952">
        <w:trPr>
          <w:trHeight w:val="556"/>
        </w:trPr>
        <w:tc>
          <w:tcPr>
            <w:tcW w:w="3150" w:type="dxa"/>
            <w:vMerge w:val="restart"/>
            <w:tcBorders>
              <w:left w:val="single" w:sz="4" w:space="0" w:color="auto"/>
            </w:tcBorders>
          </w:tcPr>
          <w:p w:rsidR="00225952" w:rsidRDefault="00225952" w:rsidP="00954053">
            <w:pPr>
              <w:pStyle w:val="CheckA"/>
              <w:jc w:val="left"/>
            </w:pPr>
            <w:r w:rsidRPr="00F05E1C">
              <w:t>A.</w:t>
            </w:r>
            <w:r w:rsidRPr="00F05E1C">
              <w:tab/>
            </w:r>
            <w:r w:rsidRPr="009C28E0">
              <w:rPr>
                <w:spacing w:val="-2"/>
              </w:rPr>
              <w:t>Commitment to assisting Department or local government in establishment of improved corridor management strategies?</w:t>
            </w:r>
          </w:p>
        </w:tc>
        <w:tc>
          <w:tcPr>
            <w:tcW w:w="6030" w:type="dxa"/>
            <w:tcBorders>
              <w:bottom w:val="single" w:sz="4" w:space="0" w:color="auto"/>
            </w:tcBorders>
          </w:tcPr>
          <w:p w:rsidR="00225952" w:rsidRPr="001454F8" w:rsidRDefault="00225952" w:rsidP="00954053">
            <w:pPr>
              <w:pStyle w:val="Check1"/>
              <w:spacing w:before="120"/>
            </w:pPr>
            <w:r w:rsidRPr="00F05E1C">
              <w:t>1.</w:t>
            </w:r>
            <w:r w:rsidRPr="00F05E1C">
              <w:tab/>
              <w:t xml:space="preserve">Measures to be taken in promoting corridor development </w:t>
            </w:r>
            <w:r>
              <w:t xml:space="preserve">form </w:t>
            </w:r>
            <w:r w:rsidRPr="00F05E1C">
              <w:t>described?</w:t>
            </w:r>
          </w:p>
        </w:tc>
        <w:tc>
          <w:tcPr>
            <w:tcW w:w="1170" w:type="dxa"/>
            <w:tcBorders>
              <w:right w:val="single" w:sz="4" w:space="0" w:color="auto"/>
            </w:tcBorders>
          </w:tcPr>
          <w:p w:rsidR="00225952" w:rsidRPr="002635FD" w:rsidRDefault="00225952" w:rsidP="00225952">
            <w:pPr>
              <w:spacing w:after="0"/>
              <w:jc w:val="center"/>
            </w:pPr>
            <w:r>
              <w:rPr>
                <w:noProof/>
              </w:rPr>
              <w:drawing>
                <wp:inline distT="0" distB="0" distL="0" distR="0">
                  <wp:extent cx="462915" cy="154305"/>
                  <wp:effectExtent l="0" t="0" r="0" b="0"/>
                  <wp:docPr id="165" name="Picture 166"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rPr>
          <w:trHeight w:val="557"/>
        </w:trPr>
        <w:tc>
          <w:tcPr>
            <w:tcW w:w="3150" w:type="dxa"/>
            <w:vMerge/>
            <w:tcBorders>
              <w:top w:val="single" w:sz="4" w:space="0" w:color="auto"/>
              <w:left w:val="single" w:sz="4" w:space="0" w:color="auto"/>
            </w:tcBorders>
          </w:tcPr>
          <w:p w:rsidR="00225952" w:rsidRPr="009C28E0" w:rsidRDefault="00225952" w:rsidP="00225952">
            <w:pPr>
              <w:tabs>
                <w:tab w:val="left" w:pos="360"/>
                <w:tab w:val="left" w:pos="735"/>
              </w:tabs>
              <w:spacing w:after="0" w:line="240" w:lineRule="auto"/>
              <w:rPr>
                <w:sz w:val="20"/>
              </w:rPr>
            </w:pPr>
          </w:p>
        </w:tc>
        <w:tc>
          <w:tcPr>
            <w:tcW w:w="6030" w:type="dxa"/>
            <w:tcBorders>
              <w:top w:val="single" w:sz="4" w:space="0" w:color="auto"/>
            </w:tcBorders>
          </w:tcPr>
          <w:p w:rsidR="00225952" w:rsidRPr="001454F8" w:rsidRDefault="00225952" w:rsidP="00954053">
            <w:pPr>
              <w:pStyle w:val="Check1"/>
              <w:spacing w:before="60"/>
            </w:pPr>
            <w:r w:rsidRPr="00F05E1C">
              <w:t>2.</w:t>
            </w:r>
            <w:r w:rsidRPr="00F05E1C">
              <w:tab/>
            </w:r>
            <w:r>
              <w:t xml:space="preserve">Measures taken to minimize </w:t>
            </w:r>
            <w:r w:rsidRPr="00F05E1C">
              <w:t xml:space="preserve">ROW </w:t>
            </w:r>
            <w:r>
              <w:t>impacts of future improvements to the corridors?</w:t>
            </w:r>
          </w:p>
        </w:tc>
        <w:tc>
          <w:tcPr>
            <w:tcW w:w="1170" w:type="dxa"/>
            <w:tcBorders>
              <w:right w:val="single" w:sz="4" w:space="0" w:color="auto"/>
            </w:tcBorders>
          </w:tcPr>
          <w:p w:rsidR="00225952" w:rsidRPr="002635FD" w:rsidRDefault="00225952" w:rsidP="00225952">
            <w:pPr>
              <w:spacing w:after="0"/>
              <w:jc w:val="center"/>
            </w:pPr>
            <w:r>
              <w:rPr>
                <w:noProof/>
              </w:rPr>
              <w:drawing>
                <wp:inline distT="0" distB="0" distL="0" distR="0">
                  <wp:extent cx="462915" cy="154305"/>
                  <wp:effectExtent l="0" t="0" r="0" b="0"/>
                  <wp:docPr id="166" name="Picture 167"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2"/>
            <w:tcBorders>
              <w:right w:val="nil"/>
            </w:tcBorders>
            <w:shd w:val="clear" w:color="auto" w:fill="DBE5F1"/>
          </w:tcPr>
          <w:p w:rsidR="00225952" w:rsidRPr="009C28E0" w:rsidRDefault="00225952" w:rsidP="00225952">
            <w:pPr>
              <w:spacing w:after="0"/>
              <w:ind w:left="252" w:hanging="252"/>
              <w:rPr>
                <w:sz w:val="18"/>
              </w:rPr>
            </w:pPr>
            <w:r w:rsidRPr="009C28E0">
              <w:rPr>
                <w:b/>
              </w:rPr>
              <w:t>Section I:  Public Transit</w:t>
            </w:r>
          </w:p>
        </w:tc>
        <w:tc>
          <w:tcPr>
            <w:tcW w:w="1170" w:type="dxa"/>
            <w:tcBorders>
              <w:left w:val="nil"/>
            </w:tcBorders>
            <w:vAlign w:val="center"/>
          </w:tcPr>
          <w:p w:rsidR="00225952" w:rsidRPr="002635FD" w:rsidRDefault="00225952" w:rsidP="00225952">
            <w:pPr>
              <w:spacing w:after="0"/>
              <w:jc w:val="center"/>
            </w:pPr>
          </w:p>
        </w:tc>
      </w:tr>
      <w:tr w:rsidR="00225952" w:rsidTr="00225952">
        <w:tc>
          <w:tcPr>
            <w:tcW w:w="9180" w:type="dxa"/>
            <w:gridSpan w:val="2"/>
            <w:tcBorders>
              <w:right w:val="nil"/>
            </w:tcBorders>
          </w:tcPr>
          <w:p w:rsidR="00225952" w:rsidRPr="009C28E0" w:rsidRDefault="00225952" w:rsidP="00954053">
            <w:pPr>
              <w:pStyle w:val="CheckA"/>
              <w:jc w:val="left"/>
              <w:rPr>
                <w:sz w:val="18"/>
              </w:rPr>
            </w:pPr>
            <w:r w:rsidRPr="00F05E1C">
              <w:t>A.</w:t>
            </w:r>
            <w:r w:rsidRPr="00F05E1C">
              <w:tab/>
              <w:t>If mode split assumed per Section E response, m</w:t>
            </w:r>
            <w:r>
              <w:t xml:space="preserve">easures to be incorporated in </w:t>
            </w:r>
            <w:r w:rsidRPr="00F05E1C">
              <w:t>development’s design and implementation</w:t>
            </w:r>
            <w:r>
              <w:t xml:space="preserve"> supporting these mode choices </w:t>
            </w:r>
            <w:r w:rsidRPr="00F05E1C">
              <w:t>identified? See sections A, J and K</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67" name="Picture 168"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2"/>
            <w:tcBorders>
              <w:right w:val="nil"/>
            </w:tcBorders>
            <w:shd w:val="clear" w:color="auto" w:fill="DBE5F1"/>
          </w:tcPr>
          <w:p w:rsidR="00225952" w:rsidRPr="009C28E0" w:rsidRDefault="00225952" w:rsidP="00225952">
            <w:pPr>
              <w:spacing w:after="0"/>
              <w:ind w:left="252" w:hanging="252"/>
              <w:rPr>
                <w:sz w:val="18"/>
              </w:rPr>
            </w:pPr>
            <w:r w:rsidRPr="009C28E0">
              <w:rPr>
                <w:b/>
              </w:rPr>
              <w:t>Section J:  Multimodal Access to Surrounding Community</w:t>
            </w:r>
          </w:p>
        </w:tc>
        <w:tc>
          <w:tcPr>
            <w:tcW w:w="1170" w:type="dxa"/>
            <w:tcBorders>
              <w:left w:val="nil"/>
            </w:tcBorders>
            <w:vAlign w:val="center"/>
          </w:tcPr>
          <w:p w:rsidR="00225952" w:rsidRPr="002635FD" w:rsidRDefault="00225952" w:rsidP="00225952">
            <w:pPr>
              <w:spacing w:after="0"/>
              <w:jc w:val="center"/>
            </w:pPr>
          </w:p>
        </w:tc>
      </w:tr>
      <w:tr w:rsidR="00225952" w:rsidTr="00225952">
        <w:tc>
          <w:tcPr>
            <w:tcW w:w="3150" w:type="dxa"/>
            <w:vMerge w:val="restart"/>
            <w:tcBorders>
              <w:right w:val="nil"/>
            </w:tcBorders>
          </w:tcPr>
          <w:p w:rsidR="00225952" w:rsidRPr="00F05E1C" w:rsidRDefault="00225952" w:rsidP="00954053">
            <w:pPr>
              <w:pStyle w:val="CheckA"/>
              <w:jc w:val="left"/>
            </w:pPr>
            <w:r>
              <w:t>A.  Connectivity</w:t>
            </w:r>
          </w:p>
        </w:tc>
        <w:tc>
          <w:tcPr>
            <w:tcW w:w="6030" w:type="dxa"/>
            <w:tcBorders>
              <w:left w:val="nil"/>
              <w:right w:val="nil"/>
            </w:tcBorders>
            <w:vAlign w:val="center"/>
          </w:tcPr>
          <w:p w:rsidR="00225952" w:rsidRPr="001454F8" w:rsidRDefault="00225952" w:rsidP="00954053">
            <w:pPr>
              <w:pStyle w:val="Check1"/>
              <w:jc w:val="left"/>
            </w:pPr>
            <w:r>
              <w:t xml:space="preserve">1.  </w:t>
            </w:r>
            <w:r w:rsidRPr="00841FC5">
              <w:t xml:space="preserve">Inventory and document the degree of connectivity to activity centers (areas with destinations such as schools, shopping, recreational facilities, and other points of attraction). </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68" name="Picture 169"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Default="00225952" w:rsidP="00954053">
            <w:pPr>
              <w:pStyle w:val="CheckA"/>
              <w:jc w:val="left"/>
            </w:pPr>
          </w:p>
        </w:tc>
        <w:tc>
          <w:tcPr>
            <w:tcW w:w="6030" w:type="dxa"/>
            <w:tcBorders>
              <w:left w:val="nil"/>
              <w:right w:val="nil"/>
            </w:tcBorders>
            <w:vAlign w:val="center"/>
          </w:tcPr>
          <w:p w:rsidR="00225952" w:rsidRPr="00841FC5" w:rsidRDefault="00225952" w:rsidP="00954053">
            <w:pPr>
              <w:pStyle w:val="Check1"/>
              <w:jc w:val="left"/>
            </w:pPr>
            <w:r>
              <w:t xml:space="preserve">2.  </w:t>
            </w:r>
            <w:r w:rsidRPr="00841FC5">
              <w:t>Include crossing features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69" name="Picture 170"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Default="00225952" w:rsidP="00954053">
            <w:pPr>
              <w:pStyle w:val="CheckA"/>
              <w:jc w:val="left"/>
            </w:pPr>
          </w:p>
        </w:tc>
        <w:tc>
          <w:tcPr>
            <w:tcW w:w="6030" w:type="dxa"/>
            <w:tcBorders>
              <w:left w:val="nil"/>
              <w:right w:val="nil"/>
            </w:tcBorders>
            <w:vAlign w:val="center"/>
          </w:tcPr>
          <w:p w:rsidR="00225952" w:rsidRDefault="00225952" w:rsidP="00954053">
            <w:pPr>
              <w:pStyle w:val="Check1"/>
              <w:jc w:val="left"/>
            </w:pPr>
            <w:r>
              <w:t>3.  O</w:t>
            </w:r>
            <w:r w:rsidRPr="00841FC5">
              <w:t>ther features (lighting, visibility, medians, pavement markings) related to pedestrian/bicycle safety at each intersection</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70" name="Picture 171"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tcBorders>
              <w:right w:val="nil"/>
            </w:tcBorders>
          </w:tcPr>
          <w:p w:rsidR="00225952" w:rsidRDefault="00225952" w:rsidP="00954053">
            <w:pPr>
              <w:pStyle w:val="CheckA"/>
              <w:jc w:val="left"/>
            </w:pPr>
            <w:r>
              <w:t>B.  Pedestrian and Bicycle Facilities</w:t>
            </w:r>
          </w:p>
        </w:tc>
        <w:tc>
          <w:tcPr>
            <w:tcW w:w="6030" w:type="dxa"/>
            <w:tcBorders>
              <w:left w:val="nil"/>
              <w:right w:val="nil"/>
            </w:tcBorders>
            <w:vAlign w:val="center"/>
          </w:tcPr>
          <w:p w:rsidR="00225952" w:rsidRPr="001454F8" w:rsidRDefault="00225952" w:rsidP="00954053">
            <w:pPr>
              <w:pStyle w:val="Check1"/>
              <w:jc w:val="left"/>
            </w:pPr>
            <w:r>
              <w:t xml:space="preserve">1.  </w:t>
            </w:r>
            <w:r w:rsidRPr="00841FC5">
              <w:t>Identify all pedestrian and bicycle facilities, including sidewalks shared roadways, signed-shared roadways, bike lanes, or shared-use paths that lie within the site access area, as designated in the [City/County pedestrian/bicycle plan].  Identify gaps in the system</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71" name="Picture 17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2"/>
            <w:tcBorders>
              <w:right w:val="nil"/>
            </w:tcBorders>
          </w:tcPr>
          <w:p w:rsidR="00225952" w:rsidRDefault="00225952" w:rsidP="00954053">
            <w:pPr>
              <w:pStyle w:val="CheckA"/>
              <w:jc w:val="left"/>
            </w:pPr>
            <w:r>
              <w:t xml:space="preserve">C.  </w:t>
            </w:r>
            <w:r w:rsidRPr="00841FC5">
              <w:t xml:space="preserve">Identify specific transportation network improvements needed to provide safe and efficient pedestrian and bicycle access </w:t>
            </w:r>
            <w:r>
              <w:t>from</w:t>
            </w:r>
            <w:r w:rsidRPr="00841FC5">
              <w:t xml:space="preserve"> the project to activity centers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72" name="Picture 173"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val="restart"/>
            <w:tcBorders>
              <w:right w:val="nil"/>
            </w:tcBorders>
          </w:tcPr>
          <w:p w:rsidR="00225952" w:rsidRDefault="00225952" w:rsidP="00954053">
            <w:pPr>
              <w:pStyle w:val="CheckA"/>
              <w:jc w:val="left"/>
            </w:pPr>
            <w:r w:rsidRPr="00DC2D23">
              <w:t xml:space="preserve">D.  Transit Service </w:t>
            </w:r>
          </w:p>
          <w:p w:rsidR="00225952" w:rsidRPr="00F05E1C" w:rsidRDefault="00225952" w:rsidP="00954053">
            <w:pPr>
              <w:pStyle w:val="CheckA"/>
              <w:jc w:val="left"/>
            </w:pPr>
            <w:r>
              <w:tab/>
            </w:r>
            <w:r w:rsidRPr="00841FC5">
              <w:t>Inventory and document the availability of public and private transit service along routes to activity centers within the study area or a minimum of 5 miles from the DRI, whichever is further, including</w:t>
            </w:r>
            <w:r>
              <w:t>:</w:t>
            </w:r>
          </w:p>
        </w:tc>
        <w:tc>
          <w:tcPr>
            <w:tcW w:w="6030" w:type="dxa"/>
            <w:tcBorders>
              <w:left w:val="nil"/>
              <w:right w:val="nil"/>
            </w:tcBorders>
            <w:vAlign w:val="center"/>
          </w:tcPr>
          <w:p w:rsidR="00225952" w:rsidRPr="001454F8" w:rsidRDefault="00225952" w:rsidP="00954053">
            <w:pPr>
              <w:pStyle w:val="Check1"/>
              <w:jc w:val="left"/>
            </w:pPr>
            <w:r>
              <w:t xml:space="preserve">1.  </w:t>
            </w:r>
            <w:r w:rsidRPr="00841FC5">
              <w:t>Location of bus routes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73" name="Picture 174"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9C28E0" w:rsidRDefault="00225952" w:rsidP="00954053">
            <w:pPr>
              <w:tabs>
                <w:tab w:val="left" w:pos="360"/>
                <w:tab w:val="left" w:pos="735"/>
              </w:tabs>
              <w:spacing w:after="0" w:line="240" w:lineRule="auto"/>
              <w:jc w:val="left"/>
              <w:rPr>
                <w:sz w:val="20"/>
              </w:rPr>
            </w:pPr>
          </w:p>
        </w:tc>
        <w:tc>
          <w:tcPr>
            <w:tcW w:w="6030" w:type="dxa"/>
            <w:tcBorders>
              <w:left w:val="nil"/>
              <w:right w:val="nil"/>
            </w:tcBorders>
            <w:vAlign w:val="center"/>
          </w:tcPr>
          <w:p w:rsidR="00225952" w:rsidRPr="00841FC5" w:rsidRDefault="00225952" w:rsidP="00954053">
            <w:pPr>
              <w:pStyle w:val="Check1"/>
              <w:jc w:val="left"/>
            </w:pPr>
            <w:r>
              <w:t xml:space="preserve">2.  </w:t>
            </w:r>
            <w:r w:rsidRPr="00841FC5">
              <w:t>Frequency of service</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74" name="Picture 175"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9C28E0" w:rsidRDefault="00225952" w:rsidP="00954053">
            <w:pPr>
              <w:tabs>
                <w:tab w:val="left" w:pos="360"/>
                <w:tab w:val="left" w:pos="735"/>
              </w:tabs>
              <w:spacing w:after="0" w:line="240" w:lineRule="auto"/>
              <w:jc w:val="left"/>
              <w:rPr>
                <w:sz w:val="20"/>
              </w:rPr>
            </w:pPr>
          </w:p>
        </w:tc>
        <w:tc>
          <w:tcPr>
            <w:tcW w:w="6030" w:type="dxa"/>
            <w:tcBorders>
              <w:left w:val="nil"/>
              <w:right w:val="nil"/>
            </w:tcBorders>
            <w:vAlign w:val="center"/>
          </w:tcPr>
          <w:p w:rsidR="00225952" w:rsidRPr="00841FC5" w:rsidRDefault="00225952" w:rsidP="00954053">
            <w:pPr>
              <w:pStyle w:val="Check1"/>
              <w:jc w:val="left"/>
            </w:pPr>
            <w:r>
              <w:t xml:space="preserve">3.  </w:t>
            </w:r>
            <w:r w:rsidRPr="00841FC5">
              <w:t>Hours of operation</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75" name="Picture 176"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9C28E0" w:rsidRDefault="00225952" w:rsidP="00954053">
            <w:pPr>
              <w:tabs>
                <w:tab w:val="left" w:pos="360"/>
                <w:tab w:val="left" w:pos="735"/>
              </w:tabs>
              <w:spacing w:after="0" w:line="240" w:lineRule="auto"/>
              <w:jc w:val="left"/>
              <w:rPr>
                <w:sz w:val="20"/>
              </w:rPr>
            </w:pPr>
          </w:p>
        </w:tc>
        <w:tc>
          <w:tcPr>
            <w:tcW w:w="6030" w:type="dxa"/>
            <w:tcBorders>
              <w:left w:val="nil"/>
              <w:right w:val="nil"/>
            </w:tcBorders>
            <w:vAlign w:val="center"/>
          </w:tcPr>
          <w:p w:rsidR="00225952" w:rsidRPr="00841FC5" w:rsidRDefault="00225952" w:rsidP="00954053">
            <w:pPr>
              <w:pStyle w:val="Check1"/>
              <w:jc w:val="left"/>
            </w:pPr>
            <w:r>
              <w:t xml:space="preserve">4.  </w:t>
            </w:r>
            <w:r w:rsidRPr="00841FC5">
              <w:t>Exis</w:t>
            </w:r>
            <w:r>
              <w:t>ting peak hour load factors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76" name="Picture 177"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9C28E0" w:rsidRDefault="00225952" w:rsidP="00954053">
            <w:pPr>
              <w:tabs>
                <w:tab w:val="left" w:pos="360"/>
                <w:tab w:val="left" w:pos="735"/>
              </w:tabs>
              <w:spacing w:after="0" w:line="240" w:lineRule="auto"/>
              <w:jc w:val="left"/>
              <w:rPr>
                <w:sz w:val="20"/>
              </w:rPr>
            </w:pPr>
          </w:p>
        </w:tc>
        <w:tc>
          <w:tcPr>
            <w:tcW w:w="6030" w:type="dxa"/>
            <w:tcBorders>
              <w:left w:val="nil"/>
              <w:right w:val="nil"/>
            </w:tcBorders>
            <w:vAlign w:val="center"/>
          </w:tcPr>
          <w:p w:rsidR="00225952" w:rsidRPr="00841FC5" w:rsidRDefault="00225952" w:rsidP="00954053">
            <w:pPr>
              <w:pStyle w:val="Check1"/>
              <w:jc w:val="left"/>
            </w:pPr>
            <w:r>
              <w:t>5.  Bus stops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77" name="Picture 178"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9C28E0" w:rsidRDefault="00225952" w:rsidP="00954053">
            <w:pPr>
              <w:tabs>
                <w:tab w:val="left" w:pos="360"/>
                <w:tab w:val="left" w:pos="735"/>
              </w:tabs>
              <w:spacing w:after="0" w:line="240" w:lineRule="auto"/>
              <w:jc w:val="left"/>
              <w:rPr>
                <w:sz w:val="20"/>
              </w:rPr>
            </w:pPr>
          </w:p>
        </w:tc>
        <w:tc>
          <w:tcPr>
            <w:tcW w:w="6030" w:type="dxa"/>
            <w:tcBorders>
              <w:left w:val="nil"/>
              <w:right w:val="nil"/>
            </w:tcBorders>
            <w:vAlign w:val="center"/>
          </w:tcPr>
          <w:p w:rsidR="00225952" w:rsidRPr="00841FC5" w:rsidRDefault="00225952" w:rsidP="00954053">
            <w:pPr>
              <w:pStyle w:val="Check1"/>
              <w:jc w:val="left"/>
            </w:pPr>
            <w:r>
              <w:t xml:space="preserve">6.  </w:t>
            </w:r>
            <w:r w:rsidRPr="00841FC5">
              <w:t>Amenities (concrete pad, bench, bus shelter and connectivity to the sidewalk network) at existing and programmed bus stops.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78" name="Picture 179"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9C28E0" w:rsidRDefault="00225952" w:rsidP="00954053">
            <w:pPr>
              <w:tabs>
                <w:tab w:val="left" w:pos="360"/>
                <w:tab w:val="left" w:pos="735"/>
              </w:tabs>
              <w:spacing w:after="0" w:line="240" w:lineRule="auto"/>
              <w:jc w:val="left"/>
              <w:rPr>
                <w:sz w:val="20"/>
              </w:rPr>
            </w:pPr>
          </w:p>
        </w:tc>
        <w:tc>
          <w:tcPr>
            <w:tcW w:w="6030" w:type="dxa"/>
            <w:tcBorders>
              <w:left w:val="nil"/>
              <w:right w:val="nil"/>
            </w:tcBorders>
            <w:vAlign w:val="center"/>
          </w:tcPr>
          <w:p w:rsidR="00225952" w:rsidRPr="00841FC5" w:rsidRDefault="00225952" w:rsidP="00954053">
            <w:pPr>
              <w:pStyle w:val="Check1"/>
              <w:jc w:val="left"/>
            </w:pPr>
            <w:r>
              <w:t xml:space="preserve">7.  </w:t>
            </w:r>
            <w:r w:rsidRPr="00841FC5">
              <w:t>The inventory must also include lighting features (overhead streetlights) at transit stops</w:t>
            </w:r>
            <w:r>
              <w:t>, crosswalks</w:t>
            </w:r>
            <w:r w:rsidRPr="00841FC5">
              <w:t xml:space="preserve"> and nearby parking areas, as well as availability</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79" name="Picture 180"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9C28E0" w:rsidRDefault="00225952" w:rsidP="00954053">
            <w:pPr>
              <w:tabs>
                <w:tab w:val="left" w:pos="360"/>
                <w:tab w:val="left" w:pos="735"/>
              </w:tabs>
              <w:spacing w:after="0" w:line="240" w:lineRule="auto"/>
              <w:jc w:val="left"/>
              <w:rPr>
                <w:sz w:val="20"/>
              </w:rPr>
            </w:pPr>
          </w:p>
        </w:tc>
        <w:tc>
          <w:tcPr>
            <w:tcW w:w="6030" w:type="dxa"/>
            <w:tcBorders>
              <w:left w:val="nil"/>
              <w:right w:val="nil"/>
            </w:tcBorders>
            <w:vAlign w:val="center"/>
          </w:tcPr>
          <w:p w:rsidR="00225952" w:rsidRDefault="00225952" w:rsidP="00954053">
            <w:pPr>
              <w:pStyle w:val="Check1"/>
              <w:jc w:val="left"/>
            </w:pPr>
            <w:r>
              <w:t>8.  P</w:t>
            </w:r>
            <w:r w:rsidRPr="00841FC5">
              <w:t>osting of schedules or real-time transit information</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80" name="Picture 181"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tcBorders>
              <w:right w:val="nil"/>
            </w:tcBorders>
          </w:tcPr>
          <w:p w:rsidR="00225952" w:rsidRDefault="00225952" w:rsidP="00954053">
            <w:pPr>
              <w:pStyle w:val="CheckA"/>
              <w:jc w:val="left"/>
            </w:pPr>
            <w:r>
              <w:t>E.  Transit Facility Improvements</w:t>
            </w:r>
          </w:p>
        </w:tc>
        <w:tc>
          <w:tcPr>
            <w:tcW w:w="6030" w:type="dxa"/>
            <w:tcBorders>
              <w:left w:val="nil"/>
              <w:right w:val="nil"/>
            </w:tcBorders>
            <w:vAlign w:val="center"/>
          </w:tcPr>
          <w:p w:rsidR="00225952" w:rsidRPr="001454F8" w:rsidRDefault="00225952" w:rsidP="00954053">
            <w:pPr>
              <w:pStyle w:val="Check1"/>
              <w:jc w:val="left"/>
            </w:pPr>
            <w:r>
              <w:t xml:space="preserve">1.  </w:t>
            </w:r>
            <w:r w:rsidRPr="00841FC5">
              <w:t xml:space="preserve">List specific transit facility improvements contained in the adopted [long range transportation plan, transit development plan or public transit-human services coordinated transportation plan] that address safe and efficient transit access from the proposed </w:t>
            </w:r>
            <w:r>
              <w:t>development to activity centers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81" name="Picture 18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2"/>
            <w:tcBorders>
              <w:right w:val="nil"/>
            </w:tcBorders>
          </w:tcPr>
          <w:p w:rsidR="00225952" w:rsidRDefault="00225952" w:rsidP="00954053">
            <w:pPr>
              <w:pStyle w:val="CheckA"/>
              <w:jc w:val="left"/>
            </w:pPr>
            <w:r>
              <w:t>F.  Identify</w:t>
            </w:r>
            <w:r w:rsidRPr="00841FC5">
              <w:t xml:space="preserve"> specific transit-related facilities needed to provide access to existing or planned transit service</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82" name="Picture 183"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2"/>
            <w:tcBorders>
              <w:right w:val="nil"/>
            </w:tcBorders>
          </w:tcPr>
          <w:p w:rsidR="00225952" w:rsidRPr="005F7162" w:rsidRDefault="00225952" w:rsidP="00954053">
            <w:pPr>
              <w:pStyle w:val="CheckA"/>
              <w:jc w:val="left"/>
            </w:pPr>
            <w:r>
              <w:t xml:space="preserve">G.  </w:t>
            </w:r>
            <w:r w:rsidRPr="00841FC5">
              <w:t>Minimize</w:t>
            </w:r>
            <w:r>
              <w:t>s</w:t>
            </w:r>
            <w:r w:rsidRPr="00841FC5">
              <w:t xml:space="preserve"> vehicular, transit, bicycle, or pedestrian conflicts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83" name="Picture 184"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2"/>
            <w:tcBorders>
              <w:right w:val="nil"/>
            </w:tcBorders>
            <w:shd w:val="clear" w:color="auto" w:fill="DBE5F1"/>
          </w:tcPr>
          <w:p w:rsidR="00225952" w:rsidRPr="009C28E0" w:rsidRDefault="00225952" w:rsidP="00954053">
            <w:pPr>
              <w:spacing w:after="0"/>
              <w:ind w:left="252" w:hanging="252"/>
              <w:jc w:val="left"/>
              <w:rPr>
                <w:sz w:val="18"/>
              </w:rPr>
            </w:pPr>
            <w:r w:rsidRPr="009C28E0">
              <w:rPr>
                <w:b/>
              </w:rPr>
              <w:t>Section K: Concurrency Alternatives</w:t>
            </w:r>
          </w:p>
        </w:tc>
        <w:tc>
          <w:tcPr>
            <w:tcW w:w="1170" w:type="dxa"/>
            <w:tcBorders>
              <w:left w:val="nil"/>
            </w:tcBorders>
            <w:vAlign w:val="center"/>
          </w:tcPr>
          <w:p w:rsidR="00225952" w:rsidRPr="002635FD" w:rsidRDefault="00225952" w:rsidP="00225952">
            <w:pPr>
              <w:spacing w:after="0"/>
              <w:jc w:val="center"/>
            </w:pPr>
          </w:p>
        </w:tc>
      </w:tr>
      <w:tr w:rsidR="00225952" w:rsidTr="00225952">
        <w:tc>
          <w:tcPr>
            <w:tcW w:w="9180" w:type="dxa"/>
            <w:gridSpan w:val="2"/>
            <w:tcBorders>
              <w:right w:val="nil"/>
            </w:tcBorders>
          </w:tcPr>
          <w:p w:rsidR="00225952" w:rsidRPr="001454F8" w:rsidRDefault="00225952" w:rsidP="00954053">
            <w:pPr>
              <w:pStyle w:val="CheckA"/>
              <w:jc w:val="left"/>
            </w:pPr>
            <w:r>
              <w:t xml:space="preserve">A.  </w:t>
            </w:r>
            <w:r w:rsidRPr="00841FC5">
              <w:t>Is the project within a transportation concurrency exception area (TCEA) and in compliance with the requirements of the TCEA?</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84" name="Picture 185"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2"/>
            <w:tcBorders>
              <w:right w:val="nil"/>
            </w:tcBorders>
          </w:tcPr>
          <w:p w:rsidR="00225952" w:rsidRPr="001454F8" w:rsidRDefault="00225952" w:rsidP="00954053">
            <w:pPr>
              <w:pStyle w:val="CheckA"/>
              <w:jc w:val="left"/>
            </w:pPr>
            <w:r>
              <w:t xml:space="preserve">B.  </w:t>
            </w:r>
            <w:r w:rsidRPr="00841FC5">
              <w:t>Is the project within a multimodal transportation district (MMTD) and in compliance with the requirements?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85" name="Picture 186"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10350" w:type="dxa"/>
            <w:gridSpan w:val="3"/>
          </w:tcPr>
          <w:p w:rsidR="00225952" w:rsidRDefault="00225952" w:rsidP="003A266F">
            <w:pPr>
              <w:pStyle w:val="ResourceNotTOC"/>
              <w:spacing w:before="0" w:after="0"/>
              <w:jc w:val="right"/>
            </w:pPr>
            <w:r>
              <w:t>5 of 5</w:t>
            </w:r>
          </w:p>
        </w:tc>
      </w:tr>
    </w:tbl>
    <w:p w:rsidR="00954053" w:rsidRDefault="00954053" w:rsidP="00954053">
      <w:pPr>
        <w:jc w:val="center"/>
        <w:rPr>
          <w:b/>
          <w:color w:val="D9D9D9" w:themeColor="background1" w:themeShade="D9"/>
          <w:sz w:val="96"/>
          <w:szCs w:val="96"/>
        </w:rPr>
      </w:pPr>
    </w:p>
    <w:p w:rsidR="00954053" w:rsidRDefault="00954053" w:rsidP="00954053">
      <w:pPr>
        <w:jc w:val="center"/>
      </w:pPr>
      <w:r w:rsidRPr="004B5E07">
        <w:rPr>
          <w:b/>
          <w:color w:val="D9D9D9" w:themeColor="background1" w:themeShade="D9"/>
          <w:sz w:val="96"/>
          <w:szCs w:val="96"/>
        </w:rPr>
        <w:t>Blank Page</w:t>
      </w:r>
    </w:p>
    <w:p w:rsidR="00225952" w:rsidRDefault="00225952" w:rsidP="00225952"/>
    <w:p w:rsidR="00225952" w:rsidRDefault="00225952" w:rsidP="00225952">
      <w:pPr>
        <w:sectPr w:rsidR="00225952" w:rsidSect="00832911">
          <w:pgSz w:w="12240" w:h="15840"/>
          <w:pgMar w:top="1440" w:right="720" w:bottom="1440" w:left="1152" w:header="720" w:footer="720" w:gutter="0"/>
          <w:cols w:space="720"/>
          <w:docGrid w:linePitch="360"/>
        </w:sectPr>
      </w:pPr>
      <w:r>
        <w:br w:type="page"/>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150"/>
        <w:gridCol w:w="2340"/>
        <w:gridCol w:w="2160"/>
        <w:gridCol w:w="1530"/>
        <w:gridCol w:w="1170"/>
      </w:tblGrid>
      <w:tr w:rsidR="00225952" w:rsidTr="00EB5829">
        <w:tc>
          <w:tcPr>
            <w:tcW w:w="10350" w:type="dxa"/>
            <w:gridSpan w:val="5"/>
            <w:shd w:val="clear" w:color="auto" w:fill="31849B" w:themeFill="accent5" w:themeFillShade="BF"/>
          </w:tcPr>
          <w:p w:rsidR="00225952" w:rsidRPr="00EB5829" w:rsidRDefault="00225952" w:rsidP="00EB5829">
            <w:pPr>
              <w:pStyle w:val="Heading2"/>
              <w:spacing w:before="0" w:after="0"/>
              <w:rPr>
                <w:rFonts w:ascii="Trebuchet MS" w:hAnsi="Trebuchet MS"/>
              </w:rPr>
            </w:pPr>
            <w:bookmarkStart w:id="307" w:name="C4"/>
            <w:bookmarkStart w:id="308" w:name="_Toc264274168"/>
            <w:bookmarkEnd w:id="307"/>
            <w:r w:rsidRPr="00EB5829">
              <w:rPr>
                <w:rFonts w:ascii="Trebuchet MS" w:hAnsi="Trebuchet MS"/>
                <w:color w:val="000000" w:themeColor="text1"/>
              </w:rPr>
              <w:lastRenderedPageBreak/>
              <w:t>DRI Checklist 4 |</w:t>
            </w:r>
            <w:r w:rsidRPr="00EB5829">
              <w:rPr>
                <w:rFonts w:ascii="Trebuchet MS" w:hAnsi="Trebuchet MS"/>
              </w:rPr>
              <w:t xml:space="preserve"> </w:t>
            </w:r>
            <w:r w:rsidRPr="00EB5829">
              <w:rPr>
                <w:rFonts w:ascii="Trebuchet MS" w:hAnsi="Trebuchet MS"/>
                <w:color w:val="FFFFFF" w:themeColor="background1"/>
              </w:rPr>
              <w:t>DO Review</w:t>
            </w:r>
            <w:bookmarkEnd w:id="308"/>
          </w:p>
        </w:tc>
      </w:tr>
      <w:tr w:rsidR="00225952" w:rsidTr="00225952">
        <w:tc>
          <w:tcPr>
            <w:tcW w:w="3150" w:type="dxa"/>
            <w:tcBorders>
              <w:right w:val="nil"/>
            </w:tcBorders>
          </w:tcPr>
          <w:p w:rsidR="00225952" w:rsidRPr="009C28E0" w:rsidRDefault="00225952" w:rsidP="00225952">
            <w:pPr>
              <w:spacing w:after="0"/>
              <w:rPr>
                <w:i/>
                <w:sz w:val="18"/>
              </w:rPr>
            </w:pPr>
            <w:r w:rsidRPr="009C28E0">
              <w:rPr>
                <w:i/>
                <w:sz w:val="18"/>
              </w:rPr>
              <w:t>Project</w:t>
            </w:r>
          </w:p>
        </w:tc>
        <w:tc>
          <w:tcPr>
            <w:tcW w:w="4500" w:type="dxa"/>
            <w:gridSpan w:val="2"/>
            <w:tcBorders>
              <w:left w:val="nil"/>
              <w:right w:val="nil"/>
            </w:tcBorders>
          </w:tcPr>
          <w:p w:rsidR="00225952" w:rsidRPr="009C28E0" w:rsidRDefault="00225952" w:rsidP="00225952">
            <w:pPr>
              <w:spacing w:after="0"/>
              <w:rPr>
                <w:i/>
                <w:sz w:val="18"/>
              </w:rPr>
            </w:pPr>
            <w:r w:rsidRPr="009C28E0">
              <w:rPr>
                <w:i/>
                <w:sz w:val="18"/>
              </w:rPr>
              <w:t>Reviewer</w:t>
            </w:r>
          </w:p>
        </w:tc>
        <w:tc>
          <w:tcPr>
            <w:tcW w:w="2700" w:type="dxa"/>
            <w:gridSpan w:val="2"/>
            <w:tcBorders>
              <w:left w:val="nil"/>
            </w:tcBorders>
          </w:tcPr>
          <w:p w:rsidR="00225952" w:rsidRPr="009C28E0" w:rsidRDefault="00225952" w:rsidP="00225952">
            <w:pPr>
              <w:spacing w:after="0"/>
              <w:rPr>
                <w:i/>
                <w:sz w:val="18"/>
              </w:rPr>
            </w:pPr>
            <w:r w:rsidRPr="009C28E0">
              <w:rPr>
                <w:i/>
                <w:sz w:val="18"/>
              </w:rPr>
              <w:t>Date of Review:</w:t>
            </w:r>
          </w:p>
          <w:p w:rsidR="00225952" w:rsidRPr="009C28E0" w:rsidRDefault="00225952" w:rsidP="00225952">
            <w:pPr>
              <w:spacing w:after="0"/>
              <w:rPr>
                <w:i/>
                <w:sz w:val="18"/>
              </w:rPr>
            </w:pPr>
            <w:r w:rsidRPr="009C28E0">
              <w:rPr>
                <w:i/>
                <w:sz w:val="18"/>
              </w:rPr>
              <w:t>Comments Due:</w:t>
            </w:r>
          </w:p>
        </w:tc>
      </w:tr>
      <w:tr w:rsidR="00225952" w:rsidTr="00225952">
        <w:tc>
          <w:tcPr>
            <w:tcW w:w="10350" w:type="dxa"/>
            <w:gridSpan w:val="5"/>
          </w:tcPr>
          <w:p w:rsidR="00225952" w:rsidRPr="009C28E0" w:rsidRDefault="00225952" w:rsidP="00225952">
            <w:pPr>
              <w:spacing w:after="0"/>
              <w:jc w:val="center"/>
              <w:rPr>
                <w:color w:val="7F7F7F"/>
              </w:rPr>
            </w:pPr>
            <w:r w:rsidRPr="009C28E0">
              <w:rPr>
                <w:color w:val="7F7F7F"/>
              </w:rPr>
              <w:t>Local Government Development Order Review</w:t>
            </w:r>
          </w:p>
        </w:tc>
      </w:tr>
      <w:tr w:rsidR="00225952" w:rsidTr="00225952">
        <w:tc>
          <w:tcPr>
            <w:tcW w:w="9180" w:type="dxa"/>
            <w:gridSpan w:val="4"/>
            <w:tcBorders>
              <w:right w:val="nil"/>
            </w:tcBorders>
            <w:shd w:val="clear" w:color="auto" w:fill="DBE5F1"/>
          </w:tcPr>
          <w:p w:rsidR="00225952" w:rsidRPr="009C28E0" w:rsidRDefault="00225952" w:rsidP="00225952">
            <w:pPr>
              <w:tabs>
                <w:tab w:val="left" w:pos="360"/>
                <w:tab w:val="left" w:pos="720"/>
                <w:tab w:val="left" w:pos="1095"/>
                <w:tab w:val="left" w:pos="1440"/>
              </w:tabs>
              <w:spacing w:after="0" w:line="240" w:lineRule="auto"/>
              <w:rPr>
                <w:b/>
              </w:rPr>
            </w:pPr>
            <w:r w:rsidRPr="009C28E0">
              <w:rPr>
                <w:b/>
              </w:rPr>
              <w:t>Concerns Related to Approved Land Uses</w:t>
            </w:r>
          </w:p>
        </w:tc>
        <w:tc>
          <w:tcPr>
            <w:tcW w:w="1170" w:type="dxa"/>
            <w:tcBorders>
              <w:left w:val="nil"/>
            </w:tcBorders>
            <w:vAlign w:val="center"/>
          </w:tcPr>
          <w:p w:rsidR="00225952" w:rsidRPr="002635FD" w:rsidRDefault="00225952" w:rsidP="00225952">
            <w:pPr>
              <w:spacing w:after="0"/>
              <w:jc w:val="center"/>
            </w:pPr>
            <w:r w:rsidRPr="009C28E0">
              <w:rPr>
                <w:noProof/>
                <w:color w:val="4F6228"/>
                <w:sz w:val="18"/>
              </w:rPr>
              <w:t xml:space="preserve">Y  </w:t>
            </w:r>
            <w:r w:rsidRPr="009C28E0">
              <w:rPr>
                <w:noProof/>
                <w:sz w:val="18"/>
              </w:rPr>
              <w:t xml:space="preserve"> </w:t>
            </w:r>
            <w:r w:rsidRPr="009C28E0">
              <w:rPr>
                <w:noProof/>
                <w:color w:val="C00000"/>
                <w:sz w:val="18"/>
              </w:rPr>
              <w:t>N</w:t>
            </w:r>
            <w:r w:rsidRPr="009C28E0">
              <w:rPr>
                <w:noProof/>
                <w:sz w:val="18"/>
              </w:rPr>
              <w:t xml:space="preserve">  </w:t>
            </w:r>
            <w:r w:rsidRPr="009C28E0">
              <w:rPr>
                <w:noProof/>
                <w:color w:val="7F7F7F"/>
                <w:sz w:val="18"/>
              </w:rPr>
              <w:t>N/A</w:t>
            </w:r>
          </w:p>
        </w:tc>
      </w:tr>
      <w:tr w:rsidR="00225952" w:rsidTr="00225952">
        <w:tc>
          <w:tcPr>
            <w:tcW w:w="9180" w:type="dxa"/>
            <w:gridSpan w:val="4"/>
            <w:tcBorders>
              <w:right w:val="nil"/>
            </w:tcBorders>
          </w:tcPr>
          <w:p w:rsidR="00225952" w:rsidRPr="009C28E0" w:rsidRDefault="00225952" w:rsidP="00954053">
            <w:pPr>
              <w:pStyle w:val="CheckA"/>
              <w:jc w:val="left"/>
              <w:rPr>
                <w:sz w:val="18"/>
              </w:rPr>
            </w:pPr>
            <w:r w:rsidRPr="00F05E1C">
              <w:t>A.</w:t>
            </w:r>
            <w:r w:rsidRPr="00F05E1C">
              <w:tab/>
              <w:t>Approved land use categories intensities and densities comparable to Question 21 of the DRI-ADA analysis?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86" name="Picture 187"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5490" w:type="dxa"/>
            <w:gridSpan w:val="2"/>
            <w:tcBorders>
              <w:right w:val="nil"/>
            </w:tcBorders>
          </w:tcPr>
          <w:p w:rsidR="00225952" w:rsidRPr="00F05E1C" w:rsidRDefault="00225952" w:rsidP="00954053">
            <w:pPr>
              <w:pStyle w:val="CheckA"/>
              <w:jc w:val="left"/>
            </w:pPr>
            <w:r w:rsidRPr="00F05E1C">
              <w:t>B.</w:t>
            </w:r>
            <w:r w:rsidRPr="00F05E1C">
              <w:tab/>
              <w:t>Approved land use intensities and densities sup</w:t>
            </w:r>
            <w:r>
              <w:t xml:space="preserve">port internal capture, pass-by </w:t>
            </w:r>
            <w:r w:rsidRPr="00F05E1C">
              <w:t>m</w:t>
            </w:r>
            <w:r w:rsidRPr="0034266E">
              <w:t>o</w:t>
            </w:r>
            <w:r w:rsidRPr="00F05E1C">
              <w:t>de splits and project internal/external chara</w:t>
            </w:r>
            <w:r>
              <w:t xml:space="preserve">cteristics of DRI-ADA Question </w:t>
            </w:r>
            <w:r w:rsidRPr="00F05E1C">
              <w:t>21 analyses?</w:t>
            </w:r>
          </w:p>
        </w:tc>
        <w:tc>
          <w:tcPr>
            <w:tcW w:w="3690" w:type="dxa"/>
            <w:gridSpan w:val="2"/>
            <w:tcBorders>
              <w:left w:val="nil"/>
              <w:right w:val="nil"/>
            </w:tcBorders>
            <w:vAlign w:val="center"/>
          </w:tcPr>
          <w:p w:rsidR="00225952" w:rsidRPr="001454F8" w:rsidRDefault="00225952" w:rsidP="00954053">
            <w:pPr>
              <w:pStyle w:val="Check1"/>
              <w:jc w:val="left"/>
            </w:pPr>
            <w:r w:rsidRPr="00F05E1C">
              <w:t>1.</w:t>
            </w:r>
            <w:r w:rsidRPr="00F05E1C">
              <w:tab/>
              <w:t>Is change(s) in project traffic assignmen</w:t>
            </w:r>
            <w:r>
              <w:t xml:space="preserve">ts </w:t>
            </w:r>
            <w:r w:rsidRPr="0034266E">
              <w:t>reasonable</w:t>
            </w:r>
            <w:r>
              <w:t xml:space="preserve"> given land use</w:t>
            </w:r>
            <w:r>
              <w:tab/>
            </w:r>
            <w:r w:rsidRPr="00F05E1C">
              <w:t>changes?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87" name="Picture 188"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4"/>
            <w:tcBorders>
              <w:right w:val="nil"/>
            </w:tcBorders>
          </w:tcPr>
          <w:p w:rsidR="00225952" w:rsidRPr="009C28E0" w:rsidRDefault="00225952" w:rsidP="00954053">
            <w:pPr>
              <w:pStyle w:val="CheckA"/>
              <w:jc w:val="left"/>
              <w:rPr>
                <w:sz w:val="18"/>
              </w:rPr>
            </w:pPr>
            <w:r w:rsidRPr="00F05E1C">
              <w:t>C.</w:t>
            </w:r>
            <w:r w:rsidRPr="00F05E1C">
              <w:tab/>
              <w:t>LOS standards achieved on segments which the Department sets the sta</w:t>
            </w:r>
            <w:r>
              <w:t xml:space="preserve">ndard for, at each development </w:t>
            </w:r>
            <w:r w:rsidRPr="00F05E1C">
              <w:t>phase, with improvements proposed under adopted land use scenario(s)?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88" name="Picture 189"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4"/>
            <w:tcBorders>
              <w:right w:val="nil"/>
            </w:tcBorders>
          </w:tcPr>
          <w:p w:rsidR="00225952" w:rsidRPr="009C28E0" w:rsidRDefault="00225952" w:rsidP="00954053">
            <w:pPr>
              <w:pStyle w:val="CheckA"/>
              <w:jc w:val="left"/>
              <w:rPr>
                <w:sz w:val="18"/>
              </w:rPr>
            </w:pPr>
            <w:r w:rsidRPr="00F05E1C">
              <w:t>D.</w:t>
            </w:r>
            <w:r w:rsidRPr="00F05E1C">
              <w:tab/>
              <w:t>Public transit, TDMs, TCMs or TSM measures p</w:t>
            </w:r>
            <w:r>
              <w:t xml:space="preserve">roposed, remain feasible under </w:t>
            </w:r>
            <w:r w:rsidRPr="00F05E1C">
              <w:t>approved land use scenario(s)?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89" name="Picture 190"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4"/>
            <w:tcBorders>
              <w:right w:val="nil"/>
            </w:tcBorders>
          </w:tcPr>
          <w:p w:rsidR="00225952" w:rsidRPr="009C28E0" w:rsidRDefault="00225952" w:rsidP="00954053">
            <w:pPr>
              <w:pStyle w:val="CheckA"/>
              <w:jc w:val="left"/>
              <w:rPr>
                <w:sz w:val="18"/>
              </w:rPr>
            </w:pPr>
            <w:r w:rsidRPr="00F05E1C">
              <w:t>E.</w:t>
            </w:r>
            <w:r w:rsidRPr="00F05E1C">
              <w:tab/>
              <w:t>Internal traffic circulation plan and access po</w:t>
            </w:r>
            <w:r>
              <w:t xml:space="preserve">ints and transportation system </w:t>
            </w:r>
            <w:r w:rsidRPr="00F05E1C">
              <w:t xml:space="preserve">connectivity revised to reflect approved land scenario(s)? </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90" name="Picture 191"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4"/>
            <w:tcBorders>
              <w:right w:val="nil"/>
            </w:tcBorders>
            <w:shd w:val="clear" w:color="auto" w:fill="DBE5F1"/>
          </w:tcPr>
          <w:p w:rsidR="00225952" w:rsidRPr="009C28E0" w:rsidRDefault="00225952" w:rsidP="00954053">
            <w:pPr>
              <w:tabs>
                <w:tab w:val="left" w:pos="360"/>
                <w:tab w:val="left" w:pos="735"/>
              </w:tabs>
              <w:spacing w:after="0" w:line="240" w:lineRule="auto"/>
              <w:jc w:val="left"/>
              <w:rPr>
                <w:b/>
              </w:rPr>
            </w:pPr>
            <w:r w:rsidRPr="009C28E0">
              <w:rPr>
                <w:b/>
              </w:rPr>
              <w:t>Concerns Related to SHS Access and LOS Standards</w:t>
            </w:r>
          </w:p>
        </w:tc>
        <w:tc>
          <w:tcPr>
            <w:tcW w:w="1170" w:type="dxa"/>
            <w:tcBorders>
              <w:left w:val="nil"/>
            </w:tcBorders>
            <w:vAlign w:val="center"/>
          </w:tcPr>
          <w:p w:rsidR="00225952" w:rsidRPr="002635FD" w:rsidRDefault="00225952" w:rsidP="00225952">
            <w:pPr>
              <w:spacing w:after="0"/>
              <w:jc w:val="center"/>
            </w:pPr>
          </w:p>
        </w:tc>
      </w:tr>
      <w:tr w:rsidR="00225952" w:rsidTr="00225952">
        <w:tc>
          <w:tcPr>
            <w:tcW w:w="9180" w:type="dxa"/>
            <w:gridSpan w:val="4"/>
            <w:tcBorders>
              <w:right w:val="nil"/>
            </w:tcBorders>
          </w:tcPr>
          <w:p w:rsidR="00225952" w:rsidRPr="009C28E0" w:rsidRDefault="00225952" w:rsidP="00954053">
            <w:pPr>
              <w:pStyle w:val="CheckA"/>
              <w:jc w:val="left"/>
              <w:rPr>
                <w:sz w:val="18"/>
              </w:rPr>
            </w:pPr>
            <w:r w:rsidRPr="00F05E1C">
              <w:t>A.</w:t>
            </w:r>
            <w:r w:rsidRPr="00F05E1C">
              <w:tab/>
              <w:t>LGDO provides for phased implementation of fu</w:t>
            </w:r>
            <w:r>
              <w:t xml:space="preserve">ll site access contingent upon </w:t>
            </w:r>
            <w:r w:rsidRPr="00F05E1C">
              <w:t>project-generated background traffic volumes?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191" name="Picture 19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4"/>
            <w:tcBorders>
              <w:right w:val="nil"/>
            </w:tcBorders>
          </w:tcPr>
          <w:p w:rsidR="00225952" w:rsidRPr="009C28E0" w:rsidRDefault="00225952" w:rsidP="00954053">
            <w:pPr>
              <w:pStyle w:val="CheckA"/>
              <w:jc w:val="left"/>
              <w:rPr>
                <w:sz w:val="18"/>
              </w:rPr>
            </w:pPr>
            <w:r w:rsidRPr="00F05E1C">
              <w:t>B.</w:t>
            </w:r>
            <w:r w:rsidRPr="00F05E1C">
              <w:tab/>
            </w:r>
            <w:r>
              <w:t xml:space="preserve">Where appropriate, </w:t>
            </w:r>
            <w:r w:rsidRPr="00F05E1C">
              <w:t>LGDO provide</w:t>
            </w:r>
            <w:r>
              <w:t>s</w:t>
            </w:r>
            <w:r w:rsidRPr="00F05E1C">
              <w:t xml:space="preserve"> procedures for sus</w:t>
            </w:r>
            <w:r>
              <w:t xml:space="preserve">pending project implementation </w:t>
            </w:r>
            <w:r w:rsidRPr="00F05E1C">
              <w:t>should LOS on roadway segments which the Department sets standards for fall below minimum standards as a direct result of project traffic?</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87" name="Picture 193"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4"/>
            <w:tcBorders>
              <w:right w:val="nil"/>
            </w:tcBorders>
            <w:shd w:val="clear" w:color="auto" w:fill="DBE5F1"/>
          </w:tcPr>
          <w:p w:rsidR="00225952" w:rsidRPr="009C28E0" w:rsidRDefault="00225952" w:rsidP="00954053">
            <w:pPr>
              <w:tabs>
                <w:tab w:val="left" w:pos="360"/>
                <w:tab w:val="left" w:pos="735"/>
              </w:tabs>
              <w:spacing w:after="0" w:line="240" w:lineRule="auto"/>
              <w:jc w:val="left"/>
              <w:rPr>
                <w:b/>
              </w:rPr>
            </w:pPr>
            <w:r w:rsidRPr="009C28E0">
              <w:rPr>
                <w:b/>
              </w:rPr>
              <w:t>Involvement in Project Monitoring</w:t>
            </w:r>
          </w:p>
        </w:tc>
        <w:tc>
          <w:tcPr>
            <w:tcW w:w="1170" w:type="dxa"/>
            <w:tcBorders>
              <w:left w:val="nil"/>
            </w:tcBorders>
            <w:vAlign w:val="center"/>
          </w:tcPr>
          <w:p w:rsidR="00225952" w:rsidRPr="002635FD" w:rsidRDefault="00225952" w:rsidP="00225952">
            <w:pPr>
              <w:spacing w:after="0"/>
              <w:jc w:val="center"/>
            </w:pPr>
          </w:p>
        </w:tc>
      </w:tr>
      <w:tr w:rsidR="00225952" w:rsidTr="00225952">
        <w:tc>
          <w:tcPr>
            <w:tcW w:w="3150" w:type="dxa"/>
            <w:vMerge w:val="restart"/>
            <w:tcBorders>
              <w:right w:val="nil"/>
            </w:tcBorders>
          </w:tcPr>
          <w:p w:rsidR="00225952" w:rsidRPr="00F05E1C" w:rsidRDefault="00225952" w:rsidP="00954053">
            <w:pPr>
              <w:pStyle w:val="CheckA"/>
              <w:jc w:val="left"/>
            </w:pPr>
            <w:r w:rsidRPr="00F05E1C">
              <w:t>A.</w:t>
            </w:r>
            <w:r w:rsidRPr="00F05E1C">
              <w:tab/>
              <w:t>LGDO mandate</w:t>
            </w:r>
            <w:r>
              <w:t>s</w:t>
            </w:r>
            <w:r w:rsidRPr="00F05E1C">
              <w:t xml:space="preserve"> </w:t>
            </w:r>
            <w:r w:rsidRPr="0034266E">
              <w:t>submittal</w:t>
            </w:r>
            <w:r w:rsidRPr="00F05E1C">
              <w:t xml:space="preserve"> of a periodic Project Monitoring Report?</w:t>
            </w:r>
          </w:p>
        </w:tc>
        <w:tc>
          <w:tcPr>
            <w:tcW w:w="6030" w:type="dxa"/>
            <w:gridSpan w:val="3"/>
            <w:tcBorders>
              <w:left w:val="nil"/>
              <w:right w:val="nil"/>
            </w:tcBorders>
            <w:vAlign w:val="center"/>
          </w:tcPr>
          <w:p w:rsidR="00225952" w:rsidRPr="001454F8" w:rsidRDefault="00225952" w:rsidP="00954053">
            <w:pPr>
              <w:pStyle w:val="Check1"/>
              <w:jc w:val="left"/>
            </w:pPr>
            <w:r w:rsidRPr="00F05E1C">
              <w:t>1.</w:t>
            </w:r>
            <w:r w:rsidRPr="00F05E1C">
              <w:tab/>
              <w:t>LGDO identifies Department as a revi</w:t>
            </w:r>
            <w:r>
              <w:t xml:space="preserve">ewing agency for the Project </w:t>
            </w:r>
            <w:r w:rsidRPr="00F05E1C">
              <w:t>Monitoring Report?</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88" name="Picture 194"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9C28E0" w:rsidRDefault="00225952" w:rsidP="00954053">
            <w:pPr>
              <w:tabs>
                <w:tab w:val="left" w:pos="360"/>
                <w:tab w:val="left" w:pos="735"/>
              </w:tabs>
              <w:spacing w:after="0" w:line="240" w:lineRule="auto"/>
              <w:jc w:val="left"/>
              <w:rPr>
                <w:sz w:val="20"/>
              </w:rPr>
            </w:pPr>
          </w:p>
        </w:tc>
        <w:tc>
          <w:tcPr>
            <w:tcW w:w="6030" w:type="dxa"/>
            <w:gridSpan w:val="3"/>
            <w:tcBorders>
              <w:left w:val="nil"/>
              <w:right w:val="nil"/>
            </w:tcBorders>
            <w:vAlign w:val="center"/>
          </w:tcPr>
          <w:p w:rsidR="00225952" w:rsidRPr="001454F8" w:rsidRDefault="00225952" w:rsidP="00954053">
            <w:pPr>
              <w:pStyle w:val="Check1"/>
              <w:jc w:val="left"/>
            </w:pPr>
            <w:r w:rsidRPr="00F05E1C">
              <w:t>2.</w:t>
            </w:r>
            <w:r w:rsidRPr="00F05E1C">
              <w:tab/>
              <w:t>Project Monitoring Report call for annual LOS, noise and air quality determinations for significant impact areas SHS facilities?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89" name="Picture 195"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tcBorders>
              <w:right w:val="nil"/>
            </w:tcBorders>
          </w:tcPr>
          <w:p w:rsidR="00225952" w:rsidRPr="009C28E0" w:rsidRDefault="00225952" w:rsidP="00225952">
            <w:pPr>
              <w:tabs>
                <w:tab w:val="left" w:pos="360"/>
                <w:tab w:val="left" w:pos="735"/>
              </w:tabs>
              <w:spacing w:after="0" w:line="240" w:lineRule="auto"/>
              <w:rPr>
                <w:sz w:val="20"/>
              </w:rPr>
            </w:pPr>
          </w:p>
        </w:tc>
        <w:tc>
          <w:tcPr>
            <w:tcW w:w="6030" w:type="dxa"/>
            <w:gridSpan w:val="3"/>
            <w:tcBorders>
              <w:left w:val="nil"/>
              <w:right w:val="nil"/>
            </w:tcBorders>
            <w:vAlign w:val="center"/>
          </w:tcPr>
          <w:p w:rsidR="00225952" w:rsidRDefault="00225952" w:rsidP="00225952">
            <w:pPr>
              <w:pStyle w:val="Check1"/>
            </w:pPr>
          </w:p>
          <w:p w:rsidR="00225952" w:rsidRPr="006426FA" w:rsidRDefault="00225952" w:rsidP="00225952">
            <w:pPr>
              <w:pStyle w:val="Check1"/>
            </w:pPr>
            <w:r>
              <w:tab/>
            </w:r>
            <w:r w:rsidRPr="006426FA">
              <w:t>If the Department Reviewer believes the LGDO fails to adequately ensure the integrity of the SIS or SHS, the District</w:t>
            </w:r>
            <w:r>
              <w:t>’</w:t>
            </w:r>
            <w:r w:rsidRPr="006426FA">
              <w:t>s Director for Planning and Programming should be notified immediately.  Objections to conditions of the LGDO must be appealed in writing to DCA within 45 days of the issuance of the LGDO. Objections expressed by the Department after this 45-day appeal period ha</w:t>
            </w:r>
            <w:r>
              <w:t>s</w:t>
            </w:r>
            <w:r w:rsidRPr="006426FA">
              <w:t xml:space="preserve"> no legal standing with DCA, RPC or the applicant. </w:t>
            </w:r>
          </w:p>
          <w:p w:rsidR="00225952" w:rsidRPr="001454F8" w:rsidRDefault="00225952" w:rsidP="00225952">
            <w:pPr>
              <w:pStyle w:val="Check1"/>
            </w:pPr>
          </w:p>
        </w:tc>
        <w:tc>
          <w:tcPr>
            <w:tcW w:w="1170" w:type="dxa"/>
            <w:tcBorders>
              <w:left w:val="nil"/>
            </w:tcBorders>
            <w:vAlign w:val="center"/>
          </w:tcPr>
          <w:p w:rsidR="00225952" w:rsidRPr="002635FD" w:rsidRDefault="00225952" w:rsidP="00225952">
            <w:pPr>
              <w:spacing w:after="0"/>
              <w:jc w:val="center"/>
            </w:pPr>
          </w:p>
        </w:tc>
      </w:tr>
      <w:tr w:rsidR="00225952" w:rsidTr="00225952">
        <w:tc>
          <w:tcPr>
            <w:tcW w:w="10350" w:type="dxa"/>
            <w:gridSpan w:val="5"/>
          </w:tcPr>
          <w:p w:rsidR="00225952" w:rsidRPr="0034266E" w:rsidRDefault="00225952" w:rsidP="00225952">
            <w:pPr>
              <w:pStyle w:val="ResourceNotTOC"/>
              <w:jc w:val="right"/>
            </w:pPr>
            <w:r>
              <w:t>1 of 1</w:t>
            </w:r>
          </w:p>
        </w:tc>
      </w:tr>
    </w:tbl>
    <w:p w:rsidR="00225952" w:rsidRDefault="00225952" w:rsidP="00225952">
      <w:pPr>
        <w:jc w:val="right"/>
      </w:pPr>
    </w:p>
    <w:p w:rsidR="00954053" w:rsidRDefault="00225952" w:rsidP="00954053">
      <w:pPr>
        <w:jc w:val="center"/>
      </w:pPr>
      <w:r>
        <w:br w:type="page"/>
      </w:r>
    </w:p>
    <w:p w:rsidR="00954053" w:rsidRDefault="00954053" w:rsidP="00954053">
      <w:pPr>
        <w:jc w:val="center"/>
        <w:rPr>
          <w:b/>
          <w:color w:val="D9D9D9" w:themeColor="background1" w:themeShade="D9"/>
          <w:sz w:val="96"/>
          <w:szCs w:val="96"/>
        </w:rPr>
      </w:pPr>
    </w:p>
    <w:p w:rsidR="00954053" w:rsidRDefault="00954053" w:rsidP="00954053">
      <w:pPr>
        <w:jc w:val="center"/>
      </w:pPr>
      <w:r w:rsidRPr="004B5E07">
        <w:rPr>
          <w:b/>
          <w:color w:val="D9D9D9" w:themeColor="background1" w:themeShade="D9"/>
          <w:sz w:val="96"/>
          <w:szCs w:val="96"/>
        </w:rPr>
        <w:t>Blank Page</w:t>
      </w:r>
    </w:p>
    <w:p w:rsidR="00225952" w:rsidRDefault="00225952">
      <w:pPr>
        <w:spacing w:after="0" w:line="240" w:lineRule="auto"/>
      </w:pPr>
    </w:p>
    <w:p w:rsidR="00225952" w:rsidRDefault="00225952" w:rsidP="00225952">
      <w:pPr>
        <w:jc w:val="right"/>
      </w:pPr>
      <w:r>
        <w:br w:type="page"/>
      </w:r>
    </w:p>
    <w:p w:rsidR="00225952" w:rsidRDefault="00225952" w:rsidP="00225952">
      <w:pPr>
        <w:pStyle w:val="Resource"/>
        <w:rPr>
          <w:color w:val="auto"/>
        </w:rPr>
        <w:sectPr w:rsidR="00225952" w:rsidSect="00832911">
          <w:headerReference w:type="default" r:id="rId338"/>
          <w:type w:val="continuous"/>
          <w:pgSz w:w="12240" w:h="15840"/>
          <w:pgMar w:top="1440" w:right="720" w:bottom="1440" w:left="1152" w:header="720" w:footer="720" w:gutter="0"/>
          <w:cols w:space="720"/>
          <w:docGrid w:linePitch="360"/>
        </w:sect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150"/>
        <w:gridCol w:w="4590"/>
        <w:gridCol w:w="1440"/>
        <w:gridCol w:w="1170"/>
      </w:tblGrid>
      <w:tr w:rsidR="00225952" w:rsidTr="00EB5829">
        <w:tc>
          <w:tcPr>
            <w:tcW w:w="10350" w:type="dxa"/>
            <w:gridSpan w:val="4"/>
            <w:shd w:val="clear" w:color="auto" w:fill="31849B" w:themeFill="accent5" w:themeFillShade="BF"/>
          </w:tcPr>
          <w:p w:rsidR="00225952" w:rsidRPr="00EB5829" w:rsidRDefault="00225952" w:rsidP="00EB5829">
            <w:pPr>
              <w:pStyle w:val="Heading2"/>
              <w:spacing w:before="0" w:after="0"/>
              <w:rPr>
                <w:rFonts w:ascii="Trebuchet MS" w:hAnsi="Trebuchet MS"/>
              </w:rPr>
            </w:pPr>
            <w:bookmarkStart w:id="309" w:name="C5"/>
            <w:bookmarkStart w:id="310" w:name="_Toc264274169"/>
            <w:bookmarkEnd w:id="309"/>
            <w:r w:rsidRPr="00EB5829">
              <w:rPr>
                <w:rFonts w:ascii="Trebuchet MS" w:hAnsi="Trebuchet MS"/>
                <w:color w:val="auto"/>
              </w:rPr>
              <w:lastRenderedPageBreak/>
              <w:t>DRI Checklist 5 |</w:t>
            </w:r>
            <w:r w:rsidRPr="00EB5829">
              <w:rPr>
                <w:rFonts w:ascii="Trebuchet MS" w:hAnsi="Trebuchet MS"/>
              </w:rPr>
              <w:t xml:space="preserve"> </w:t>
            </w:r>
            <w:r w:rsidRPr="00EB5829">
              <w:rPr>
                <w:rFonts w:ascii="Trebuchet MS" w:hAnsi="Trebuchet MS"/>
                <w:color w:val="FFFFFF" w:themeColor="background1"/>
              </w:rPr>
              <w:t>Project Monitoring &amp; Report Review</w:t>
            </w:r>
            <w:bookmarkEnd w:id="310"/>
            <w:r w:rsidRPr="00EB5829">
              <w:rPr>
                <w:rFonts w:ascii="Trebuchet MS" w:hAnsi="Trebuchet MS"/>
              </w:rPr>
              <w:t xml:space="preserve"> </w:t>
            </w:r>
          </w:p>
        </w:tc>
      </w:tr>
      <w:tr w:rsidR="00225952" w:rsidTr="00225952">
        <w:tc>
          <w:tcPr>
            <w:tcW w:w="3150" w:type="dxa"/>
            <w:tcBorders>
              <w:right w:val="nil"/>
            </w:tcBorders>
          </w:tcPr>
          <w:p w:rsidR="00225952" w:rsidRPr="009C28E0" w:rsidRDefault="00225952" w:rsidP="00225952">
            <w:pPr>
              <w:spacing w:after="0"/>
              <w:rPr>
                <w:i/>
                <w:sz w:val="18"/>
              </w:rPr>
            </w:pPr>
            <w:r w:rsidRPr="009C28E0">
              <w:rPr>
                <w:i/>
                <w:sz w:val="18"/>
              </w:rPr>
              <w:t>Project</w:t>
            </w:r>
          </w:p>
        </w:tc>
        <w:tc>
          <w:tcPr>
            <w:tcW w:w="4590" w:type="dxa"/>
            <w:tcBorders>
              <w:left w:val="nil"/>
              <w:right w:val="nil"/>
            </w:tcBorders>
          </w:tcPr>
          <w:p w:rsidR="00225952" w:rsidRPr="009C28E0" w:rsidRDefault="00225952" w:rsidP="00225952">
            <w:pPr>
              <w:spacing w:after="0"/>
              <w:rPr>
                <w:i/>
                <w:sz w:val="18"/>
              </w:rPr>
            </w:pPr>
            <w:r w:rsidRPr="009C28E0">
              <w:rPr>
                <w:i/>
                <w:sz w:val="18"/>
              </w:rPr>
              <w:t>Reviewer</w:t>
            </w:r>
          </w:p>
        </w:tc>
        <w:tc>
          <w:tcPr>
            <w:tcW w:w="2610" w:type="dxa"/>
            <w:gridSpan w:val="2"/>
            <w:tcBorders>
              <w:left w:val="nil"/>
            </w:tcBorders>
          </w:tcPr>
          <w:p w:rsidR="00225952" w:rsidRPr="009C28E0" w:rsidRDefault="00225952" w:rsidP="00225952">
            <w:pPr>
              <w:spacing w:after="0"/>
              <w:rPr>
                <w:i/>
                <w:sz w:val="18"/>
              </w:rPr>
            </w:pPr>
            <w:r w:rsidRPr="009C28E0">
              <w:rPr>
                <w:i/>
                <w:sz w:val="18"/>
              </w:rPr>
              <w:t>Date of Review:</w:t>
            </w:r>
          </w:p>
          <w:p w:rsidR="00225952" w:rsidRPr="009C28E0" w:rsidRDefault="00225952" w:rsidP="00225952">
            <w:pPr>
              <w:spacing w:after="0"/>
              <w:rPr>
                <w:i/>
                <w:sz w:val="18"/>
              </w:rPr>
            </w:pPr>
            <w:r w:rsidRPr="009C28E0">
              <w:rPr>
                <w:i/>
                <w:sz w:val="18"/>
              </w:rPr>
              <w:t>Comments Due:</w:t>
            </w:r>
          </w:p>
        </w:tc>
      </w:tr>
      <w:tr w:rsidR="00225952" w:rsidTr="00225952">
        <w:tc>
          <w:tcPr>
            <w:tcW w:w="9180" w:type="dxa"/>
            <w:gridSpan w:val="3"/>
            <w:tcBorders>
              <w:right w:val="nil"/>
            </w:tcBorders>
            <w:shd w:val="clear" w:color="auto" w:fill="DBE5F1"/>
          </w:tcPr>
          <w:p w:rsidR="00225952" w:rsidRPr="009C28E0" w:rsidRDefault="00225952" w:rsidP="00225952">
            <w:pPr>
              <w:spacing w:after="0"/>
              <w:ind w:left="252" w:hanging="252"/>
              <w:rPr>
                <w:sz w:val="18"/>
              </w:rPr>
            </w:pPr>
            <w:r w:rsidRPr="009C28E0">
              <w:rPr>
                <w:sz w:val="18"/>
              </w:rPr>
              <w:t>(Transportation Impact)</w:t>
            </w:r>
          </w:p>
        </w:tc>
        <w:tc>
          <w:tcPr>
            <w:tcW w:w="1170" w:type="dxa"/>
            <w:tcBorders>
              <w:left w:val="nil"/>
            </w:tcBorders>
            <w:vAlign w:val="center"/>
          </w:tcPr>
          <w:p w:rsidR="00225952" w:rsidRPr="002635FD" w:rsidRDefault="00225952" w:rsidP="00225952">
            <w:pPr>
              <w:spacing w:after="0"/>
              <w:jc w:val="center"/>
            </w:pPr>
            <w:r w:rsidRPr="009C28E0">
              <w:rPr>
                <w:noProof/>
                <w:color w:val="4F6228"/>
                <w:sz w:val="18"/>
              </w:rPr>
              <w:t xml:space="preserve">Y  </w:t>
            </w:r>
            <w:r w:rsidRPr="009C28E0">
              <w:rPr>
                <w:noProof/>
                <w:sz w:val="18"/>
              </w:rPr>
              <w:t xml:space="preserve"> </w:t>
            </w:r>
            <w:r w:rsidRPr="009C28E0">
              <w:rPr>
                <w:noProof/>
                <w:color w:val="C00000"/>
                <w:sz w:val="18"/>
              </w:rPr>
              <w:t>N</w:t>
            </w:r>
            <w:r w:rsidRPr="009C28E0">
              <w:rPr>
                <w:noProof/>
                <w:sz w:val="18"/>
              </w:rPr>
              <w:t xml:space="preserve">  </w:t>
            </w:r>
            <w:r w:rsidRPr="009C28E0">
              <w:rPr>
                <w:noProof/>
                <w:color w:val="7F7F7F"/>
                <w:sz w:val="18"/>
              </w:rPr>
              <w:t>N/A</w:t>
            </w:r>
          </w:p>
        </w:tc>
      </w:tr>
      <w:tr w:rsidR="00225952" w:rsidTr="00225952">
        <w:tc>
          <w:tcPr>
            <w:tcW w:w="9180" w:type="dxa"/>
            <w:gridSpan w:val="3"/>
            <w:tcBorders>
              <w:right w:val="nil"/>
            </w:tcBorders>
          </w:tcPr>
          <w:p w:rsidR="00225952" w:rsidRPr="009C28E0" w:rsidRDefault="00225952" w:rsidP="00954053">
            <w:pPr>
              <w:pStyle w:val="CheckA"/>
              <w:spacing w:before="60" w:after="60"/>
              <w:jc w:val="left"/>
              <w:rPr>
                <w:sz w:val="18"/>
              </w:rPr>
            </w:pPr>
            <w:r w:rsidRPr="00F05E1C">
              <w:t>A.</w:t>
            </w:r>
            <w:r w:rsidRPr="00F05E1C">
              <w:tab/>
              <w:t>Trip generation rates determining project-to-</w:t>
            </w:r>
            <w:r>
              <w:t xml:space="preserve">date and total project impacts </w:t>
            </w:r>
            <w:r w:rsidRPr="00F05E1C">
              <w:t>consistent with rates and trip generation pr</w:t>
            </w:r>
            <w:r>
              <w:t xml:space="preserve">ocedures identified in DRI-ADA </w:t>
            </w:r>
            <w:r w:rsidRPr="00F05E1C">
              <w:t>and LGDO?</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90" name="Picture 196"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3"/>
            <w:tcBorders>
              <w:right w:val="nil"/>
            </w:tcBorders>
          </w:tcPr>
          <w:p w:rsidR="00225952" w:rsidRPr="009C28E0" w:rsidRDefault="00225952" w:rsidP="00954053">
            <w:pPr>
              <w:pStyle w:val="CheckA"/>
              <w:spacing w:before="60" w:after="60"/>
              <w:jc w:val="left"/>
              <w:rPr>
                <w:sz w:val="18"/>
              </w:rPr>
            </w:pPr>
            <w:r w:rsidRPr="00F05E1C">
              <w:t>B.</w:t>
            </w:r>
            <w:r w:rsidRPr="00F05E1C">
              <w:tab/>
              <w:t>Internal capture and pass-by trip characteristic</w:t>
            </w:r>
            <w:r>
              <w:t>s used in reporting of project-</w:t>
            </w:r>
            <w:r w:rsidRPr="00F05E1C">
              <w:t xml:space="preserve">to-date conditions appropriate for land use </w:t>
            </w:r>
            <w:r>
              <w:t xml:space="preserve">mix and locations currently in </w:t>
            </w:r>
            <w:r w:rsidRPr="00F05E1C">
              <w:t>development?</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91" name="Picture 197"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3"/>
            <w:tcBorders>
              <w:right w:val="nil"/>
            </w:tcBorders>
          </w:tcPr>
          <w:p w:rsidR="00225952" w:rsidRPr="009C28E0" w:rsidRDefault="00225952" w:rsidP="00954053">
            <w:pPr>
              <w:pStyle w:val="CheckA"/>
              <w:spacing w:before="60" w:after="60"/>
              <w:jc w:val="left"/>
              <w:rPr>
                <w:sz w:val="18"/>
              </w:rPr>
            </w:pPr>
            <w:r w:rsidRPr="00F05E1C">
              <w:t>C.</w:t>
            </w:r>
            <w:r w:rsidRPr="00F05E1C">
              <w:tab/>
              <w:t>Is the distribution of project traffic on the tra</w:t>
            </w:r>
            <w:r>
              <w:t xml:space="preserve">nsportation network consistent </w:t>
            </w:r>
            <w:r w:rsidRPr="00F05E1C">
              <w:t>with the methodology approved for use in the DRI-ADA analysis?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92" name="Picture 198"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3"/>
            <w:tcBorders>
              <w:right w:val="nil"/>
            </w:tcBorders>
          </w:tcPr>
          <w:p w:rsidR="00225952" w:rsidRPr="009C28E0" w:rsidRDefault="00225952" w:rsidP="00954053">
            <w:pPr>
              <w:pStyle w:val="CheckA"/>
              <w:spacing w:before="60" w:after="60"/>
              <w:jc w:val="left"/>
              <w:rPr>
                <w:sz w:val="18"/>
              </w:rPr>
            </w:pPr>
            <w:r w:rsidRPr="00F05E1C">
              <w:t>D.</w:t>
            </w:r>
            <w:r w:rsidRPr="00F05E1C">
              <w:tab/>
              <w:t xml:space="preserve">Background traffic volume annual growth rates </w:t>
            </w:r>
            <w:r>
              <w:t xml:space="preserve">consistent with forecasts used </w:t>
            </w:r>
            <w:r w:rsidRPr="00F05E1C">
              <w:t>in DRI-ADA analyses?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93" name="Picture 199"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val="restart"/>
            <w:tcBorders>
              <w:right w:val="nil"/>
            </w:tcBorders>
          </w:tcPr>
          <w:p w:rsidR="00225952" w:rsidRPr="00F05E1C" w:rsidRDefault="00225952" w:rsidP="00954053">
            <w:pPr>
              <w:pStyle w:val="CheckA"/>
              <w:spacing w:before="60" w:after="60"/>
              <w:jc w:val="left"/>
            </w:pPr>
            <w:r w:rsidRPr="00F05E1C">
              <w:t>E.</w:t>
            </w:r>
            <w:r w:rsidRPr="00F05E1C">
              <w:tab/>
              <w:t>LOS for project area SHS segments determined?</w:t>
            </w:r>
          </w:p>
        </w:tc>
        <w:tc>
          <w:tcPr>
            <w:tcW w:w="6030" w:type="dxa"/>
            <w:gridSpan w:val="2"/>
            <w:tcBorders>
              <w:left w:val="nil"/>
              <w:right w:val="nil"/>
            </w:tcBorders>
            <w:vAlign w:val="center"/>
          </w:tcPr>
          <w:p w:rsidR="00225952" w:rsidRPr="001454F8" w:rsidRDefault="00225952" w:rsidP="00954053">
            <w:pPr>
              <w:pStyle w:val="Check1"/>
              <w:spacing w:before="60" w:after="60"/>
              <w:jc w:val="left"/>
            </w:pPr>
            <w:r w:rsidRPr="00F05E1C">
              <w:t>1.</w:t>
            </w:r>
            <w:r w:rsidRPr="00F05E1C">
              <w:tab/>
              <w:t>Field counts collected to record current</w:t>
            </w:r>
            <w:r>
              <w:t xml:space="preserve"> project and without-project </w:t>
            </w:r>
            <w:r w:rsidRPr="00F05E1C">
              <w:t>volumes?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94" name="Picture 200"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F05E1C" w:rsidRDefault="00225952" w:rsidP="00954053">
            <w:pPr>
              <w:pStyle w:val="CheckA"/>
              <w:spacing w:before="60" w:after="60"/>
              <w:jc w:val="left"/>
            </w:pPr>
          </w:p>
        </w:tc>
        <w:tc>
          <w:tcPr>
            <w:tcW w:w="6030" w:type="dxa"/>
            <w:gridSpan w:val="2"/>
            <w:tcBorders>
              <w:left w:val="nil"/>
              <w:right w:val="nil"/>
            </w:tcBorders>
            <w:vAlign w:val="center"/>
          </w:tcPr>
          <w:p w:rsidR="00225952" w:rsidRPr="001454F8" w:rsidRDefault="00225952" w:rsidP="00954053">
            <w:pPr>
              <w:pStyle w:val="Check1"/>
              <w:spacing w:before="60" w:after="60"/>
              <w:jc w:val="left"/>
            </w:pPr>
            <w:r w:rsidRPr="00F05E1C">
              <w:t>2.</w:t>
            </w:r>
            <w:r w:rsidRPr="00F05E1C">
              <w:tab/>
              <w:t>LOS analysis procedures consistent wit</w:t>
            </w:r>
            <w:r>
              <w:t xml:space="preserve">h techniques used in DRI-ADA </w:t>
            </w:r>
            <w:r w:rsidRPr="00F05E1C">
              <w:t>response?</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95" name="Picture 201"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F05E1C" w:rsidRDefault="00225952" w:rsidP="00954053">
            <w:pPr>
              <w:pStyle w:val="CheckA"/>
              <w:spacing w:before="60" w:after="60"/>
              <w:jc w:val="left"/>
            </w:pPr>
          </w:p>
        </w:tc>
        <w:tc>
          <w:tcPr>
            <w:tcW w:w="6030" w:type="dxa"/>
            <w:gridSpan w:val="2"/>
            <w:tcBorders>
              <w:left w:val="nil"/>
              <w:right w:val="nil"/>
            </w:tcBorders>
            <w:vAlign w:val="center"/>
          </w:tcPr>
          <w:p w:rsidR="00225952" w:rsidRPr="001454F8" w:rsidRDefault="00225952" w:rsidP="00954053">
            <w:pPr>
              <w:pStyle w:val="Check1"/>
              <w:spacing w:before="60" w:after="60"/>
              <w:jc w:val="left"/>
            </w:pPr>
            <w:r w:rsidRPr="00F05E1C">
              <w:t>3.</w:t>
            </w:r>
            <w:r w:rsidRPr="00F05E1C">
              <w:tab/>
              <w:t>Facility type, area type and lane</w:t>
            </w:r>
            <w:r>
              <w:t xml:space="preserve">age of SHS segments analyzed </w:t>
            </w:r>
            <w:r w:rsidRPr="00F05E1C">
              <w:t>reflect current year conditions?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96" name="Picture 20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3"/>
            <w:tcBorders>
              <w:right w:val="nil"/>
            </w:tcBorders>
          </w:tcPr>
          <w:p w:rsidR="00225952" w:rsidRPr="009C28E0" w:rsidRDefault="00225952" w:rsidP="00954053">
            <w:pPr>
              <w:pStyle w:val="CheckA"/>
              <w:spacing w:before="60" w:after="60"/>
              <w:jc w:val="left"/>
              <w:rPr>
                <w:sz w:val="18"/>
              </w:rPr>
            </w:pPr>
            <w:r w:rsidRPr="00F05E1C">
              <w:t>F.</w:t>
            </w:r>
            <w:r w:rsidRPr="00F05E1C">
              <w:tab/>
              <w:t>Status of projects within the project impact ar</w:t>
            </w:r>
            <w:r>
              <w:t xml:space="preserve">ea identified as programmed or </w:t>
            </w:r>
            <w:r w:rsidRPr="00F05E1C">
              <w:t>under construction in the DRI-ADA updated?</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97" name="Picture 203"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3"/>
            <w:tcBorders>
              <w:right w:val="nil"/>
            </w:tcBorders>
          </w:tcPr>
          <w:p w:rsidR="00225952" w:rsidRPr="009C28E0" w:rsidRDefault="00225952" w:rsidP="00954053">
            <w:pPr>
              <w:pStyle w:val="CheckA"/>
              <w:spacing w:before="60" w:after="60"/>
              <w:jc w:val="left"/>
              <w:rPr>
                <w:sz w:val="18"/>
              </w:rPr>
            </w:pPr>
            <w:r w:rsidRPr="00F05E1C">
              <w:t>G.</w:t>
            </w:r>
            <w:r w:rsidRPr="00F05E1C">
              <w:tab/>
              <w:t>Other transportation network improvements af</w:t>
            </w:r>
            <w:r>
              <w:t xml:space="preserve">fecting use of project impacts </w:t>
            </w:r>
            <w:r w:rsidRPr="00F05E1C">
              <w:t>area SHS facilities identified?</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98" name="Picture 204"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tcBorders>
              <w:right w:val="nil"/>
            </w:tcBorders>
          </w:tcPr>
          <w:p w:rsidR="00225952" w:rsidRPr="00F05E1C" w:rsidRDefault="00225952" w:rsidP="00954053">
            <w:pPr>
              <w:pStyle w:val="CheckA"/>
              <w:spacing w:before="60" w:after="60"/>
              <w:jc w:val="left"/>
            </w:pPr>
            <w:r w:rsidRPr="00F05E1C">
              <w:t>H.</w:t>
            </w:r>
            <w:r w:rsidRPr="00F05E1C">
              <w:tab/>
              <w:t xml:space="preserve">Status of LGDO-mandated improvements to be undertaken </w:t>
            </w:r>
            <w:r>
              <w:t xml:space="preserve">by the developer </w:t>
            </w:r>
            <w:r w:rsidRPr="00F05E1C">
              <w:t>provided?</w:t>
            </w:r>
          </w:p>
        </w:tc>
        <w:tc>
          <w:tcPr>
            <w:tcW w:w="6030" w:type="dxa"/>
            <w:gridSpan w:val="2"/>
            <w:tcBorders>
              <w:left w:val="nil"/>
              <w:right w:val="nil"/>
            </w:tcBorders>
            <w:vAlign w:val="center"/>
          </w:tcPr>
          <w:p w:rsidR="00225952" w:rsidRPr="001454F8" w:rsidRDefault="00225952" w:rsidP="00954053">
            <w:pPr>
              <w:pStyle w:val="Check1"/>
              <w:spacing w:before="60" w:after="60"/>
              <w:jc w:val="left"/>
            </w:pPr>
            <w:r w:rsidRPr="00F05E1C">
              <w:t>1.</w:t>
            </w:r>
            <w:r w:rsidRPr="00F05E1C">
              <w:tab/>
              <w:t xml:space="preserve">Status consistent with the amount of </w:t>
            </w:r>
            <w:r>
              <w:t xml:space="preserve">project development that has </w:t>
            </w:r>
            <w:r w:rsidRPr="00F05E1C">
              <w:t>occurred per the LGDO?</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499" name="Picture 205"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3"/>
            <w:tcBorders>
              <w:right w:val="nil"/>
            </w:tcBorders>
          </w:tcPr>
          <w:p w:rsidR="00225952" w:rsidRPr="009C28E0" w:rsidRDefault="00225952" w:rsidP="00954053">
            <w:pPr>
              <w:pStyle w:val="CheckA"/>
              <w:spacing w:before="60" w:after="60"/>
              <w:jc w:val="left"/>
              <w:rPr>
                <w:sz w:val="18"/>
              </w:rPr>
            </w:pPr>
            <w:r w:rsidRPr="00F05E1C">
              <w:t>I.</w:t>
            </w:r>
            <w:r w:rsidRPr="00F05E1C">
              <w:tab/>
              <w:t>Noise and air quality data collected and consist</w:t>
            </w:r>
            <w:r>
              <w:t xml:space="preserve">ency with Department criteria, </w:t>
            </w:r>
            <w:r w:rsidRPr="00F05E1C">
              <w:t>as set forth in the LGDO, ascertained?</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500" name="Picture 206"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tcBorders>
              <w:right w:val="nil"/>
            </w:tcBorders>
          </w:tcPr>
          <w:p w:rsidR="00225952" w:rsidRPr="00F05E1C" w:rsidRDefault="00225952" w:rsidP="00954053">
            <w:pPr>
              <w:pStyle w:val="CheckA"/>
              <w:spacing w:before="60" w:after="60"/>
              <w:jc w:val="left"/>
            </w:pPr>
            <w:r w:rsidRPr="00F05E1C">
              <w:t>J.</w:t>
            </w:r>
            <w:r w:rsidRPr="00F05E1C">
              <w:tab/>
              <w:t>All Department review comments d</w:t>
            </w:r>
            <w:r>
              <w:t xml:space="preserve">etailed and transmitted to RPC </w:t>
            </w:r>
            <w:r w:rsidRPr="00F05E1C">
              <w:t>Coordinator for transmittal to the developer?</w:t>
            </w:r>
          </w:p>
        </w:tc>
        <w:tc>
          <w:tcPr>
            <w:tcW w:w="6030" w:type="dxa"/>
            <w:gridSpan w:val="2"/>
            <w:tcBorders>
              <w:left w:val="nil"/>
              <w:right w:val="nil"/>
            </w:tcBorders>
            <w:vAlign w:val="center"/>
          </w:tcPr>
          <w:p w:rsidR="00225952" w:rsidRPr="00F05E1C" w:rsidRDefault="00225952" w:rsidP="00954053">
            <w:pPr>
              <w:pStyle w:val="Check1"/>
              <w:spacing w:before="60" w:after="60"/>
              <w:jc w:val="left"/>
            </w:pPr>
            <w:r w:rsidRPr="00F05E1C">
              <w:t>1.</w:t>
            </w:r>
            <w:r w:rsidRPr="00F05E1C">
              <w:tab/>
              <w:t>Duplicate set of Department comments</w:t>
            </w:r>
            <w:r>
              <w:t xml:space="preserve"> transmitted directly to the </w:t>
            </w:r>
            <w:r w:rsidRPr="00F05E1C">
              <w:t>developer (or its authorized representative)?</w:t>
            </w:r>
          </w:p>
          <w:p w:rsidR="00225952" w:rsidRPr="001454F8" w:rsidRDefault="00225952" w:rsidP="00954053">
            <w:pPr>
              <w:pStyle w:val="Check1"/>
              <w:spacing w:before="60" w:after="60"/>
              <w:jc w:val="left"/>
            </w:pP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501" name="Picture 207"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10350" w:type="dxa"/>
            <w:gridSpan w:val="4"/>
          </w:tcPr>
          <w:p w:rsidR="00225952" w:rsidRPr="0034266E" w:rsidRDefault="00225952" w:rsidP="00225952">
            <w:pPr>
              <w:jc w:val="right"/>
            </w:pPr>
            <w:r w:rsidRPr="009C28E0">
              <w:rPr>
                <w:b/>
              </w:rPr>
              <w:t>1 of 2</w:t>
            </w:r>
          </w:p>
        </w:tc>
      </w:tr>
    </w:tbl>
    <w:p w:rsidR="00225952" w:rsidRDefault="00225952"/>
    <w:p w:rsidR="00225952" w:rsidRDefault="00225952">
      <w:r>
        <w:rPr>
          <w:b/>
        </w:rPr>
        <w:br w:type="page"/>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150"/>
        <w:gridCol w:w="6030"/>
        <w:gridCol w:w="1170"/>
      </w:tblGrid>
      <w:tr w:rsidR="00225952" w:rsidTr="00225952">
        <w:tc>
          <w:tcPr>
            <w:tcW w:w="9180" w:type="dxa"/>
            <w:gridSpan w:val="2"/>
            <w:tcBorders>
              <w:right w:val="nil"/>
            </w:tcBorders>
            <w:shd w:val="clear" w:color="auto" w:fill="DBE5F1"/>
          </w:tcPr>
          <w:p w:rsidR="00225952" w:rsidRPr="00971DB0" w:rsidRDefault="00225952" w:rsidP="00225952">
            <w:pPr>
              <w:pStyle w:val="Resource"/>
            </w:pPr>
            <w:r w:rsidRPr="009C28E0">
              <w:rPr>
                <w:color w:val="auto"/>
              </w:rPr>
              <w:lastRenderedPageBreak/>
              <w:t>DRI Checklist 5 |</w:t>
            </w:r>
            <w:r>
              <w:t xml:space="preserve"> </w:t>
            </w:r>
            <w:r w:rsidRPr="00971DB0">
              <w:t xml:space="preserve">Project Monitoring </w:t>
            </w:r>
            <w:r>
              <w:t xml:space="preserve">&amp; </w:t>
            </w:r>
            <w:r w:rsidRPr="00971DB0">
              <w:t xml:space="preserve">Report Review </w:t>
            </w:r>
          </w:p>
        </w:tc>
        <w:tc>
          <w:tcPr>
            <w:tcW w:w="1170" w:type="dxa"/>
            <w:tcBorders>
              <w:left w:val="nil"/>
            </w:tcBorders>
            <w:vAlign w:val="center"/>
          </w:tcPr>
          <w:p w:rsidR="00225952" w:rsidRPr="002635FD" w:rsidRDefault="00225952" w:rsidP="00225952">
            <w:pPr>
              <w:spacing w:after="0"/>
              <w:jc w:val="center"/>
            </w:pPr>
          </w:p>
        </w:tc>
      </w:tr>
      <w:tr w:rsidR="00225952" w:rsidTr="00225952">
        <w:tc>
          <w:tcPr>
            <w:tcW w:w="9180" w:type="dxa"/>
            <w:gridSpan w:val="2"/>
            <w:tcBorders>
              <w:right w:val="nil"/>
            </w:tcBorders>
            <w:shd w:val="clear" w:color="auto" w:fill="DBE5F1"/>
          </w:tcPr>
          <w:p w:rsidR="00225952" w:rsidRPr="009C28E0" w:rsidRDefault="00225952" w:rsidP="00225952">
            <w:pPr>
              <w:tabs>
                <w:tab w:val="left" w:pos="360"/>
                <w:tab w:val="left" w:pos="735"/>
              </w:tabs>
              <w:spacing w:after="0" w:line="240" w:lineRule="auto"/>
              <w:rPr>
                <w:b/>
                <w:color w:val="993300"/>
                <w:sz w:val="24"/>
                <w:szCs w:val="24"/>
              </w:rPr>
            </w:pPr>
            <w:r w:rsidRPr="009C28E0">
              <w:rPr>
                <w:b/>
              </w:rPr>
              <w:t>Multimodal Criteria</w:t>
            </w:r>
          </w:p>
        </w:tc>
        <w:tc>
          <w:tcPr>
            <w:tcW w:w="1170" w:type="dxa"/>
            <w:tcBorders>
              <w:left w:val="nil"/>
            </w:tcBorders>
            <w:vAlign w:val="center"/>
          </w:tcPr>
          <w:p w:rsidR="00225952" w:rsidRPr="002635FD" w:rsidRDefault="00225952" w:rsidP="00225952">
            <w:pPr>
              <w:spacing w:after="0"/>
              <w:jc w:val="center"/>
            </w:pPr>
            <w:r w:rsidRPr="009C28E0">
              <w:rPr>
                <w:noProof/>
                <w:color w:val="4F6228"/>
                <w:sz w:val="18"/>
              </w:rPr>
              <w:t xml:space="preserve">Y  </w:t>
            </w:r>
            <w:r w:rsidRPr="009C28E0">
              <w:rPr>
                <w:noProof/>
                <w:sz w:val="18"/>
              </w:rPr>
              <w:t xml:space="preserve"> </w:t>
            </w:r>
            <w:r w:rsidRPr="009C28E0">
              <w:rPr>
                <w:noProof/>
                <w:color w:val="C00000"/>
                <w:sz w:val="18"/>
              </w:rPr>
              <w:t>N</w:t>
            </w:r>
            <w:r w:rsidRPr="009C28E0">
              <w:rPr>
                <w:noProof/>
                <w:sz w:val="18"/>
              </w:rPr>
              <w:t xml:space="preserve">  </w:t>
            </w:r>
            <w:r w:rsidRPr="009C28E0">
              <w:rPr>
                <w:noProof/>
                <w:color w:val="7F7F7F"/>
                <w:sz w:val="18"/>
              </w:rPr>
              <w:t>N/A</w:t>
            </w:r>
          </w:p>
        </w:tc>
      </w:tr>
      <w:tr w:rsidR="00225952" w:rsidTr="00225952">
        <w:tc>
          <w:tcPr>
            <w:tcW w:w="3150" w:type="dxa"/>
            <w:vMerge w:val="restart"/>
            <w:tcBorders>
              <w:right w:val="nil"/>
            </w:tcBorders>
          </w:tcPr>
          <w:p w:rsidR="00225952" w:rsidRPr="00F05E1C" w:rsidRDefault="00225952" w:rsidP="00954053">
            <w:pPr>
              <w:pStyle w:val="CheckA"/>
              <w:spacing w:before="40" w:after="40"/>
              <w:jc w:val="left"/>
            </w:pPr>
            <w:r>
              <w:t>A.  Bus Stop Locations and Facilities</w:t>
            </w:r>
          </w:p>
        </w:tc>
        <w:tc>
          <w:tcPr>
            <w:tcW w:w="6030" w:type="dxa"/>
            <w:tcBorders>
              <w:left w:val="nil"/>
              <w:right w:val="nil"/>
            </w:tcBorders>
            <w:vAlign w:val="center"/>
          </w:tcPr>
          <w:p w:rsidR="00225952" w:rsidRPr="001454F8" w:rsidRDefault="00225952" w:rsidP="00954053">
            <w:pPr>
              <w:pStyle w:val="Check1"/>
              <w:spacing w:before="40" w:after="40"/>
              <w:jc w:val="left"/>
            </w:pPr>
            <w:r>
              <w:t xml:space="preserve">1. </w:t>
            </w:r>
            <w:r w:rsidRPr="00F05E1C">
              <w:t>Bus stops - Increase in bus stops with emphasis</w:t>
            </w:r>
            <w:r>
              <w:t xml:space="preserve"> on true ¼ mile accessibility to the </w:t>
            </w:r>
            <w:r w:rsidRPr="00F05E1C">
              <w:t>population</w:t>
            </w:r>
            <w:r>
              <w:t xml:space="preserve"> (factoring in good sidewalk connectivity rather than simple distance)</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502" name="Picture 208"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F05E1C" w:rsidRDefault="00225952" w:rsidP="00954053">
            <w:pPr>
              <w:pStyle w:val="CheckA"/>
              <w:spacing w:before="40" w:after="40"/>
              <w:jc w:val="left"/>
            </w:pPr>
          </w:p>
        </w:tc>
        <w:tc>
          <w:tcPr>
            <w:tcW w:w="6030" w:type="dxa"/>
            <w:tcBorders>
              <w:left w:val="nil"/>
              <w:right w:val="nil"/>
            </w:tcBorders>
            <w:vAlign w:val="center"/>
          </w:tcPr>
          <w:p w:rsidR="00225952" w:rsidRDefault="00225952" w:rsidP="00954053">
            <w:pPr>
              <w:pStyle w:val="Check1"/>
              <w:spacing w:before="40" w:after="40"/>
              <w:ind w:left="950"/>
              <w:jc w:val="left"/>
            </w:pPr>
            <w:r>
              <w:t>a.  W</w:t>
            </w:r>
            <w:r w:rsidRPr="00F05E1C">
              <w:t>ith shelters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503" name="Picture 209"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F05E1C" w:rsidRDefault="00225952" w:rsidP="00954053">
            <w:pPr>
              <w:pStyle w:val="CheckA"/>
              <w:spacing w:before="40" w:after="40"/>
              <w:jc w:val="left"/>
            </w:pPr>
          </w:p>
        </w:tc>
        <w:tc>
          <w:tcPr>
            <w:tcW w:w="6030" w:type="dxa"/>
            <w:tcBorders>
              <w:left w:val="nil"/>
              <w:right w:val="nil"/>
            </w:tcBorders>
            <w:vAlign w:val="center"/>
          </w:tcPr>
          <w:p w:rsidR="00225952" w:rsidRDefault="00225952" w:rsidP="00954053">
            <w:pPr>
              <w:pStyle w:val="Check1"/>
              <w:spacing w:before="40" w:after="40"/>
              <w:ind w:left="950"/>
              <w:jc w:val="left"/>
            </w:pPr>
            <w:r>
              <w:t>b.  W</w:t>
            </w:r>
            <w:r w:rsidRPr="00F05E1C">
              <w:t>ith bicycle parking</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504" name="Picture 210"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val="restart"/>
            <w:tcBorders>
              <w:right w:val="nil"/>
            </w:tcBorders>
          </w:tcPr>
          <w:p w:rsidR="00225952" w:rsidRPr="00271475" w:rsidRDefault="00225952" w:rsidP="00954053">
            <w:pPr>
              <w:pStyle w:val="CheckA"/>
              <w:spacing w:before="40" w:after="40"/>
              <w:jc w:val="left"/>
            </w:pPr>
            <w:r>
              <w:t>B.  Transit Revenue M</w:t>
            </w:r>
            <w:r w:rsidRPr="00271475">
              <w:t>iles</w:t>
            </w:r>
            <w:r>
              <w:t xml:space="preserve"> and System Access</w:t>
            </w:r>
          </w:p>
        </w:tc>
        <w:tc>
          <w:tcPr>
            <w:tcW w:w="6030" w:type="dxa"/>
            <w:tcBorders>
              <w:left w:val="nil"/>
              <w:right w:val="nil"/>
            </w:tcBorders>
            <w:vAlign w:val="center"/>
          </w:tcPr>
          <w:p w:rsidR="00225952" w:rsidRPr="001454F8" w:rsidRDefault="00225952" w:rsidP="00954053">
            <w:pPr>
              <w:pStyle w:val="Check1"/>
              <w:spacing w:before="40" w:after="40"/>
              <w:jc w:val="left"/>
            </w:pPr>
            <w:r>
              <w:t>1.  T</w:t>
            </w:r>
            <w:r w:rsidRPr="00F05E1C">
              <w:t>he number of miles the transit vehicle is actually in service.</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505" name="Picture 211"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271475" w:rsidRDefault="00225952" w:rsidP="00954053">
            <w:pPr>
              <w:pStyle w:val="CheckA"/>
              <w:spacing w:before="40" w:after="40"/>
              <w:jc w:val="left"/>
            </w:pPr>
          </w:p>
        </w:tc>
        <w:tc>
          <w:tcPr>
            <w:tcW w:w="6030" w:type="dxa"/>
            <w:tcBorders>
              <w:left w:val="nil"/>
              <w:right w:val="nil"/>
            </w:tcBorders>
            <w:vAlign w:val="center"/>
          </w:tcPr>
          <w:p w:rsidR="00225952" w:rsidRPr="001454F8" w:rsidRDefault="00225952" w:rsidP="00954053">
            <w:pPr>
              <w:pStyle w:val="Check1"/>
              <w:spacing w:before="40" w:after="40"/>
              <w:jc w:val="left"/>
            </w:pPr>
            <w:r>
              <w:t xml:space="preserve">2.  </w:t>
            </w:r>
            <w:r w:rsidRPr="00F05E1C">
              <w:t>Intersecting transit routes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506" name="Picture 21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271475" w:rsidRDefault="00225952" w:rsidP="00954053">
            <w:pPr>
              <w:pStyle w:val="CheckA"/>
              <w:spacing w:before="40" w:after="40"/>
              <w:jc w:val="left"/>
            </w:pPr>
          </w:p>
        </w:tc>
        <w:tc>
          <w:tcPr>
            <w:tcW w:w="6030" w:type="dxa"/>
            <w:tcBorders>
              <w:left w:val="nil"/>
              <w:right w:val="nil"/>
            </w:tcBorders>
            <w:vAlign w:val="center"/>
          </w:tcPr>
          <w:p w:rsidR="00225952" w:rsidRPr="001454F8" w:rsidRDefault="00225952" w:rsidP="00954053">
            <w:pPr>
              <w:pStyle w:val="Check1"/>
              <w:spacing w:before="40" w:after="40"/>
              <w:jc w:val="left"/>
            </w:pPr>
            <w:r>
              <w:t xml:space="preserve">3.  </w:t>
            </w:r>
            <w:r w:rsidRPr="00F05E1C">
              <w:t>Park and ride locations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507" name="Picture 213"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271475" w:rsidRDefault="00225952" w:rsidP="00954053">
            <w:pPr>
              <w:pStyle w:val="CheckA"/>
              <w:spacing w:before="40" w:after="40"/>
              <w:jc w:val="left"/>
            </w:pPr>
          </w:p>
        </w:tc>
        <w:tc>
          <w:tcPr>
            <w:tcW w:w="6030" w:type="dxa"/>
            <w:tcBorders>
              <w:left w:val="nil"/>
              <w:right w:val="nil"/>
            </w:tcBorders>
            <w:vAlign w:val="center"/>
          </w:tcPr>
          <w:p w:rsidR="00225952" w:rsidRPr="00F05E1C" w:rsidRDefault="00225952" w:rsidP="00954053">
            <w:pPr>
              <w:pStyle w:val="Check1"/>
              <w:spacing w:before="40" w:after="40"/>
              <w:ind w:left="0" w:firstLine="0"/>
              <w:jc w:val="left"/>
            </w:pPr>
            <w:r>
              <w:t xml:space="preserve">4.  </w:t>
            </w:r>
            <w:r w:rsidRPr="00F05E1C">
              <w:t>Traffic signals with transit priority</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508" name="Picture 219"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val="restart"/>
            <w:tcBorders>
              <w:right w:val="nil"/>
            </w:tcBorders>
          </w:tcPr>
          <w:p w:rsidR="00225952" w:rsidRPr="00271475" w:rsidRDefault="00225952" w:rsidP="00954053">
            <w:pPr>
              <w:pStyle w:val="CheckA"/>
              <w:spacing w:before="40" w:after="40"/>
              <w:jc w:val="left"/>
            </w:pPr>
            <w:r>
              <w:t>C.  Bicycl</w:t>
            </w:r>
            <w:r w:rsidRPr="00271475">
              <w:t>e &amp; Pedestrian</w:t>
            </w:r>
            <w:r>
              <w:t xml:space="preserve"> F</w:t>
            </w:r>
            <w:r w:rsidRPr="00271475">
              <w:t>acilities</w:t>
            </w:r>
          </w:p>
        </w:tc>
        <w:tc>
          <w:tcPr>
            <w:tcW w:w="6030" w:type="dxa"/>
            <w:tcBorders>
              <w:left w:val="nil"/>
              <w:right w:val="nil"/>
            </w:tcBorders>
            <w:vAlign w:val="center"/>
          </w:tcPr>
          <w:p w:rsidR="00225952" w:rsidRPr="001454F8" w:rsidRDefault="00225952" w:rsidP="00954053">
            <w:pPr>
              <w:pStyle w:val="Check1"/>
              <w:spacing w:before="40" w:after="40"/>
              <w:jc w:val="left"/>
            </w:pPr>
            <w:r>
              <w:t xml:space="preserve">1.  </w:t>
            </w:r>
            <w:r w:rsidRPr="00F05E1C">
              <w:t>Multiuse path miles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509" name="Picture 214"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F05E1C" w:rsidRDefault="00225952" w:rsidP="00954053">
            <w:pPr>
              <w:pStyle w:val="CheckA"/>
              <w:spacing w:before="40" w:after="40"/>
              <w:jc w:val="left"/>
            </w:pPr>
          </w:p>
        </w:tc>
        <w:tc>
          <w:tcPr>
            <w:tcW w:w="6030" w:type="dxa"/>
            <w:tcBorders>
              <w:left w:val="nil"/>
              <w:right w:val="nil"/>
            </w:tcBorders>
            <w:vAlign w:val="center"/>
          </w:tcPr>
          <w:p w:rsidR="00225952" w:rsidRPr="00F05E1C" w:rsidRDefault="00225952" w:rsidP="00954053">
            <w:pPr>
              <w:pStyle w:val="Check1"/>
              <w:spacing w:before="40" w:after="40"/>
              <w:jc w:val="left"/>
            </w:pPr>
            <w:r>
              <w:t xml:space="preserve">2.  </w:t>
            </w:r>
            <w:r w:rsidRPr="00F05E1C">
              <w:t>Bike lane miles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510" name="Picture 215"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F05E1C" w:rsidRDefault="00225952" w:rsidP="00954053">
            <w:pPr>
              <w:pStyle w:val="CheckA"/>
              <w:spacing w:before="40" w:after="40"/>
              <w:jc w:val="left"/>
            </w:pPr>
          </w:p>
        </w:tc>
        <w:tc>
          <w:tcPr>
            <w:tcW w:w="6030" w:type="dxa"/>
            <w:tcBorders>
              <w:left w:val="nil"/>
              <w:right w:val="nil"/>
            </w:tcBorders>
            <w:vAlign w:val="center"/>
          </w:tcPr>
          <w:p w:rsidR="00225952" w:rsidRPr="00F05E1C" w:rsidRDefault="00225952" w:rsidP="00954053">
            <w:pPr>
              <w:pStyle w:val="Check1"/>
              <w:spacing w:before="40" w:after="40"/>
              <w:jc w:val="left"/>
            </w:pPr>
            <w:r>
              <w:t xml:space="preserve">3.  </w:t>
            </w:r>
            <w:r w:rsidRPr="00F05E1C">
              <w:t>Sidewalk miles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511" name="Picture 216"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F05E1C" w:rsidRDefault="00225952" w:rsidP="00954053">
            <w:pPr>
              <w:pStyle w:val="CheckA"/>
              <w:spacing w:before="40" w:after="40"/>
              <w:jc w:val="left"/>
            </w:pPr>
          </w:p>
        </w:tc>
        <w:tc>
          <w:tcPr>
            <w:tcW w:w="6030" w:type="dxa"/>
            <w:tcBorders>
              <w:left w:val="nil"/>
              <w:right w:val="nil"/>
            </w:tcBorders>
            <w:vAlign w:val="center"/>
          </w:tcPr>
          <w:p w:rsidR="00225952" w:rsidRDefault="00225952" w:rsidP="00954053">
            <w:pPr>
              <w:pStyle w:val="Check1"/>
              <w:spacing w:before="40" w:after="40"/>
              <w:jc w:val="left"/>
            </w:pPr>
            <w:r w:rsidRPr="00047B11">
              <w:t>4.  Well designed pedestrian  crosswalks</w:t>
            </w:r>
          </w:p>
        </w:tc>
        <w:tc>
          <w:tcPr>
            <w:tcW w:w="1170" w:type="dxa"/>
            <w:tcBorders>
              <w:left w:val="nil"/>
            </w:tcBorders>
            <w:vAlign w:val="center"/>
          </w:tcPr>
          <w:p w:rsidR="00225952" w:rsidRDefault="00225952" w:rsidP="00225952">
            <w:pPr>
              <w:spacing w:after="0"/>
              <w:jc w:val="center"/>
              <w:rPr>
                <w:noProof/>
              </w:rPr>
            </w:pPr>
            <w:r>
              <w:rPr>
                <w:noProof/>
              </w:rPr>
              <w:drawing>
                <wp:inline distT="0" distB="0" distL="0" distR="0">
                  <wp:extent cx="462915" cy="154305"/>
                  <wp:effectExtent l="0" t="0" r="0" b="0"/>
                  <wp:docPr id="512" name="Picture 385"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F05E1C" w:rsidRDefault="00225952" w:rsidP="00954053">
            <w:pPr>
              <w:pStyle w:val="CheckA"/>
              <w:spacing w:before="40" w:after="40"/>
              <w:jc w:val="left"/>
            </w:pPr>
          </w:p>
        </w:tc>
        <w:tc>
          <w:tcPr>
            <w:tcW w:w="6030" w:type="dxa"/>
            <w:tcBorders>
              <w:left w:val="nil"/>
              <w:right w:val="nil"/>
            </w:tcBorders>
            <w:vAlign w:val="center"/>
          </w:tcPr>
          <w:p w:rsidR="00225952" w:rsidRPr="00F05E1C" w:rsidRDefault="00225952" w:rsidP="00954053">
            <w:pPr>
              <w:pStyle w:val="Check1"/>
              <w:spacing w:before="40" w:after="40"/>
              <w:jc w:val="left"/>
            </w:pPr>
            <w:r>
              <w:t>5.  Enhanced pedestrian crossings at bus stops</w:t>
            </w:r>
          </w:p>
        </w:tc>
        <w:tc>
          <w:tcPr>
            <w:tcW w:w="1170" w:type="dxa"/>
            <w:tcBorders>
              <w:left w:val="nil"/>
            </w:tcBorders>
            <w:vAlign w:val="center"/>
          </w:tcPr>
          <w:p w:rsidR="00225952" w:rsidRPr="002635FD" w:rsidRDefault="00225952" w:rsidP="00225952">
            <w:pPr>
              <w:spacing w:after="0"/>
              <w:jc w:val="center"/>
            </w:pPr>
            <w:r w:rsidRPr="00EE7972">
              <w:rPr>
                <w:noProof/>
              </w:rPr>
              <w:drawing>
                <wp:inline distT="0" distB="0" distL="0" distR="0">
                  <wp:extent cx="462915" cy="154305"/>
                  <wp:effectExtent l="0" t="0" r="0" b="0"/>
                  <wp:docPr id="513" name="Picture 385"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val="restart"/>
            <w:tcBorders>
              <w:right w:val="nil"/>
            </w:tcBorders>
          </w:tcPr>
          <w:p w:rsidR="00225952" w:rsidRPr="00F05E1C" w:rsidRDefault="00225952" w:rsidP="00954053">
            <w:pPr>
              <w:pStyle w:val="CheckA"/>
              <w:spacing w:before="40" w:after="40"/>
              <w:jc w:val="left"/>
            </w:pPr>
            <w:r>
              <w:t>D.  Increases</w:t>
            </w:r>
          </w:p>
        </w:tc>
        <w:tc>
          <w:tcPr>
            <w:tcW w:w="6030" w:type="dxa"/>
            <w:tcBorders>
              <w:left w:val="nil"/>
              <w:right w:val="nil"/>
            </w:tcBorders>
            <w:vAlign w:val="center"/>
          </w:tcPr>
          <w:p w:rsidR="00225952" w:rsidRPr="00F05E1C" w:rsidRDefault="00225952" w:rsidP="00954053">
            <w:pPr>
              <w:pStyle w:val="Check1"/>
              <w:spacing w:before="40" w:after="40"/>
              <w:jc w:val="left"/>
            </w:pPr>
            <w:r>
              <w:t xml:space="preserve">1.  </w:t>
            </w:r>
            <w:r w:rsidRPr="00F05E1C">
              <w:t>Increase in transit peak hour capacity</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514" name="Picture 220"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F05E1C" w:rsidRDefault="00225952" w:rsidP="00954053">
            <w:pPr>
              <w:pStyle w:val="CheckA"/>
              <w:spacing w:before="40" w:after="40"/>
              <w:jc w:val="left"/>
            </w:pPr>
          </w:p>
        </w:tc>
        <w:tc>
          <w:tcPr>
            <w:tcW w:w="6030" w:type="dxa"/>
            <w:tcBorders>
              <w:left w:val="nil"/>
              <w:right w:val="nil"/>
            </w:tcBorders>
            <w:vAlign w:val="center"/>
          </w:tcPr>
          <w:p w:rsidR="00225952" w:rsidRDefault="00225952" w:rsidP="00954053">
            <w:pPr>
              <w:pStyle w:val="Check1"/>
              <w:spacing w:before="40" w:after="40"/>
              <w:jc w:val="left"/>
            </w:pPr>
            <w:r>
              <w:t xml:space="preserve">2.  </w:t>
            </w:r>
            <w:r w:rsidRPr="00F05E1C">
              <w:t xml:space="preserve">Increase in transit rides per capita </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515" name="Picture 221"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F05E1C" w:rsidRDefault="00225952" w:rsidP="00954053">
            <w:pPr>
              <w:pStyle w:val="CheckA"/>
              <w:spacing w:before="40" w:after="40"/>
              <w:jc w:val="left"/>
            </w:pPr>
          </w:p>
        </w:tc>
        <w:tc>
          <w:tcPr>
            <w:tcW w:w="6030" w:type="dxa"/>
            <w:tcBorders>
              <w:left w:val="nil"/>
              <w:right w:val="nil"/>
            </w:tcBorders>
            <w:vAlign w:val="center"/>
          </w:tcPr>
          <w:p w:rsidR="00225952" w:rsidRDefault="00225952" w:rsidP="00954053">
            <w:pPr>
              <w:pStyle w:val="Check1"/>
              <w:spacing w:before="40" w:after="40"/>
              <w:jc w:val="left"/>
            </w:pPr>
            <w:r>
              <w:t xml:space="preserve">3.  </w:t>
            </w:r>
            <w:r w:rsidRPr="00F05E1C">
              <w:t>Increase in ridesharing</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516" name="Picture 22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F05E1C" w:rsidRDefault="00225952" w:rsidP="00954053">
            <w:pPr>
              <w:pStyle w:val="CheckA"/>
              <w:spacing w:before="40" w:after="40"/>
              <w:jc w:val="left"/>
            </w:pPr>
          </w:p>
        </w:tc>
        <w:tc>
          <w:tcPr>
            <w:tcW w:w="6030" w:type="dxa"/>
            <w:tcBorders>
              <w:left w:val="nil"/>
              <w:right w:val="nil"/>
            </w:tcBorders>
            <w:vAlign w:val="center"/>
          </w:tcPr>
          <w:p w:rsidR="00225952" w:rsidRDefault="00225952" w:rsidP="00954053">
            <w:pPr>
              <w:pStyle w:val="Check1"/>
              <w:spacing w:before="40" w:after="40"/>
              <w:jc w:val="left"/>
            </w:pPr>
            <w:r>
              <w:t xml:space="preserve">4.  </w:t>
            </w:r>
            <w:r w:rsidRPr="00F05E1C">
              <w:t>Increase in telecommuting</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517" name="Picture 223"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F05E1C" w:rsidRDefault="00225952" w:rsidP="00954053">
            <w:pPr>
              <w:pStyle w:val="CheckA"/>
              <w:spacing w:before="40" w:after="40"/>
              <w:jc w:val="left"/>
            </w:pPr>
          </w:p>
        </w:tc>
        <w:tc>
          <w:tcPr>
            <w:tcW w:w="6030" w:type="dxa"/>
            <w:tcBorders>
              <w:left w:val="nil"/>
              <w:right w:val="nil"/>
            </w:tcBorders>
            <w:vAlign w:val="center"/>
          </w:tcPr>
          <w:p w:rsidR="00225952" w:rsidRPr="00F05E1C" w:rsidRDefault="00225952" w:rsidP="00954053">
            <w:pPr>
              <w:pStyle w:val="Check1"/>
              <w:spacing w:before="40" w:after="40"/>
              <w:jc w:val="left"/>
            </w:pPr>
            <w:r>
              <w:t xml:space="preserve">5.  </w:t>
            </w:r>
            <w:r w:rsidRPr="00F05E1C">
              <w:t>Increase in use of alternative work hours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518" name="Picture 224"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F05E1C" w:rsidRDefault="00225952" w:rsidP="00954053">
            <w:pPr>
              <w:pStyle w:val="CheckA"/>
              <w:spacing w:before="40" w:after="40"/>
              <w:jc w:val="left"/>
            </w:pPr>
          </w:p>
        </w:tc>
        <w:tc>
          <w:tcPr>
            <w:tcW w:w="6030" w:type="dxa"/>
            <w:tcBorders>
              <w:left w:val="nil"/>
              <w:right w:val="nil"/>
            </w:tcBorders>
            <w:vAlign w:val="center"/>
          </w:tcPr>
          <w:p w:rsidR="00225952" w:rsidRPr="00F05E1C" w:rsidRDefault="00225952" w:rsidP="00954053">
            <w:pPr>
              <w:pStyle w:val="Check1"/>
              <w:spacing w:before="40" w:after="40"/>
              <w:jc w:val="left"/>
            </w:pPr>
            <w:r>
              <w:t xml:space="preserve">6.  </w:t>
            </w:r>
            <w:r w:rsidRPr="00F05E1C">
              <w:t>Increase in walking</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519" name="Picture 225"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F05E1C" w:rsidRDefault="00225952" w:rsidP="00954053">
            <w:pPr>
              <w:pStyle w:val="CheckA"/>
              <w:spacing w:before="40" w:after="40"/>
              <w:jc w:val="left"/>
            </w:pPr>
          </w:p>
        </w:tc>
        <w:tc>
          <w:tcPr>
            <w:tcW w:w="6030" w:type="dxa"/>
            <w:tcBorders>
              <w:left w:val="nil"/>
              <w:right w:val="nil"/>
            </w:tcBorders>
            <w:vAlign w:val="center"/>
          </w:tcPr>
          <w:p w:rsidR="00225952" w:rsidRPr="00F05E1C" w:rsidRDefault="00225952" w:rsidP="00954053">
            <w:pPr>
              <w:pStyle w:val="Check1"/>
              <w:spacing w:before="40" w:after="40"/>
              <w:jc w:val="left"/>
            </w:pPr>
            <w:r>
              <w:t xml:space="preserve">7.  </w:t>
            </w:r>
            <w:r w:rsidRPr="00F05E1C">
              <w:t>Increase in bicycling</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520" name="Picture 226"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val="restart"/>
            <w:tcBorders>
              <w:right w:val="nil"/>
            </w:tcBorders>
          </w:tcPr>
          <w:p w:rsidR="00225952" w:rsidRPr="00F05E1C" w:rsidRDefault="00225952" w:rsidP="00954053">
            <w:pPr>
              <w:pStyle w:val="CheckA"/>
              <w:spacing w:before="40" w:after="40"/>
              <w:jc w:val="left"/>
            </w:pPr>
            <w:r>
              <w:t>E.  Decreases</w:t>
            </w:r>
          </w:p>
        </w:tc>
        <w:tc>
          <w:tcPr>
            <w:tcW w:w="6030" w:type="dxa"/>
            <w:tcBorders>
              <w:left w:val="nil"/>
              <w:right w:val="nil"/>
            </w:tcBorders>
            <w:vAlign w:val="center"/>
          </w:tcPr>
          <w:p w:rsidR="00225952" w:rsidRPr="00F05E1C" w:rsidRDefault="00225952" w:rsidP="00954053">
            <w:pPr>
              <w:pStyle w:val="Check1"/>
              <w:spacing w:before="40" w:after="40"/>
              <w:jc w:val="left"/>
            </w:pPr>
            <w:r>
              <w:t xml:space="preserve">1.  </w:t>
            </w:r>
            <w:r w:rsidRPr="00F05E1C">
              <w:t xml:space="preserve">Decrease in growth rate of VMT per person </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521" name="Picture 227"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F05E1C" w:rsidRDefault="00225952" w:rsidP="00954053">
            <w:pPr>
              <w:pStyle w:val="CheckA"/>
              <w:spacing w:before="40" w:after="40"/>
              <w:jc w:val="left"/>
            </w:pPr>
          </w:p>
        </w:tc>
        <w:tc>
          <w:tcPr>
            <w:tcW w:w="6030" w:type="dxa"/>
            <w:tcBorders>
              <w:left w:val="nil"/>
              <w:right w:val="nil"/>
            </w:tcBorders>
            <w:vAlign w:val="center"/>
          </w:tcPr>
          <w:p w:rsidR="00225952" w:rsidRPr="00F05E1C" w:rsidRDefault="00225952" w:rsidP="00954053">
            <w:pPr>
              <w:pStyle w:val="Check1"/>
              <w:spacing w:before="40" w:after="40"/>
              <w:jc w:val="left"/>
            </w:pPr>
            <w:r>
              <w:t xml:space="preserve">2.  </w:t>
            </w:r>
            <w:r w:rsidRPr="00F05E1C">
              <w:t>Decrease in growth rate of single occupant vehicle (SOV) mode share</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522" name="Picture 228"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10350" w:type="dxa"/>
            <w:gridSpan w:val="3"/>
          </w:tcPr>
          <w:p w:rsidR="00225952" w:rsidRPr="0034266E" w:rsidRDefault="00225952" w:rsidP="00225952">
            <w:pPr>
              <w:pStyle w:val="ResourceNotTOC"/>
              <w:jc w:val="right"/>
            </w:pPr>
            <w:r>
              <w:t>2 of 2</w:t>
            </w:r>
          </w:p>
        </w:tc>
      </w:tr>
    </w:tbl>
    <w:p w:rsidR="00225952" w:rsidRDefault="00225952" w:rsidP="00225952">
      <w:pPr>
        <w:sectPr w:rsidR="00225952" w:rsidSect="00832911">
          <w:headerReference w:type="default" r:id="rId339"/>
          <w:type w:val="continuous"/>
          <w:pgSz w:w="12240" w:h="15840"/>
          <w:pgMar w:top="1440" w:right="720" w:bottom="1440" w:left="1152" w:header="720" w:footer="720" w:gutter="0"/>
          <w:cols w:space="720"/>
          <w:docGrid w:linePitch="360"/>
        </w:sect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150"/>
        <w:gridCol w:w="4770"/>
        <w:gridCol w:w="1260"/>
        <w:gridCol w:w="1170"/>
      </w:tblGrid>
      <w:tr w:rsidR="00225952" w:rsidTr="000D1D97">
        <w:tc>
          <w:tcPr>
            <w:tcW w:w="10350" w:type="dxa"/>
            <w:gridSpan w:val="4"/>
            <w:shd w:val="clear" w:color="auto" w:fill="31849B" w:themeFill="accent5" w:themeFillShade="BF"/>
          </w:tcPr>
          <w:p w:rsidR="00225952" w:rsidRPr="000D1D97" w:rsidRDefault="00225952" w:rsidP="000D1D97">
            <w:pPr>
              <w:pStyle w:val="Heading2"/>
              <w:spacing w:before="0" w:after="0"/>
              <w:rPr>
                <w:rFonts w:ascii="Trebuchet MS" w:hAnsi="Trebuchet MS"/>
              </w:rPr>
            </w:pPr>
            <w:bookmarkStart w:id="311" w:name="C6"/>
            <w:bookmarkStart w:id="312" w:name="_Toc264274170"/>
            <w:bookmarkEnd w:id="311"/>
            <w:r w:rsidRPr="000D1D97">
              <w:rPr>
                <w:rFonts w:ascii="Trebuchet MS" w:hAnsi="Trebuchet MS"/>
                <w:color w:val="auto"/>
              </w:rPr>
              <w:lastRenderedPageBreak/>
              <w:t>DRI Checklist 6 |</w:t>
            </w:r>
            <w:r w:rsidRPr="000D1D97">
              <w:rPr>
                <w:rFonts w:ascii="Trebuchet MS" w:hAnsi="Trebuchet MS"/>
              </w:rPr>
              <w:t xml:space="preserve"> </w:t>
            </w:r>
            <w:r w:rsidRPr="000D1D97">
              <w:rPr>
                <w:rFonts w:ascii="Trebuchet MS" w:hAnsi="Trebuchet MS"/>
                <w:color w:val="FFFFFF" w:themeColor="background1"/>
              </w:rPr>
              <w:t>Conceptual Site Access Review</w:t>
            </w:r>
            <w:bookmarkEnd w:id="312"/>
            <w:r w:rsidRPr="000D1D97">
              <w:rPr>
                <w:rFonts w:ascii="Trebuchet MS" w:hAnsi="Trebuchet MS"/>
              </w:rPr>
              <w:t xml:space="preserve"> </w:t>
            </w:r>
          </w:p>
        </w:tc>
      </w:tr>
      <w:tr w:rsidR="00225952" w:rsidTr="00225952">
        <w:tc>
          <w:tcPr>
            <w:tcW w:w="3150" w:type="dxa"/>
            <w:tcBorders>
              <w:right w:val="nil"/>
            </w:tcBorders>
          </w:tcPr>
          <w:p w:rsidR="00225952" w:rsidRPr="009C28E0" w:rsidRDefault="00225952" w:rsidP="00225952">
            <w:pPr>
              <w:spacing w:after="0"/>
              <w:rPr>
                <w:i/>
                <w:sz w:val="18"/>
              </w:rPr>
            </w:pPr>
            <w:r w:rsidRPr="009C28E0">
              <w:rPr>
                <w:i/>
                <w:sz w:val="18"/>
              </w:rPr>
              <w:t>Project</w:t>
            </w:r>
          </w:p>
        </w:tc>
        <w:tc>
          <w:tcPr>
            <w:tcW w:w="4770" w:type="dxa"/>
            <w:tcBorders>
              <w:left w:val="nil"/>
              <w:right w:val="nil"/>
            </w:tcBorders>
          </w:tcPr>
          <w:p w:rsidR="00225952" w:rsidRPr="009C28E0" w:rsidRDefault="00225952" w:rsidP="00225952">
            <w:pPr>
              <w:spacing w:after="0"/>
              <w:rPr>
                <w:i/>
                <w:sz w:val="18"/>
              </w:rPr>
            </w:pPr>
            <w:r w:rsidRPr="009C28E0">
              <w:rPr>
                <w:i/>
                <w:sz w:val="18"/>
              </w:rPr>
              <w:t>Reviewer</w:t>
            </w:r>
          </w:p>
        </w:tc>
        <w:tc>
          <w:tcPr>
            <w:tcW w:w="2430" w:type="dxa"/>
            <w:gridSpan w:val="2"/>
            <w:tcBorders>
              <w:left w:val="nil"/>
            </w:tcBorders>
          </w:tcPr>
          <w:p w:rsidR="00225952" w:rsidRPr="009C28E0" w:rsidRDefault="00225952" w:rsidP="00225952">
            <w:pPr>
              <w:spacing w:after="0"/>
              <w:rPr>
                <w:i/>
                <w:sz w:val="18"/>
              </w:rPr>
            </w:pPr>
            <w:r w:rsidRPr="009C28E0">
              <w:rPr>
                <w:i/>
                <w:sz w:val="18"/>
              </w:rPr>
              <w:t>Date of Review:</w:t>
            </w:r>
          </w:p>
          <w:p w:rsidR="00225952" w:rsidRPr="009C28E0" w:rsidRDefault="00225952" w:rsidP="00225952">
            <w:pPr>
              <w:spacing w:after="0"/>
              <w:rPr>
                <w:i/>
                <w:sz w:val="18"/>
              </w:rPr>
            </w:pPr>
            <w:r w:rsidRPr="009C28E0">
              <w:rPr>
                <w:i/>
                <w:sz w:val="18"/>
              </w:rPr>
              <w:t>Comments Due:</w:t>
            </w:r>
          </w:p>
        </w:tc>
      </w:tr>
      <w:tr w:rsidR="00225952" w:rsidTr="00225952">
        <w:tc>
          <w:tcPr>
            <w:tcW w:w="9180" w:type="dxa"/>
            <w:gridSpan w:val="3"/>
            <w:tcBorders>
              <w:right w:val="nil"/>
            </w:tcBorders>
            <w:shd w:val="clear" w:color="auto" w:fill="DBE5F1"/>
          </w:tcPr>
          <w:p w:rsidR="00225952" w:rsidRPr="009C28E0" w:rsidRDefault="00225952" w:rsidP="00225952">
            <w:pPr>
              <w:pStyle w:val="Check1"/>
              <w:rPr>
                <w:b/>
              </w:rPr>
            </w:pPr>
            <w:r w:rsidRPr="009C28E0">
              <w:rPr>
                <w:b/>
                <w:sz w:val="22"/>
              </w:rPr>
              <w:t xml:space="preserve">Access Management Standards </w:t>
            </w:r>
          </w:p>
        </w:tc>
        <w:tc>
          <w:tcPr>
            <w:tcW w:w="1170" w:type="dxa"/>
            <w:tcBorders>
              <w:left w:val="nil"/>
            </w:tcBorders>
            <w:vAlign w:val="center"/>
          </w:tcPr>
          <w:p w:rsidR="00225952" w:rsidRPr="002635FD" w:rsidRDefault="00225952" w:rsidP="00225952">
            <w:pPr>
              <w:spacing w:after="0"/>
              <w:jc w:val="center"/>
            </w:pPr>
            <w:r w:rsidRPr="009C28E0">
              <w:rPr>
                <w:noProof/>
                <w:color w:val="4F6228"/>
                <w:sz w:val="18"/>
              </w:rPr>
              <w:t xml:space="preserve">Y  </w:t>
            </w:r>
            <w:r w:rsidRPr="009C28E0">
              <w:rPr>
                <w:noProof/>
                <w:sz w:val="18"/>
              </w:rPr>
              <w:t xml:space="preserve"> </w:t>
            </w:r>
            <w:r w:rsidRPr="009C28E0">
              <w:rPr>
                <w:noProof/>
                <w:color w:val="C00000"/>
                <w:sz w:val="18"/>
              </w:rPr>
              <w:t>N</w:t>
            </w:r>
            <w:r w:rsidRPr="009C28E0">
              <w:rPr>
                <w:noProof/>
                <w:sz w:val="18"/>
              </w:rPr>
              <w:t xml:space="preserve">  </w:t>
            </w:r>
            <w:r w:rsidRPr="009C28E0">
              <w:rPr>
                <w:noProof/>
                <w:color w:val="7F7F7F"/>
                <w:sz w:val="18"/>
              </w:rPr>
              <w:t>N/A</w:t>
            </w:r>
          </w:p>
        </w:tc>
      </w:tr>
      <w:tr w:rsidR="00225952" w:rsidTr="00225952">
        <w:tc>
          <w:tcPr>
            <w:tcW w:w="9180" w:type="dxa"/>
            <w:gridSpan w:val="3"/>
            <w:tcBorders>
              <w:right w:val="nil"/>
            </w:tcBorders>
          </w:tcPr>
          <w:p w:rsidR="00225952" w:rsidRDefault="00225952" w:rsidP="00954053">
            <w:pPr>
              <w:pStyle w:val="CheckA"/>
              <w:spacing w:before="40" w:after="40"/>
              <w:jc w:val="left"/>
            </w:pPr>
            <w:r>
              <w:t>A</w:t>
            </w:r>
            <w:r w:rsidRPr="00040C51">
              <w:t>.</w:t>
            </w:r>
            <w:r w:rsidRPr="00040C51">
              <w:tab/>
              <w:t>Appropriate access management standards f</w:t>
            </w:r>
            <w:r>
              <w:t xml:space="preserve">or median openings and major driveway connection </w:t>
            </w:r>
            <w:r w:rsidRPr="00040C51">
              <w:t>spacing</w:t>
            </w:r>
            <w:r>
              <w:t>?</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224" name="Picture 229"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3"/>
            <w:tcBorders>
              <w:right w:val="nil"/>
            </w:tcBorders>
          </w:tcPr>
          <w:p w:rsidR="00225952" w:rsidRDefault="00225952" w:rsidP="00954053">
            <w:pPr>
              <w:pStyle w:val="CheckA"/>
              <w:spacing w:before="40" w:after="40"/>
              <w:jc w:val="left"/>
            </w:pPr>
            <w:r>
              <w:t>B</w:t>
            </w:r>
            <w:r w:rsidRPr="00040C51">
              <w:t>.</w:t>
            </w:r>
            <w:r w:rsidRPr="00040C51">
              <w:tab/>
              <w:t xml:space="preserve">If exceptions to standards proposed, </w:t>
            </w:r>
            <w:r>
              <w:t xml:space="preserve">supporting documentation </w:t>
            </w:r>
            <w:r w:rsidRPr="00040C51">
              <w:t>provided?</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225" name="Picture 230"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tcBorders>
              <w:right w:val="nil"/>
            </w:tcBorders>
          </w:tcPr>
          <w:p w:rsidR="00225952" w:rsidRPr="00F05E1C" w:rsidRDefault="00225952" w:rsidP="00954053">
            <w:pPr>
              <w:pStyle w:val="CheckA"/>
              <w:spacing w:before="40" w:after="40"/>
              <w:jc w:val="left"/>
            </w:pPr>
            <w:r>
              <w:t>C</w:t>
            </w:r>
            <w:r w:rsidRPr="00040C51">
              <w:t>.</w:t>
            </w:r>
            <w:r w:rsidRPr="00040C51">
              <w:tab/>
              <w:t>Reviewer evaluated effect of n</w:t>
            </w:r>
            <w:r>
              <w:t xml:space="preserve">umber and location of proposed </w:t>
            </w:r>
            <w:r w:rsidRPr="00040C51">
              <w:t>driveways and median openings on adjacent SHS roadway segment(s) operations?</w:t>
            </w:r>
          </w:p>
        </w:tc>
        <w:tc>
          <w:tcPr>
            <w:tcW w:w="6030" w:type="dxa"/>
            <w:gridSpan w:val="2"/>
            <w:tcBorders>
              <w:left w:val="nil"/>
              <w:right w:val="nil"/>
            </w:tcBorders>
            <w:vAlign w:val="center"/>
          </w:tcPr>
          <w:p w:rsidR="00225952" w:rsidRPr="00040C51" w:rsidRDefault="00225952" w:rsidP="00954053">
            <w:pPr>
              <w:pStyle w:val="Check1"/>
              <w:spacing w:before="40" w:after="40"/>
              <w:jc w:val="left"/>
            </w:pPr>
            <w:r w:rsidRPr="00040C51">
              <w:t>1.</w:t>
            </w:r>
            <w:r w:rsidRPr="00040C51">
              <w:tab/>
              <w:t>Sufficient information on number of lanes, geometri</w:t>
            </w:r>
            <w:r>
              <w:t xml:space="preserve">c conditions and </w:t>
            </w:r>
            <w:r w:rsidRPr="00040C51">
              <w:t>internal site circulation provided for evaluation of impacts to the public roadway system?</w:t>
            </w:r>
          </w:p>
          <w:p w:rsidR="00225952" w:rsidRPr="00F05E1C" w:rsidRDefault="00225952" w:rsidP="00954053">
            <w:pPr>
              <w:pStyle w:val="Check1"/>
              <w:spacing w:before="40" w:after="40"/>
              <w:jc w:val="left"/>
            </w:pP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226" name="Picture 231"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3"/>
            <w:tcBorders>
              <w:right w:val="nil"/>
            </w:tcBorders>
            <w:shd w:val="clear" w:color="auto" w:fill="DBE5F1"/>
          </w:tcPr>
          <w:p w:rsidR="00225952" w:rsidRPr="009C28E0" w:rsidRDefault="00225952" w:rsidP="00954053">
            <w:pPr>
              <w:pStyle w:val="Check1"/>
              <w:spacing w:before="40" w:after="40"/>
              <w:jc w:val="left"/>
              <w:rPr>
                <w:b/>
              </w:rPr>
            </w:pPr>
            <w:r w:rsidRPr="009C28E0">
              <w:rPr>
                <w:b/>
                <w:sz w:val="22"/>
              </w:rPr>
              <w:t>Site Specific Issues</w:t>
            </w:r>
          </w:p>
        </w:tc>
        <w:tc>
          <w:tcPr>
            <w:tcW w:w="1170" w:type="dxa"/>
            <w:tcBorders>
              <w:left w:val="nil"/>
            </w:tcBorders>
            <w:vAlign w:val="center"/>
          </w:tcPr>
          <w:p w:rsidR="00225952" w:rsidRPr="002635FD" w:rsidRDefault="00225952" w:rsidP="00225952">
            <w:pPr>
              <w:spacing w:after="0"/>
              <w:jc w:val="center"/>
            </w:pPr>
          </w:p>
        </w:tc>
      </w:tr>
      <w:tr w:rsidR="00225952" w:rsidTr="00225952">
        <w:tc>
          <w:tcPr>
            <w:tcW w:w="9180" w:type="dxa"/>
            <w:gridSpan w:val="3"/>
            <w:tcBorders>
              <w:right w:val="nil"/>
            </w:tcBorders>
          </w:tcPr>
          <w:p w:rsidR="00225952" w:rsidRDefault="00225952" w:rsidP="00954053">
            <w:pPr>
              <w:pStyle w:val="CheckA"/>
              <w:spacing w:before="40" w:after="40"/>
              <w:ind w:left="342" w:hanging="342"/>
              <w:jc w:val="left"/>
            </w:pPr>
            <w:r>
              <w:t>A</w:t>
            </w:r>
            <w:r w:rsidRPr="00040C51">
              <w:t>.</w:t>
            </w:r>
            <w:r w:rsidRPr="00040C51">
              <w:tab/>
            </w:r>
            <w:r>
              <w:t>Can surrounding roadway system serve high left turn movements</w:t>
            </w:r>
            <w:r w:rsidRPr="00040C51">
              <w:t>?</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253" name="Picture 23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3"/>
            <w:tcBorders>
              <w:right w:val="nil"/>
            </w:tcBorders>
          </w:tcPr>
          <w:p w:rsidR="00225952" w:rsidRPr="002E67BB" w:rsidRDefault="00225952" w:rsidP="00954053">
            <w:pPr>
              <w:pStyle w:val="CheckA"/>
              <w:spacing w:before="40" w:after="40"/>
              <w:ind w:left="342" w:hanging="342"/>
              <w:jc w:val="left"/>
            </w:pPr>
            <w:r>
              <w:t>B</w:t>
            </w:r>
            <w:r w:rsidRPr="00040C51">
              <w:t>.</w:t>
            </w:r>
            <w:r w:rsidRPr="00040C51">
              <w:tab/>
            </w:r>
            <w:r>
              <w:t>Potential sight</w:t>
            </w:r>
            <w:r w:rsidRPr="00040C51">
              <w:t xml:space="preserve"> distance</w:t>
            </w:r>
            <w:r>
              <w:t xml:space="preserve"> problems</w:t>
            </w:r>
            <w:r w:rsidRPr="00040C51">
              <w:t>?</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254" name="Picture 233"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3"/>
            <w:tcBorders>
              <w:right w:val="nil"/>
            </w:tcBorders>
          </w:tcPr>
          <w:p w:rsidR="00225952" w:rsidRPr="002E67BB" w:rsidRDefault="00225952" w:rsidP="00954053">
            <w:pPr>
              <w:pStyle w:val="CheckA"/>
              <w:spacing w:before="40" w:after="40"/>
              <w:ind w:left="342" w:hanging="342"/>
              <w:jc w:val="left"/>
            </w:pPr>
            <w:r>
              <w:t>C</w:t>
            </w:r>
            <w:r w:rsidRPr="00040C51">
              <w:t>.</w:t>
            </w:r>
            <w:r w:rsidRPr="00040C51">
              <w:tab/>
              <w:t>Potential Pedestrian conflicts?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255" name="Picture 234"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3"/>
            <w:tcBorders>
              <w:right w:val="nil"/>
            </w:tcBorders>
          </w:tcPr>
          <w:p w:rsidR="00225952" w:rsidRPr="002E67BB" w:rsidRDefault="00225952" w:rsidP="00954053">
            <w:pPr>
              <w:pStyle w:val="CheckA"/>
              <w:spacing w:before="40" w:after="40"/>
              <w:ind w:left="342" w:hanging="342"/>
              <w:jc w:val="left"/>
            </w:pPr>
            <w:r>
              <w:t>D</w:t>
            </w:r>
            <w:r w:rsidRPr="00040C51">
              <w:t>.</w:t>
            </w:r>
            <w:r w:rsidRPr="00040C51">
              <w:tab/>
              <w:t>Relationship of internal circulation facilities to public streets.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523" name="Picture 235"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3"/>
            <w:tcBorders>
              <w:right w:val="nil"/>
            </w:tcBorders>
          </w:tcPr>
          <w:p w:rsidR="00225952" w:rsidRPr="002E67BB" w:rsidRDefault="00225952" w:rsidP="00954053">
            <w:pPr>
              <w:pStyle w:val="CheckA"/>
              <w:spacing w:before="40" w:after="40"/>
              <w:ind w:left="342" w:hanging="342"/>
              <w:jc w:val="left"/>
            </w:pPr>
            <w:r>
              <w:t>E</w:t>
            </w:r>
            <w:r w:rsidRPr="00040C51">
              <w:t>.</w:t>
            </w:r>
            <w:r w:rsidRPr="00040C51">
              <w:tab/>
              <w:t>Sufficiency of driveway length at major entrances?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524" name="Picture 236"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3"/>
            <w:tcBorders>
              <w:right w:val="nil"/>
            </w:tcBorders>
          </w:tcPr>
          <w:p w:rsidR="00225952" w:rsidRPr="002E67BB" w:rsidRDefault="00225952" w:rsidP="00954053">
            <w:pPr>
              <w:pStyle w:val="CheckA"/>
              <w:spacing w:before="40" w:after="40"/>
              <w:ind w:left="342" w:hanging="342"/>
              <w:jc w:val="left"/>
            </w:pPr>
            <w:r>
              <w:t xml:space="preserve">F.  </w:t>
            </w:r>
            <w:r w:rsidRPr="00040C51">
              <w:t>On-site circulation as it impacts the public roadway system or access to public transportation and bicycle/pedestrian network?</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525" name="Picture 237"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3"/>
            <w:tcBorders>
              <w:right w:val="nil"/>
            </w:tcBorders>
          </w:tcPr>
          <w:p w:rsidR="00225952" w:rsidRPr="002E67BB" w:rsidRDefault="00225952" w:rsidP="00954053">
            <w:pPr>
              <w:pStyle w:val="CheckA"/>
              <w:spacing w:before="40" w:after="40"/>
              <w:ind w:left="342" w:hanging="342"/>
              <w:jc w:val="left"/>
            </w:pPr>
            <w:r>
              <w:t>G</w:t>
            </w:r>
            <w:r w:rsidRPr="00040C51">
              <w:t>.</w:t>
            </w:r>
            <w:r w:rsidRPr="00040C51">
              <w:tab/>
              <w:t>Access treatments for out parcels?</w:t>
            </w:r>
            <w:r w:rsidRPr="00040C51">
              <w:tab/>
            </w:r>
            <w:r w:rsidRPr="00040C51">
              <w:tab/>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526" name="Picture 238"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3"/>
            <w:tcBorders>
              <w:right w:val="nil"/>
            </w:tcBorders>
          </w:tcPr>
          <w:p w:rsidR="00225952" w:rsidRPr="002E67BB" w:rsidRDefault="00225952" w:rsidP="00954053">
            <w:pPr>
              <w:pStyle w:val="CheckA"/>
              <w:spacing w:before="40" w:after="40"/>
              <w:ind w:left="342" w:hanging="342"/>
              <w:jc w:val="left"/>
            </w:pPr>
            <w:r>
              <w:t>H</w:t>
            </w:r>
            <w:r w:rsidRPr="00040C51">
              <w:t>.</w:t>
            </w:r>
            <w:r w:rsidRPr="00040C51">
              <w:tab/>
              <w:t>Potential for shared access among commercial developments, including alternate access roads sometimes referred to as “fringe roads” or “backage roads”?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527" name="Picture 239"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12"/>
        </w:trPr>
        <w:tc>
          <w:tcPr>
            <w:tcW w:w="9180" w:type="dxa"/>
            <w:gridSpan w:val="3"/>
          </w:tcPr>
          <w:p w:rsidR="00225952" w:rsidRPr="009C28E0" w:rsidRDefault="00225952" w:rsidP="00225952">
            <w:pPr>
              <w:pStyle w:val="Check1"/>
              <w:jc w:val="right"/>
              <w:rPr>
                <w:i/>
              </w:rPr>
            </w:pPr>
            <w:r w:rsidRPr="009C28E0">
              <w:rPr>
                <w:b/>
                <w:i/>
                <w:sz w:val="20"/>
              </w:rPr>
              <w:t>Approval of the Conceptual Agency Access Review Submittal does not constitute permit approval.</w:t>
            </w:r>
          </w:p>
        </w:tc>
        <w:tc>
          <w:tcPr>
            <w:tcW w:w="1170" w:type="dxa"/>
          </w:tcPr>
          <w:p w:rsidR="00225952" w:rsidRPr="002635FD" w:rsidRDefault="00225952" w:rsidP="00225952">
            <w:pPr>
              <w:spacing w:after="0"/>
              <w:jc w:val="center"/>
            </w:pPr>
          </w:p>
        </w:tc>
      </w:tr>
      <w:tr w:rsidR="00225952" w:rsidTr="00225952">
        <w:tc>
          <w:tcPr>
            <w:tcW w:w="10350" w:type="dxa"/>
            <w:gridSpan w:val="4"/>
          </w:tcPr>
          <w:p w:rsidR="00225952" w:rsidRPr="002635FD" w:rsidRDefault="00225952" w:rsidP="00225952">
            <w:pPr>
              <w:pStyle w:val="ResourceNotTOC"/>
              <w:jc w:val="right"/>
            </w:pPr>
            <w:r>
              <w:t>1 of 1</w:t>
            </w:r>
          </w:p>
        </w:tc>
      </w:tr>
    </w:tbl>
    <w:p w:rsidR="00225952" w:rsidRDefault="00225952"/>
    <w:p w:rsidR="00954053" w:rsidRDefault="00225952" w:rsidP="00954053">
      <w:pPr>
        <w:jc w:val="center"/>
        <w:rPr>
          <w:b/>
          <w:color w:val="D9D9D9" w:themeColor="background1" w:themeShade="D9"/>
          <w:sz w:val="96"/>
          <w:szCs w:val="96"/>
        </w:rPr>
      </w:pPr>
      <w:r>
        <w:br w:type="page"/>
      </w:r>
    </w:p>
    <w:p w:rsidR="00954053" w:rsidRDefault="00954053" w:rsidP="00954053">
      <w:pPr>
        <w:jc w:val="center"/>
        <w:rPr>
          <w:b/>
          <w:color w:val="D9D9D9" w:themeColor="background1" w:themeShade="D9"/>
          <w:sz w:val="96"/>
          <w:szCs w:val="96"/>
        </w:rPr>
      </w:pPr>
    </w:p>
    <w:p w:rsidR="00954053" w:rsidRDefault="00954053" w:rsidP="00954053">
      <w:pPr>
        <w:jc w:val="center"/>
      </w:pPr>
      <w:r>
        <w:rPr>
          <w:b/>
          <w:color w:val="D9D9D9" w:themeColor="background1" w:themeShade="D9"/>
          <w:sz w:val="96"/>
          <w:szCs w:val="96"/>
        </w:rPr>
        <w:t>B</w:t>
      </w:r>
      <w:r w:rsidRPr="004B5E07">
        <w:rPr>
          <w:b/>
          <w:color w:val="D9D9D9" w:themeColor="background1" w:themeShade="D9"/>
          <w:sz w:val="96"/>
          <w:szCs w:val="96"/>
        </w:rPr>
        <w:t>lank Page</w:t>
      </w:r>
    </w:p>
    <w:p w:rsidR="00225952" w:rsidRDefault="00225952">
      <w:pPr>
        <w:spacing w:after="0" w:line="240" w:lineRule="auto"/>
      </w:pPr>
    </w:p>
    <w:p w:rsidR="00225952" w:rsidRDefault="00225952">
      <w:r>
        <w:br w:type="page"/>
      </w:r>
    </w:p>
    <w:p w:rsidR="00225952" w:rsidRDefault="00225952" w:rsidP="00225952">
      <w:pPr>
        <w:pStyle w:val="Resource"/>
        <w:rPr>
          <w:color w:val="auto"/>
        </w:rPr>
        <w:sectPr w:rsidR="00225952" w:rsidSect="00832911">
          <w:headerReference w:type="default" r:id="rId340"/>
          <w:pgSz w:w="12240" w:h="15840"/>
          <w:pgMar w:top="1440" w:right="720" w:bottom="1440" w:left="1152" w:header="720" w:footer="720" w:gutter="0"/>
          <w:cols w:space="720"/>
          <w:docGrid w:linePitch="360"/>
        </w:sect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150"/>
        <w:gridCol w:w="4680"/>
        <w:gridCol w:w="1350"/>
        <w:gridCol w:w="1170"/>
      </w:tblGrid>
      <w:tr w:rsidR="00225952" w:rsidRPr="000D1D97" w:rsidTr="000D1D97">
        <w:tc>
          <w:tcPr>
            <w:tcW w:w="10350" w:type="dxa"/>
            <w:gridSpan w:val="4"/>
            <w:shd w:val="clear" w:color="auto" w:fill="31849B" w:themeFill="accent5" w:themeFillShade="BF"/>
          </w:tcPr>
          <w:p w:rsidR="00225952" w:rsidRPr="000D1D97" w:rsidRDefault="00225952" w:rsidP="000D1D97">
            <w:pPr>
              <w:pStyle w:val="Heading2"/>
              <w:spacing w:before="0" w:after="0"/>
              <w:rPr>
                <w:color w:val="FFFFFF" w:themeColor="background1"/>
              </w:rPr>
            </w:pPr>
            <w:bookmarkStart w:id="313" w:name="C7"/>
            <w:bookmarkStart w:id="314" w:name="_Toc264274171"/>
            <w:bookmarkEnd w:id="313"/>
            <w:r w:rsidRPr="000D1D97">
              <w:rPr>
                <w:color w:val="auto"/>
                <w:sz w:val="24"/>
              </w:rPr>
              <w:lastRenderedPageBreak/>
              <w:t>DRI Checklist 7 |</w:t>
            </w:r>
            <w:r w:rsidRPr="000D1D97">
              <w:rPr>
                <w:color w:val="FFFFFF" w:themeColor="background1"/>
                <w:sz w:val="24"/>
              </w:rPr>
              <w:t xml:space="preserve"> Notice of Proposed Changes/Substantial Deviation Determination</w:t>
            </w:r>
            <w:bookmarkEnd w:id="314"/>
            <w:r w:rsidRPr="000D1D97">
              <w:rPr>
                <w:color w:val="FFFFFF" w:themeColor="background1"/>
                <w:sz w:val="24"/>
              </w:rPr>
              <w:t xml:space="preserve"> </w:t>
            </w:r>
          </w:p>
        </w:tc>
      </w:tr>
      <w:tr w:rsidR="00225952" w:rsidTr="00225952">
        <w:tc>
          <w:tcPr>
            <w:tcW w:w="3150" w:type="dxa"/>
            <w:tcBorders>
              <w:right w:val="nil"/>
            </w:tcBorders>
          </w:tcPr>
          <w:p w:rsidR="00225952" w:rsidRPr="009C28E0" w:rsidRDefault="00225952" w:rsidP="00225952">
            <w:pPr>
              <w:spacing w:after="0"/>
              <w:rPr>
                <w:i/>
                <w:sz w:val="18"/>
              </w:rPr>
            </w:pPr>
            <w:r w:rsidRPr="009C28E0">
              <w:rPr>
                <w:i/>
                <w:sz w:val="18"/>
              </w:rPr>
              <w:t>Project</w:t>
            </w:r>
          </w:p>
        </w:tc>
        <w:tc>
          <w:tcPr>
            <w:tcW w:w="4680" w:type="dxa"/>
            <w:tcBorders>
              <w:left w:val="nil"/>
              <w:right w:val="nil"/>
            </w:tcBorders>
          </w:tcPr>
          <w:p w:rsidR="00225952" w:rsidRPr="009C28E0" w:rsidRDefault="00225952" w:rsidP="00225952">
            <w:pPr>
              <w:spacing w:after="0"/>
              <w:rPr>
                <w:i/>
                <w:sz w:val="18"/>
              </w:rPr>
            </w:pPr>
            <w:r w:rsidRPr="009C28E0">
              <w:rPr>
                <w:i/>
                <w:sz w:val="18"/>
              </w:rPr>
              <w:t>Reviewer</w:t>
            </w:r>
          </w:p>
        </w:tc>
        <w:tc>
          <w:tcPr>
            <w:tcW w:w="2520" w:type="dxa"/>
            <w:gridSpan w:val="2"/>
            <w:tcBorders>
              <w:left w:val="nil"/>
            </w:tcBorders>
          </w:tcPr>
          <w:p w:rsidR="00225952" w:rsidRPr="009C28E0" w:rsidRDefault="00225952" w:rsidP="00225952">
            <w:pPr>
              <w:spacing w:after="0"/>
              <w:rPr>
                <w:i/>
                <w:sz w:val="18"/>
              </w:rPr>
            </w:pPr>
            <w:r w:rsidRPr="009C28E0">
              <w:rPr>
                <w:i/>
                <w:sz w:val="18"/>
              </w:rPr>
              <w:t>Date of Review:</w:t>
            </w:r>
          </w:p>
          <w:p w:rsidR="00225952" w:rsidRPr="009C28E0" w:rsidRDefault="00225952" w:rsidP="00225952">
            <w:pPr>
              <w:spacing w:after="0"/>
              <w:rPr>
                <w:i/>
                <w:sz w:val="18"/>
              </w:rPr>
            </w:pPr>
            <w:r w:rsidRPr="009C28E0">
              <w:rPr>
                <w:i/>
                <w:sz w:val="18"/>
              </w:rPr>
              <w:t>Comments Due:</w:t>
            </w:r>
          </w:p>
        </w:tc>
      </w:tr>
      <w:tr w:rsidR="00225952" w:rsidTr="00225952">
        <w:tc>
          <w:tcPr>
            <w:tcW w:w="9180" w:type="dxa"/>
            <w:gridSpan w:val="3"/>
            <w:tcBorders>
              <w:right w:val="nil"/>
            </w:tcBorders>
            <w:shd w:val="clear" w:color="auto" w:fill="DBE5F1"/>
          </w:tcPr>
          <w:p w:rsidR="00225952" w:rsidRPr="009C28E0" w:rsidRDefault="00225952" w:rsidP="00225952">
            <w:pPr>
              <w:pStyle w:val="Check1"/>
              <w:rPr>
                <w:b/>
                <w:sz w:val="22"/>
                <w:szCs w:val="22"/>
              </w:rPr>
            </w:pPr>
            <w:r w:rsidRPr="009C28E0">
              <w:rPr>
                <w:b/>
                <w:sz w:val="22"/>
                <w:szCs w:val="22"/>
              </w:rPr>
              <w:t>Evaluation Criteria</w:t>
            </w:r>
          </w:p>
        </w:tc>
        <w:tc>
          <w:tcPr>
            <w:tcW w:w="1170" w:type="dxa"/>
            <w:tcBorders>
              <w:left w:val="nil"/>
            </w:tcBorders>
            <w:vAlign w:val="center"/>
          </w:tcPr>
          <w:p w:rsidR="00225952" w:rsidRPr="002635FD" w:rsidRDefault="00225952" w:rsidP="00225952">
            <w:pPr>
              <w:spacing w:after="0"/>
              <w:jc w:val="center"/>
            </w:pPr>
            <w:r w:rsidRPr="009C28E0">
              <w:rPr>
                <w:noProof/>
                <w:color w:val="4F6228"/>
                <w:sz w:val="18"/>
              </w:rPr>
              <w:t xml:space="preserve">Y  </w:t>
            </w:r>
            <w:r w:rsidRPr="009C28E0">
              <w:rPr>
                <w:noProof/>
                <w:sz w:val="18"/>
              </w:rPr>
              <w:t xml:space="preserve"> </w:t>
            </w:r>
            <w:r w:rsidRPr="009C28E0">
              <w:rPr>
                <w:noProof/>
                <w:color w:val="C00000"/>
                <w:sz w:val="18"/>
              </w:rPr>
              <w:t>N</w:t>
            </w:r>
            <w:r w:rsidRPr="009C28E0">
              <w:rPr>
                <w:noProof/>
                <w:sz w:val="18"/>
              </w:rPr>
              <w:t xml:space="preserve">  </w:t>
            </w:r>
            <w:r w:rsidRPr="009C28E0">
              <w:rPr>
                <w:noProof/>
                <w:color w:val="7F7F7F"/>
                <w:sz w:val="18"/>
              </w:rPr>
              <w:t>N/A</w:t>
            </w:r>
          </w:p>
        </w:tc>
      </w:tr>
      <w:tr w:rsidR="00225952" w:rsidTr="00225952">
        <w:tc>
          <w:tcPr>
            <w:tcW w:w="9180" w:type="dxa"/>
            <w:gridSpan w:val="3"/>
            <w:tcBorders>
              <w:right w:val="nil"/>
            </w:tcBorders>
          </w:tcPr>
          <w:p w:rsidR="00225952" w:rsidRPr="00F05E1C" w:rsidRDefault="00225952" w:rsidP="00954053">
            <w:pPr>
              <w:pStyle w:val="CheckA"/>
              <w:spacing w:before="120" w:after="120"/>
              <w:jc w:val="left"/>
            </w:pPr>
            <w:r w:rsidRPr="00F05E1C">
              <w:t>A.</w:t>
            </w:r>
            <w:r w:rsidRPr="00F05E1C">
              <w:tab/>
              <w:t>Proposed changes result in transportation impact reductions from original approved DRI?</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238" name="Picture 240"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val="restart"/>
            <w:tcBorders>
              <w:right w:val="nil"/>
            </w:tcBorders>
          </w:tcPr>
          <w:p w:rsidR="00225952" w:rsidRPr="00F05E1C" w:rsidRDefault="00225952" w:rsidP="00954053">
            <w:pPr>
              <w:pStyle w:val="CheckA"/>
              <w:spacing w:before="40" w:after="40"/>
              <w:jc w:val="left"/>
            </w:pPr>
            <w:r w:rsidRPr="00F05E1C">
              <w:t>B.</w:t>
            </w:r>
            <w:r w:rsidRPr="00F05E1C">
              <w:tab/>
              <w:t>Background traffic increased beyond original ana</w:t>
            </w:r>
            <w:r>
              <w:t xml:space="preserve">lysis projections for phase(s) </w:t>
            </w:r>
            <w:r w:rsidRPr="00F05E1C">
              <w:t>or buildout years?</w:t>
            </w:r>
          </w:p>
        </w:tc>
        <w:tc>
          <w:tcPr>
            <w:tcW w:w="6030" w:type="dxa"/>
            <w:gridSpan w:val="2"/>
            <w:tcBorders>
              <w:left w:val="nil"/>
              <w:right w:val="nil"/>
            </w:tcBorders>
            <w:vAlign w:val="center"/>
          </w:tcPr>
          <w:p w:rsidR="00225952" w:rsidRPr="00F05E1C" w:rsidRDefault="00225952" w:rsidP="00954053">
            <w:pPr>
              <w:pStyle w:val="Check1"/>
              <w:spacing w:before="40" w:after="40"/>
              <w:jc w:val="left"/>
            </w:pPr>
            <w:r w:rsidRPr="00F05E1C">
              <w:t>1.</w:t>
            </w:r>
            <w:r w:rsidRPr="00F05E1C">
              <w:tab/>
              <w:t xml:space="preserve">Increase </w:t>
            </w:r>
            <w:r>
              <w:t>s</w:t>
            </w:r>
            <w:r w:rsidRPr="00F05E1C">
              <w:t xml:space="preserve">ufficient for classification of application as </w:t>
            </w:r>
            <w:r>
              <w:br/>
            </w:r>
            <w:r w:rsidRPr="00F05E1C">
              <w:t xml:space="preserve">Substantial </w:t>
            </w:r>
            <w:r>
              <w:t xml:space="preserve"> </w:t>
            </w:r>
            <w:r w:rsidRPr="00F05E1C">
              <w:t>Deviation?</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239" name="Picture 241"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F05E1C" w:rsidRDefault="00225952" w:rsidP="00954053">
            <w:pPr>
              <w:pStyle w:val="CheckA"/>
              <w:spacing w:before="40" w:after="40"/>
              <w:jc w:val="left"/>
            </w:pPr>
          </w:p>
        </w:tc>
        <w:tc>
          <w:tcPr>
            <w:tcW w:w="6030" w:type="dxa"/>
            <w:gridSpan w:val="2"/>
            <w:tcBorders>
              <w:left w:val="nil"/>
              <w:right w:val="nil"/>
            </w:tcBorders>
            <w:vAlign w:val="center"/>
          </w:tcPr>
          <w:p w:rsidR="00225952" w:rsidRPr="00F05E1C" w:rsidRDefault="00225952" w:rsidP="00954053">
            <w:pPr>
              <w:pStyle w:val="Check1"/>
              <w:spacing w:before="40" w:after="40"/>
              <w:jc w:val="left"/>
            </w:pPr>
            <w:r w:rsidRPr="00F05E1C">
              <w:t>2.</w:t>
            </w:r>
            <w:r w:rsidRPr="00F05E1C">
              <w:tab/>
              <w:t>Increases raise LOS issues on these links?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240" name="Picture 24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F05E1C" w:rsidRDefault="00225952" w:rsidP="00954053">
            <w:pPr>
              <w:pStyle w:val="CheckA"/>
              <w:spacing w:before="40" w:after="40"/>
              <w:jc w:val="left"/>
            </w:pPr>
          </w:p>
        </w:tc>
        <w:tc>
          <w:tcPr>
            <w:tcW w:w="6030" w:type="dxa"/>
            <w:gridSpan w:val="2"/>
            <w:tcBorders>
              <w:left w:val="nil"/>
              <w:right w:val="nil"/>
            </w:tcBorders>
            <w:vAlign w:val="center"/>
          </w:tcPr>
          <w:p w:rsidR="00225952" w:rsidRPr="00F05E1C" w:rsidRDefault="00225952" w:rsidP="00954053">
            <w:pPr>
              <w:pStyle w:val="Check1"/>
              <w:numPr>
                <w:ilvl w:val="0"/>
                <w:numId w:val="41"/>
              </w:numPr>
              <w:spacing w:before="40" w:after="40"/>
              <w:jc w:val="left"/>
            </w:pPr>
            <w:r w:rsidRPr="00F05E1C">
              <w:t>Willing to consider mitigation on L</w:t>
            </w:r>
            <w:r>
              <w:t>OS-deficient links to avoid S</w:t>
            </w:r>
            <w:r w:rsidRPr="00F05E1C">
              <w:t>ubstantial Deviation classification?</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241" name="Picture 243"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3"/>
            <w:tcBorders>
              <w:right w:val="nil"/>
            </w:tcBorders>
          </w:tcPr>
          <w:p w:rsidR="00225952" w:rsidRPr="00F05E1C" w:rsidRDefault="00225952" w:rsidP="00954053">
            <w:pPr>
              <w:pStyle w:val="CheckA"/>
              <w:numPr>
                <w:ilvl w:val="0"/>
                <w:numId w:val="44"/>
              </w:numPr>
              <w:spacing w:before="120" w:after="120"/>
              <w:jc w:val="left"/>
            </w:pPr>
            <w:r w:rsidRPr="00756F39">
              <w:t>Time</w:t>
            </w:r>
            <w:r w:rsidRPr="00F05E1C">
              <w:t xml:space="preserve"> extensions for application cumulatively ex</w:t>
            </w:r>
            <w:r>
              <w:t xml:space="preserve">ceed seven years extension for </w:t>
            </w:r>
            <w:r w:rsidRPr="00F05E1C">
              <w:t>project?</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242" name="Picture 244"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tcBorders>
              <w:right w:val="nil"/>
            </w:tcBorders>
          </w:tcPr>
          <w:p w:rsidR="00225952" w:rsidRDefault="00225952" w:rsidP="00954053">
            <w:pPr>
              <w:pStyle w:val="CheckA"/>
              <w:spacing w:before="40" w:after="40"/>
              <w:jc w:val="left"/>
            </w:pPr>
            <w:r w:rsidRPr="00F05E1C">
              <w:t>D.</w:t>
            </w:r>
            <w:r w:rsidRPr="00F05E1C">
              <w:tab/>
              <w:t>Reductions in land use densities proposed?</w:t>
            </w:r>
          </w:p>
          <w:p w:rsidR="00225952" w:rsidRPr="00F05E1C" w:rsidRDefault="00225952" w:rsidP="00954053">
            <w:pPr>
              <w:pStyle w:val="CheckA"/>
              <w:spacing w:before="40" w:after="40"/>
              <w:jc w:val="left"/>
            </w:pPr>
          </w:p>
        </w:tc>
        <w:tc>
          <w:tcPr>
            <w:tcW w:w="6030" w:type="dxa"/>
            <w:gridSpan w:val="2"/>
            <w:tcBorders>
              <w:left w:val="nil"/>
              <w:right w:val="nil"/>
            </w:tcBorders>
            <w:vAlign w:val="center"/>
          </w:tcPr>
          <w:p w:rsidR="00225952" w:rsidRPr="00F05E1C" w:rsidRDefault="00225952" w:rsidP="00954053">
            <w:pPr>
              <w:pStyle w:val="Check1"/>
              <w:spacing w:before="40" w:after="40"/>
              <w:jc w:val="left"/>
            </w:pPr>
            <w:r w:rsidRPr="00F05E1C">
              <w:t>1.</w:t>
            </w:r>
            <w:r w:rsidRPr="00F05E1C">
              <w:tab/>
              <w:t>Reductions in densities result in less inter</w:t>
            </w:r>
            <w:r>
              <w:t xml:space="preserve">nal capture and lower pass-by </w:t>
            </w:r>
            <w:r w:rsidRPr="00F05E1C">
              <w:t>capture rates, offsetting reductions in transportation impacts?</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243" name="Picture 245"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3"/>
            <w:tcBorders>
              <w:right w:val="nil"/>
            </w:tcBorders>
          </w:tcPr>
          <w:p w:rsidR="00225952" w:rsidRPr="00F05E1C" w:rsidRDefault="00225952" w:rsidP="00954053">
            <w:pPr>
              <w:pStyle w:val="CheckA"/>
              <w:spacing w:before="40" w:after="40"/>
              <w:jc w:val="left"/>
            </w:pPr>
            <w:r w:rsidRPr="00F05E1C">
              <w:t>E.</w:t>
            </w:r>
            <w:r w:rsidRPr="00F05E1C">
              <w:tab/>
              <w:t>Same methodologies and assumptions used in an</w:t>
            </w:r>
            <w:r>
              <w:t xml:space="preserve">alyzing transportation, noise, </w:t>
            </w:r>
            <w:r w:rsidRPr="00F05E1C">
              <w:t xml:space="preserve">and air quality impacts as used in initial ADA submittal? </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244" name="Picture 246"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val="restart"/>
            <w:tcBorders>
              <w:right w:val="nil"/>
            </w:tcBorders>
          </w:tcPr>
          <w:p w:rsidR="00225952" w:rsidRPr="00F05E1C" w:rsidRDefault="00225952" w:rsidP="00954053">
            <w:pPr>
              <w:pStyle w:val="CheckA"/>
              <w:spacing w:before="40" w:after="40"/>
              <w:jc w:val="left"/>
            </w:pPr>
            <w:r w:rsidRPr="00F05E1C">
              <w:t>F.</w:t>
            </w:r>
            <w:r w:rsidRPr="00F05E1C">
              <w:tab/>
              <w:t>Proposed changes constitute new development?</w:t>
            </w:r>
          </w:p>
        </w:tc>
        <w:tc>
          <w:tcPr>
            <w:tcW w:w="6030" w:type="dxa"/>
            <w:gridSpan w:val="2"/>
            <w:tcBorders>
              <w:left w:val="nil"/>
              <w:right w:val="nil"/>
            </w:tcBorders>
            <w:vAlign w:val="center"/>
          </w:tcPr>
          <w:p w:rsidR="00225952" w:rsidRPr="00F05E1C" w:rsidRDefault="00225952" w:rsidP="00954053">
            <w:pPr>
              <w:pStyle w:val="Check1"/>
              <w:spacing w:before="40" w:after="40"/>
              <w:jc w:val="left"/>
            </w:pPr>
            <w:r>
              <w:t>1.  N</w:t>
            </w:r>
            <w:r w:rsidRPr="00F05E1C">
              <w:t>ew development?</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245" name="Picture 247"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F05E1C" w:rsidRDefault="00225952" w:rsidP="00954053">
            <w:pPr>
              <w:pStyle w:val="CheckA"/>
              <w:spacing w:before="40" w:after="40"/>
              <w:jc w:val="left"/>
            </w:pPr>
          </w:p>
        </w:tc>
        <w:tc>
          <w:tcPr>
            <w:tcW w:w="6030" w:type="dxa"/>
            <w:gridSpan w:val="2"/>
            <w:tcBorders>
              <w:left w:val="nil"/>
              <w:right w:val="nil"/>
            </w:tcBorders>
            <w:vAlign w:val="center"/>
          </w:tcPr>
          <w:p w:rsidR="00225952" w:rsidRPr="00F05E1C" w:rsidRDefault="00225952" w:rsidP="00954053">
            <w:pPr>
              <w:pStyle w:val="Check1"/>
              <w:spacing w:before="40" w:after="40"/>
              <w:jc w:val="left"/>
            </w:pPr>
            <w:r>
              <w:t>2</w:t>
            </w:r>
            <w:r w:rsidRPr="00F05E1C">
              <w:t>.</w:t>
            </w:r>
            <w:r w:rsidRPr="00F05E1C">
              <w:tab/>
              <w:t>Proposed changes constitute minor changes only?</w:t>
            </w:r>
          </w:p>
        </w:tc>
        <w:tc>
          <w:tcPr>
            <w:tcW w:w="1170" w:type="dxa"/>
            <w:tcBorders>
              <w:left w:val="nil"/>
            </w:tcBorders>
            <w:vAlign w:val="center"/>
          </w:tcPr>
          <w:p w:rsidR="00225952" w:rsidRPr="00E06451" w:rsidRDefault="00225952" w:rsidP="00225952">
            <w:pPr>
              <w:spacing w:after="0"/>
              <w:jc w:val="center"/>
            </w:pPr>
            <w:r>
              <w:rPr>
                <w:noProof/>
              </w:rPr>
              <w:drawing>
                <wp:inline distT="0" distB="0" distL="0" distR="0">
                  <wp:extent cx="462915" cy="154305"/>
                  <wp:effectExtent l="0" t="0" r="0" b="0"/>
                  <wp:docPr id="246" name="Picture 248"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val="restart"/>
            <w:tcBorders>
              <w:right w:val="nil"/>
            </w:tcBorders>
          </w:tcPr>
          <w:p w:rsidR="00225952" w:rsidRPr="00F05E1C" w:rsidRDefault="00225952" w:rsidP="00954053">
            <w:pPr>
              <w:pStyle w:val="CheckA"/>
              <w:spacing w:before="40" w:after="40"/>
              <w:jc w:val="left"/>
            </w:pPr>
            <w:r w:rsidRPr="00F05E1C">
              <w:t>G.</w:t>
            </w:r>
            <w:r w:rsidRPr="00F05E1C">
              <w:tab/>
              <w:t>Original ADA authorization data shown?</w:t>
            </w:r>
          </w:p>
          <w:p w:rsidR="00225952" w:rsidRDefault="00225952" w:rsidP="00954053">
            <w:pPr>
              <w:pStyle w:val="CheckA"/>
              <w:spacing w:before="40" w:after="40"/>
              <w:jc w:val="left"/>
            </w:pPr>
          </w:p>
          <w:p w:rsidR="00225952" w:rsidRDefault="00225952" w:rsidP="00954053">
            <w:pPr>
              <w:pStyle w:val="CheckA"/>
              <w:spacing w:before="40" w:after="40"/>
              <w:jc w:val="left"/>
            </w:pPr>
          </w:p>
          <w:p w:rsidR="00225952" w:rsidRPr="00F05E1C" w:rsidRDefault="00225952" w:rsidP="00954053">
            <w:pPr>
              <w:pStyle w:val="CheckA"/>
              <w:spacing w:before="40" w:after="40"/>
              <w:jc w:val="left"/>
            </w:pPr>
          </w:p>
        </w:tc>
        <w:tc>
          <w:tcPr>
            <w:tcW w:w="6030" w:type="dxa"/>
            <w:gridSpan w:val="2"/>
            <w:tcBorders>
              <w:left w:val="nil"/>
              <w:right w:val="nil"/>
            </w:tcBorders>
            <w:vAlign w:val="center"/>
          </w:tcPr>
          <w:p w:rsidR="00225952" w:rsidRPr="00F05E1C" w:rsidRDefault="00225952" w:rsidP="00954053">
            <w:pPr>
              <w:pStyle w:val="Check1"/>
              <w:spacing w:before="40" w:after="40"/>
              <w:jc w:val="left"/>
            </w:pPr>
            <w:r w:rsidRPr="00F05E1C">
              <w:t>1.</w:t>
            </w:r>
            <w:r w:rsidRPr="00F05E1C">
              <w:tab/>
              <w:t xml:space="preserve">Original ADA authorized after January 20, 1987 and prior to March 23, </w:t>
            </w:r>
            <w:r w:rsidRPr="00F05E1C">
              <w:tab/>
            </w:r>
            <w:r w:rsidRPr="00F05E1C">
              <w:tab/>
              <w:t>1994?</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247" name="Picture 249"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right w:val="nil"/>
            </w:tcBorders>
          </w:tcPr>
          <w:p w:rsidR="00225952" w:rsidRPr="009C28E0" w:rsidRDefault="00225952" w:rsidP="00954053">
            <w:pPr>
              <w:tabs>
                <w:tab w:val="left" w:pos="360"/>
                <w:tab w:val="left" w:pos="735"/>
              </w:tabs>
              <w:spacing w:before="40" w:after="40" w:line="240" w:lineRule="auto"/>
              <w:jc w:val="left"/>
              <w:rPr>
                <w:sz w:val="20"/>
              </w:rPr>
            </w:pPr>
          </w:p>
        </w:tc>
        <w:tc>
          <w:tcPr>
            <w:tcW w:w="6030" w:type="dxa"/>
            <w:gridSpan w:val="2"/>
            <w:tcBorders>
              <w:left w:val="nil"/>
              <w:right w:val="nil"/>
            </w:tcBorders>
            <w:vAlign w:val="center"/>
          </w:tcPr>
          <w:p w:rsidR="00225952" w:rsidRPr="00F05E1C" w:rsidRDefault="00225952" w:rsidP="00954053">
            <w:pPr>
              <w:pStyle w:val="Check1"/>
              <w:spacing w:before="40" w:after="40"/>
              <w:jc w:val="left"/>
            </w:pPr>
            <w:r w:rsidRPr="00F05E1C">
              <w:t>2.</w:t>
            </w:r>
            <w:r w:rsidRPr="00F05E1C">
              <w:tab/>
              <w:t>Authorized after March 23, 1994 or one wi</w:t>
            </w:r>
            <w:r>
              <w:t xml:space="preserve">th significant amounts of new </w:t>
            </w:r>
            <w:r w:rsidRPr="00F05E1C">
              <w:t>development?</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248" name="Picture 250"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3150" w:type="dxa"/>
            <w:vMerge/>
            <w:tcBorders>
              <w:bottom w:val="single" w:sz="4" w:space="0" w:color="000000"/>
              <w:right w:val="nil"/>
            </w:tcBorders>
          </w:tcPr>
          <w:p w:rsidR="00225952" w:rsidRPr="009C28E0" w:rsidRDefault="00225952" w:rsidP="00954053">
            <w:pPr>
              <w:tabs>
                <w:tab w:val="left" w:pos="360"/>
                <w:tab w:val="left" w:pos="735"/>
              </w:tabs>
              <w:spacing w:before="40" w:after="40" w:line="240" w:lineRule="auto"/>
              <w:jc w:val="left"/>
              <w:rPr>
                <w:sz w:val="20"/>
              </w:rPr>
            </w:pPr>
          </w:p>
        </w:tc>
        <w:tc>
          <w:tcPr>
            <w:tcW w:w="6030" w:type="dxa"/>
            <w:gridSpan w:val="2"/>
            <w:tcBorders>
              <w:left w:val="nil"/>
              <w:bottom w:val="single" w:sz="4" w:space="0" w:color="000000"/>
              <w:right w:val="nil"/>
            </w:tcBorders>
            <w:vAlign w:val="center"/>
          </w:tcPr>
          <w:p w:rsidR="00225952" w:rsidRPr="00F05E1C" w:rsidRDefault="00225952" w:rsidP="00954053">
            <w:pPr>
              <w:pStyle w:val="Check1"/>
              <w:numPr>
                <w:ilvl w:val="0"/>
                <w:numId w:val="42"/>
              </w:numPr>
              <w:spacing w:before="40" w:after="40"/>
              <w:jc w:val="left"/>
            </w:pPr>
            <w:r w:rsidRPr="00F05E1C">
              <w:t>Mitigation consistent with local</w:t>
            </w:r>
            <w:r>
              <w:t xml:space="preserve"> concurrency management system </w:t>
            </w:r>
            <w:r w:rsidRPr="00F05E1C">
              <w:t>regulations and mitigation provisions in 9J-5.045 FAC?</w:t>
            </w:r>
          </w:p>
        </w:tc>
        <w:tc>
          <w:tcPr>
            <w:tcW w:w="1170" w:type="dxa"/>
            <w:tcBorders>
              <w:left w:val="nil"/>
              <w:bottom w:val="single" w:sz="4" w:space="0" w:color="000000"/>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249" name="Picture 251"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rPr>
          <w:trHeight w:val="556"/>
        </w:trPr>
        <w:tc>
          <w:tcPr>
            <w:tcW w:w="3150" w:type="dxa"/>
            <w:vMerge w:val="restart"/>
            <w:tcBorders>
              <w:top w:val="single" w:sz="4" w:space="0" w:color="000000"/>
              <w:left w:val="single" w:sz="4" w:space="0" w:color="auto"/>
            </w:tcBorders>
          </w:tcPr>
          <w:p w:rsidR="00225952" w:rsidRDefault="00225952" w:rsidP="00954053">
            <w:pPr>
              <w:pStyle w:val="CheckA"/>
              <w:spacing w:before="40" w:after="40"/>
              <w:jc w:val="left"/>
            </w:pPr>
            <w:r w:rsidRPr="00F05E1C">
              <w:t>H.</w:t>
            </w:r>
            <w:r w:rsidRPr="00F05E1C">
              <w:tab/>
              <w:t xml:space="preserve">Qualifies as a </w:t>
            </w:r>
            <w:r>
              <w:t>S</w:t>
            </w:r>
            <w:r w:rsidRPr="00F05E1C">
              <w:t xml:space="preserve">ubstantial </w:t>
            </w:r>
            <w:r>
              <w:t>D</w:t>
            </w:r>
            <w:r w:rsidRPr="00F05E1C">
              <w:t>eviation and involves new or modified interchange?</w:t>
            </w:r>
          </w:p>
          <w:p w:rsidR="00225952" w:rsidRPr="00F05E1C" w:rsidRDefault="00225952" w:rsidP="00954053">
            <w:pPr>
              <w:pStyle w:val="CheckA"/>
              <w:spacing w:before="40" w:after="40"/>
              <w:jc w:val="left"/>
            </w:pPr>
          </w:p>
        </w:tc>
        <w:tc>
          <w:tcPr>
            <w:tcW w:w="6030" w:type="dxa"/>
            <w:gridSpan w:val="2"/>
            <w:tcBorders>
              <w:top w:val="single" w:sz="4" w:space="0" w:color="000000"/>
              <w:bottom w:val="single" w:sz="4" w:space="0" w:color="auto"/>
            </w:tcBorders>
            <w:vAlign w:val="center"/>
          </w:tcPr>
          <w:p w:rsidR="00225952" w:rsidRPr="00F05E1C" w:rsidRDefault="00225952" w:rsidP="00954053">
            <w:pPr>
              <w:pStyle w:val="Check1"/>
              <w:spacing w:before="40" w:after="40"/>
              <w:jc w:val="left"/>
            </w:pPr>
            <w:r w:rsidRPr="00F05E1C">
              <w:t>1.</w:t>
            </w:r>
            <w:r w:rsidRPr="00F05E1C">
              <w:tab/>
              <w:t>Re-evaluation of IJR/IMR per Interch</w:t>
            </w:r>
            <w:r>
              <w:t xml:space="preserve">ange Handbook </w:t>
            </w:r>
            <w:r w:rsidRPr="00F05E1C">
              <w:t>acknowledged?</w:t>
            </w:r>
          </w:p>
        </w:tc>
        <w:tc>
          <w:tcPr>
            <w:tcW w:w="1170" w:type="dxa"/>
            <w:tcBorders>
              <w:top w:val="single" w:sz="4" w:space="0" w:color="000000"/>
              <w:right w:val="single" w:sz="4" w:space="0" w:color="auto"/>
            </w:tcBorders>
          </w:tcPr>
          <w:p w:rsidR="00225952" w:rsidRPr="002635FD" w:rsidRDefault="00225952" w:rsidP="00225952">
            <w:pPr>
              <w:spacing w:after="0"/>
              <w:jc w:val="center"/>
            </w:pPr>
            <w:r>
              <w:rPr>
                <w:noProof/>
              </w:rPr>
              <w:drawing>
                <wp:inline distT="0" distB="0" distL="0" distR="0">
                  <wp:extent cx="462915" cy="154305"/>
                  <wp:effectExtent l="0" t="0" r="0" b="0"/>
                  <wp:docPr id="250" name="Picture 252"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rPr>
          <w:trHeight w:val="557"/>
        </w:trPr>
        <w:tc>
          <w:tcPr>
            <w:tcW w:w="3150" w:type="dxa"/>
            <w:vMerge/>
            <w:tcBorders>
              <w:left w:val="single" w:sz="4" w:space="0" w:color="auto"/>
            </w:tcBorders>
          </w:tcPr>
          <w:p w:rsidR="00225952" w:rsidRPr="00F05E1C" w:rsidRDefault="00225952" w:rsidP="00954053">
            <w:pPr>
              <w:pStyle w:val="CheckA"/>
              <w:spacing w:before="40" w:after="40"/>
              <w:jc w:val="left"/>
            </w:pPr>
          </w:p>
        </w:tc>
        <w:tc>
          <w:tcPr>
            <w:tcW w:w="6030" w:type="dxa"/>
            <w:gridSpan w:val="2"/>
            <w:tcBorders>
              <w:top w:val="single" w:sz="4" w:space="0" w:color="auto"/>
            </w:tcBorders>
          </w:tcPr>
          <w:p w:rsidR="00225952" w:rsidRPr="00F05E1C" w:rsidRDefault="00225952" w:rsidP="00954053">
            <w:pPr>
              <w:pStyle w:val="Check1"/>
              <w:spacing w:before="40" w:after="40"/>
              <w:jc w:val="left"/>
            </w:pPr>
            <w:r w:rsidRPr="00F05E1C">
              <w:t>2.</w:t>
            </w:r>
            <w:r w:rsidRPr="00F05E1C">
              <w:tab/>
              <w:t>Need to adhere to IJR/IMR methodology a</w:t>
            </w:r>
            <w:r>
              <w:t xml:space="preserve">nd review process as detailed </w:t>
            </w:r>
            <w:r w:rsidRPr="00F05E1C">
              <w:t xml:space="preserve">in Interchange </w:t>
            </w:r>
            <w:r>
              <w:t>Handbook</w:t>
            </w:r>
            <w:r w:rsidRPr="00F05E1C">
              <w:t xml:space="preserve"> acknowledged?</w:t>
            </w:r>
          </w:p>
        </w:tc>
        <w:tc>
          <w:tcPr>
            <w:tcW w:w="1170" w:type="dxa"/>
            <w:tcBorders>
              <w:right w:val="single" w:sz="4" w:space="0" w:color="auto"/>
            </w:tcBorders>
          </w:tcPr>
          <w:p w:rsidR="00225952" w:rsidRPr="002635FD" w:rsidRDefault="00225952" w:rsidP="00225952">
            <w:pPr>
              <w:spacing w:after="0"/>
              <w:jc w:val="center"/>
            </w:pPr>
            <w:r>
              <w:rPr>
                <w:noProof/>
              </w:rPr>
              <w:drawing>
                <wp:inline distT="0" distB="0" distL="0" distR="0">
                  <wp:extent cx="462915" cy="154305"/>
                  <wp:effectExtent l="0" t="0" r="0" b="0"/>
                  <wp:docPr id="251" name="Picture 253"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9180" w:type="dxa"/>
            <w:gridSpan w:val="3"/>
            <w:tcBorders>
              <w:right w:val="nil"/>
            </w:tcBorders>
          </w:tcPr>
          <w:p w:rsidR="00225952" w:rsidRPr="00F05E1C" w:rsidRDefault="00225952" w:rsidP="00954053">
            <w:pPr>
              <w:pStyle w:val="CheckA"/>
              <w:spacing w:before="40" w:after="40"/>
              <w:jc w:val="left"/>
            </w:pPr>
            <w:r w:rsidRPr="00F05E1C">
              <w:t>I.</w:t>
            </w:r>
            <w:r w:rsidRPr="00F05E1C">
              <w:tab/>
              <w:t>Reviewer consultation with RPC and/or DCA to reach consensus on specific methodologies to be applied during the review of the NOPC performed?</w:t>
            </w:r>
          </w:p>
        </w:tc>
        <w:tc>
          <w:tcPr>
            <w:tcW w:w="1170" w:type="dxa"/>
            <w:tcBorders>
              <w:left w:val="nil"/>
            </w:tcBorders>
            <w:vAlign w:val="center"/>
          </w:tcPr>
          <w:p w:rsidR="00225952" w:rsidRPr="002635FD" w:rsidRDefault="00225952" w:rsidP="00225952">
            <w:pPr>
              <w:spacing w:after="0"/>
              <w:jc w:val="center"/>
            </w:pPr>
            <w:r>
              <w:rPr>
                <w:noProof/>
              </w:rPr>
              <w:drawing>
                <wp:inline distT="0" distB="0" distL="0" distR="0">
                  <wp:extent cx="462915" cy="154305"/>
                  <wp:effectExtent l="0" t="0" r="0" b="0"/>
                  <wp:docPr id="252" name="Picture 254" descr="radio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radiobuttons.png"/>
                          <pic:cNvPicPr>
                            <a:picLocks noChangeAspect="1" noChangeArrowheads="1"/>
                          </pic:cNvPicPr>
                        </pic:nvPicPr>
                        <pic:blipFill>
                          <a:blip r:embed="rId257" cstate="print"/>
                          <a:srcRect/>
                          <a:stretch>
                            <a:fillRect/>
                          </a:stretch>
                        </pic:blipFill>
                        <pic:spPr bwMode="auto">
                          <a:xfrm>
                            <a:off x="0" y="0"/>
                            <a:ext cx="462915" cy="154305"/>
                          </a:xfrm>
                          <a:prstGeom prst="rect">
                            <a:avLst/>
                          </a:prstGeom>
                          <a:noFill/>
                          <a:ln w="9525">
                            <a:noFill/>
                            <a:miter lim="800000"/>
                            <a:headEnd/>
                            <a:tailEnd/>
                          </a:ln>
                        </pic:spPr>
                      </pic:pic>
                    </a:graphicData>
                  </a:graphic>
                </wp:inline>
              </w:drawing>
            </w:r>
          </w:p>
        </w:tc>
      </w:tr>
      <w:tr w:rsidR="00225952" w:rsidTr="00225952">
        <w:tc>
          <w:tcPr>
            <w:tcW w:w="10350" w:type="dxa"/>
            <w:gridSpan w:val="4"/>
          </w:tcPr>
          <w:p w:rsidR="00225952" w:rsidRPr="00E06451" w:rsidRDefault="00225952" w:rsidP="00225952">
            <w:pPr>
              <w:pStyle w:val="ResourceNotTOC"/>
              <w:jc w:val="right"/>
            </w:pPr>
            <w:r>
              <w:t>1 of 1</w:t>
            </w:r>
          </w:p>
        </w:tc>
      </w:tr>
    </w:tbl>
    <w:p w:rsidR="00225952" w:rsidRDefault="00225952" w:rsidP="00225952"/>
    <w:p w:rsidR="00954053" w:rsidRDefault="00954053" w:rsidP="00954053">
      <w:pPr>
        <w:jc w:val="center"/>
        <w:rPr>
          <w:b/>
          <w:color w:val="D9D9D9" w:themeColor="background1" w:themeShade="D9"/>
          <w:sz w:val="96"/>
          <w:szCs w:val="96"/>
        </w:rPr>
      </w:pPr>
    </w:p>
    <w:p w:rsidR="00954053" w:rsidRDefault="00954053" w:rsidP="00954053">
      <w:pPr>
        <w:jc w:val="center"/>
        <w:rPr>
          <w:b/>
          <w:color w:val="D9D9D9" w:themeColor="background1" w:themeShade="D9"/>
          <w:sz w:val="96"/>
          <w:szCs w:val="96"/>
        </w:rPr>
      </w:pPr>
    </w:p>
    <w:p w:rsidR="00954053" w:rsidRDefault="00954053" w:rsidP="00954053">
      <w:pPr>
        <w:jc w:val="center"/>
      </w:pPr>
      <w:r w:rsidRPr="004B5E07">
        <w:rPr>
          <w:b/>
          <w:color w:val="D9D9D9" w:themeColor="background1" w:themeShade="D9"/>
          <w:sz w:val="96"/>
          <w:szCs w:val="96"/>
        </w:rPr>
        <w:t>Blank Page</w:t>
      </w:r>
    </w:p>
    <w:p w:rsidR="00225952" w:rsidRDefault="00225952" w:rsidP="00225952"/>
    <w:tbl>
      <w:tblPr>
        <w:tblW w:w="10375" w:type="dxa"/>
        <w:tblLayout w:type="fixed"/>
        <w:tblLook w:val="0000"/>
      </w:tblPr>
      <w:tblGrid>
        <w:gridCol w:w="10375"/>
      </w:tblGrid>
      <w:tr w:rsidR="00225952" w:rsidRPr="00380CF5" w:rsidTr="00225952">
        <w:tc>
          <w:tcPr>
            <w:tcW w:w="10375" w:type="dxa"/>
          </w:tcPr>
          <w:p w:rsidR="00225952" w:rsidRDefault="00225952" w:rsidP="00225952">
            <w:pPr>
              <w:jc w:val="center"/>
              <w:rPr>
                <w:noProof/>
              </w:rPr>
            </w:pPr>
          </w:p>
        </w:tc>
      </w:tr>
    </w:tbl>
    <w:p w:rsidR="003A266F" w:rsidRDefault="003A266F" w:rsidP="003A266F"/>
    <w:p w:rsidR="007A0AB2" w:rsidRDefault="00606E1A" w:rsidP="00954053">
      <w:pPr>
        <w:spacing w:after="200"/>
        <w:sectPr w:rsidR="007A0AB2" w:rsidSect="00832911">
          <w:headerReference w:type="default" r:id="rId341"/>
          <w:pgSz w:w="12240" w:h="15840"/>
          <w:pgMar w:top="1440" w:right="720" w:bottom="1440" w:left="1152" w:header="720" w:footer="720" w:gutter="0"/>
          <w:cols w:space="720"/>
          <w:docGrid w:linePitch="360"/>
        </w:sectPr>
      </w:pPr>
      <w:r>
        <w:br w:type="page"/>
      </w:r>
    </w:p>
    <w:tbl>
      <w:tblPr>
        <w:tblW w:w="10375" w:type="dxa"/>
        <w:tblLayout w:type="fixed"/>
        <w:tblLook w:val="0000"/>
      </w:tblPr>
      <w:tblGrid>
        <w:gridCol w:w="2455"/>
        <w:gridCol w:w="7920"/>
      </w:tblGrid>
      <w:tr w:rsidR="00F10703" w:rsidRPr="00380CF5" w:rsidTr="00F10703">
        <w:tc>
          <w:tcPr>
            <w:tcW w:w="2455" w:type="dxa"/>
            <w:vMerge w:val="restart"/>
            <w:vAlign w:val="bottom"/>
          </w:tcPr>
          <w:p w:rsidR="00F10703" w:rsidRPr="00F10703" w:rsidRDefault="00F10703" w:rsidP="00F10703">
            <w:pPr>
              <w:jc w:val="right"/>
              <w:rPr>
                <w:color w:val="008080"/>
                <w:sz w:val="160"/>
                <w:szCs w:val="160"/>
              </w:rPr>
            </w:pPr>
            <w:r w:rsidRPr="00F10703">
              <w:rPr>
                <w:rFonts w:ascii="Tahoma" w:hAnsi="Tahoma" w:cs="Tahoma"/>
                <w:color w:val="008080"/>
                <w:sz w:val="160"/>
                <w:szCs w:val="160"/>
              </w:rPr>
              <w:lastRenderedPageBreak/>
              <w:t>5</w:t>
            </w:r>
          </w:p>
        </w:tc>
        <w:tc>
          <w:tcPr>
            <w:tcW w:w="7920" w:type="dxa"/>
            <w:vAlign w:val="bottom"/>
          </w:tcPr>
          <w:p w:rsidR="00F10703" w:rsidRPr="007A011F" w:rsidRDefault="00F10703" w:rsidP="00225952">
            <w:pPr>
              <w:jc w:val="center"/>
            </w:pPr>
            <w:r>
              <w:rPr>
                <w:noProof/>
              </w:rPr>
              <w:drawing>
                <wp:inline distT="0" distB="0" distL="0" distR="0">
                  <wp:extent cx="4892040" cy="3983609"/>
                  <wp:effectExtent l="19050" t="0" r="3810" b="0"/>
                  <wp:docPr id="11" name="Picture 4" descr="Mitigation CH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tigation CH5.png"/>
                          <pic:cNvPicPr/>
                        </pic:nvPicPr>
                        <pic:blipFill>
                          <a:blip r:embed="rId342" cstate="print"/>
                          <a:srcRect l="2479"/>
                          <a:stretch>
                            <a:fillRect/>
                          </a:stretch>
                        </pic:blipFill>
                        <pic:spPr>
                          <a:xfrm>
                            <a:off x="0" y="0"/>
                            <a:ext cx="4892040" cy="3983609"/>
                          </a:xfrm>
                          <a:prstGeom prst="rect">
                            <a:avLst/>
                          </a:prstGeom>
                        </pic:spPr>
                      </pic:pic>
                    </a:graphicData>
                  </a:graphic>
                </wp:inline>
              </w:drawing>
            </w:r>
          </w:p>
        </w:tc>
      </w:tr>
      <w:tr w:rsidR="00F10703" w:rsidRPr="00380CF5" w:rsidTr="00225952">
        <w:tc>
          <w:tcPr>
            <w:tcW w:w="2455" w:type="dxa"/>
            <w:vMerge/>
          </w:tcPr>
          <w:p w:rsidR="00F10703" w:rsidRDefault="00F10703" w:rsidP="00225952">
            <w:pPr>
              <w:jc w:val="right"/>
              <w:rPr>
                <w:rFonts w:ascii="Tahoma" w:hAnsi="Tahoma" w:cs="Tahoma"/>
                <w:color w:val="4F6228"/>
                <w:sz w:val="72"/>
                <w:szCs w:val="72"/>
              </w:rPr>
            </w:pPr>
          </w:p>
        </w:tc>
        <w:tc>
          <w:tcPr>
            <w:tcW w:w="7920" w:type="dxa"/>
          </w:tcPr>
          <w:p w:rsidR="00F10703" w:rsidRDefault="00CC002A" w:rsidP="00225952">
            <w:pPr>
              <w:pStyle w:val="Heading1"/>
            </w:pPr>
            <w:bookmarkStart w:id="315" w:name="_MITIGATION"/>
            <w:bookmarkStart w:id="316" w:name="_Toc232912679"/>
            <w:bookmarkStart w:id="317" w:name="_Toc264274172"/>
            <w:bookmarkEnd w:id="315"/>
            <w:r>
              <w:t>Mitigation</w:t>
            </w:r>
            <w:bookmarkEnd w:id="316"/>
            <w:bookmarkEnd w:id="317"/>
          </w:p>
        </w:tc>
      </w:tr>
      <w:tr w:rsidR="00F77AF3" w:rsidRPr="00380CF5" w:rsidTr="005A3F7B">
        <w:tc>
          <w:tcPr>
            <w:tcW w:w="10375" w:type="dxa"/>
            <w:gridSpan w:val="2"/>
          </w:tcPr>
          <w:p w:rsidR="00F77AF3" w:rsidRPr="00D75C70" w:rsidRDefault="00F77AF3" w:rsidP="00F77AF3">
            <w:pPr>
              <w:pStyle w:val="Heading2"/>
            </w:pPr>
            <w:bookmarkStart w:id="318" w:name="_Toc264274173"/>
            <w:r>
              <w:t>5.1  Introduction</w:t>
            </w:r>
            <w:bookmarkEnd w:id="318"/>
          </w:p>
        </w:tc>
      </w:tr>
      <w:tr w:rsidR="00225952" w:rsidRPr="00380CF5" w:rsidTr="00225952">
        <w:tc>
          <w:tcPr>
            <w:tcW w:w="2455" w:type="dxa"/>
          </w:tcPr>
          <w:p w:rsidR="00954053" w:rsidRDefault="00954053" w:rsidP="00954053">
            <w:pPr>
              <w:pStyle w:val="HeadSide2"/>
            </w:pPr>
          </w:p>
          <w:p w:rsidR="00954053" w:rsidRDefault="00954053" w:rsidP="00954053">
            <w:pPr>
              <w:pStyle w:val="HeadSide2"/>
              <w:spacing w:line="280" w:lineRule="exact"/>
            </w:pPr>
            <w:r w:rsidRPr="00D75C70">
              <w:t xml:space="preserve">This chapter provides guidance on strategies and funding mechanisms for mitigation. </w:t>
            </w:r>
          </w:p>
          <w:p w:rsidR="00225952" w:rsidRPr="006748CC" w:rsidRDefault="00225952" w:rsidP="00225952">
            <w:pPr>
              <w:pStyle w:val="Heading3"/>
            </w:pPr>
          </w:p>
        </w:tc>
        <w:tc>
          <w:tcPr>
            <w:tcW w:w="7920" w:type="dxa"/>
          </w:tcPr>
          <w:p w:rsidR="00225952" w:rsidRDefault="00225952" w:rsidP="00225952">
            <w:pPr>
              <w:rPr>
                <w:szCs w:val="23"/>
              </w:rPr>
            </w:pPr>
            <w:r w:rsidRPr="006E207F">
              <w:t>Decisions about how to meet community visions for development and transportation options are a key responsibility of local government planning, and should be coordinated with neighboring jurisdictional, MPO, and other agency plans to ensure that local and regional mobility goals are met in a proactive, comprehensive way. When development is expected to impact SIS, FIHS, or TRIP-funded facilities, local entities should also coordinate with FDOT on mitigation plans. FDOT reviewers should therefore be aware of how local government comprehensive plans align with regional and statewide mobility goals through a number of planning documents so that the mitigation options chosen reflect overall community visions for growth. Mitigation efforts should be consistent with local government comprehensive plans and future land use maps, as well as the Metropolitan Planning Organization’s (MPO) Transportation Development Plan (TDP), Transportation Improvement Plan (TIP), the Unified Planning Work Program/Budget, and the Long-Range Transportation Plan (LRTP).</w:t>
            </w:r>
          </w:p>
        </w:tc>
      </w:tr>
      <w:tr w:rsidR="00225952" w:rsidRPr="00380CF5" w:rsidTr="00225952">
        <w:tc>
          <w:tcPr>
            <w:tcW w:w="2455" w:type="dxa"/>
          </w:tcPr>
          <w:p w:rsidR="00225952" w:rsidRPr="006748CC" w:rsidRDefault="00225952" w:rsidP="00225952">
            <w:pPr>
              <w:pStyle w:val="Heading3"/>
            </w:pPr>
          </w:p>
        </w:tc>
        <w:tc>
          <w:tcPr>
            <w:tcW w:w="7920" w:type="dxa"/>
          </w:tcPr>
          <w:p w:rsidR="00225952" w:rsidRPr="006E207F" w:rsidRDefault="00225952" w:rsidP="00225952">
            <w:r w:rsidRPr="006E207F">
              <w:t xml:space="preserve">Mitigation should be relative to the scale of the expected transportation impacts. For example, while two developments might initially seem similar, a mall  would expect to generate more traffic and have a greater impact to the existing transportation network than a warehouse even when both developments consists of an equal amount of commercial or retail square footage. </w:t>
            </w:r>
          </w:p>
          <w:p w:rsidR="00225952" w:rsidRPr="006E207F" w:rsidRDefault="00225952" w:rsidP="00F77AF3">
            <w:pPr>
              <w:autoSpaceDE w:val="0"/>
              <w:autoSpaceDN w:val="0"/>
              <w:adjustRightInd w:val="0"/>
              <w:spacing w:after="60"/>
            </w:pPr>
            <w:r>
              <w:t>T</w:t>
            </w:r>
            <w:r w:rsidRPr="006E207F">
              <w:t xml:space="preserve">ransportation impact analysis has </w:t>
            </w:r>
            <w:r>
              <w:t xml:space="preserve">traditionally </w:t>
            </w:r>
            <w:r w:rsidRPr="006E207F">
              <w:t xml:space="preserve">focused on a few basic factors to identify expected </w:t>
            </w:r>
            <w:r>
              <w:t xml:space="preserve">automobile </w:t>
            </w:r>
            <w:r w:rsidRPr="006E207F">
              <w:t>level of service impacts on the transportation system and the associated costs of addressing these impacts. While this traditional analysis still holds true for many traditional suburban developments and undeveloped areas, newer community strategies like TCEAs, TCMAs, and MMTDs involve additional factors that are not effectively measured in</w:t>
            </w:r>
            <w:r>
              <w:t xml:space="preserve"> automobile</w:t>
            </w:r>
            <w:r w:rsidRPr="006E207F">
              <w:t xml:space="preserve"> level of service calculations alone. In these cases, consideration of transit needs, bicycle and pedestrian needs, and mitigation efforts to reduce automobile dependence are also necessary. In addition to the traditional level of service considerations, some questions to consider in analyzing impacts include:</w:t>
            </w:r>
          </w:p>
        </w:tc>
      </w:tr>
      <w:tr w:rsidR="00225952" w:rsidRPr="00380CF5" w:rsidTr="00225952">
        <w:tc>
          <w:tcPr>
            <w:tcW w:w="2455" w:type="dxa"/>
          </w:tcPr>
          <w:p w:rsidR="00225952" w:rsidRPr="006748CC" w:rsidRDefault="00225952" w:rsidP="00225952">
            <w:pPr>
              <w:pStyle w:val="Heading3"/>
            </w:pPr>
          </w:p>
        </w:tc>
        <w:tc>
          <w:tcPr>
            <w:tcW w:w="7920" w:type="dxa"/>
          </w:tcPr>
          <w:p w:rsidR="00225952" w:rsidRPr="006E207F" w:rsidRDefault="00225952" w:rsidP="00AD2D7A">
            <w:pPr>
              <w:pStyle w:val="BulletA"/>
              <w:numPr>
                <w:ilvl w:val="0"/>
                <w:numId w:val="146"/>
              </w:numPr>
            </w:pPr>
            <w:r w:rsidRPr="006E207F">
              <w:t>Does the design of the proposed development work to reduce impacts on adjacent arterials?</w:t>
            </w:r>
          </w:p>
          <w:p w:rsidR="00225952" w:rsidRPr="006E207F" w:rsidRDefault="00225952" w:rsidP="00AD2D7A">
            <w:pPr>
              <w:pStyle w:val="BulletA"/>
              <w:numPr>
                <w:ilvl w:val="0"/>
                <w:numId w:val="146"/>
              </w:numPr>
            </w:pPr>
            <w:r w:rsidRPr="006E207F">
              <w:t>Are there factors in the proposed development that are expected to reduce automobile trip generation?</w:t>
            </w:r>
          </w:p>
          <w:p w:rsidR="00225952" w:rsidRPr="006E207F" w:rsidRDefault="00225952" w:rsidP="00AD2D7A">
            <w:pPr>
              <w:pStyle w:val="BulletA"/>
              <w:numPr>
                <w:ilvl w:val="0"/>
                <w:numId w:val="146"/>
              </w:numPr>
            </w:pPr>
            <w:r w:rsidRPr="006E207F">
              <w:t>Will the proposed development support higher rates of internal capture?</w:t>
            </w:r>
          </w:p>
          <w:p w:rsidR="00225952" w:rsidRPr="006E207F" w:rsidRDefault="00225952" w:rsidP="00AD2D7A">
            <w:pPr>
              <w:pStyle w:val="BulletA"/>
              <w:numPr>
                <w:ilvl w:val="0"/>
                <w:numId w:val="146"/>
              </w:numPr>
            </w:pPr>
            <w:r w:rsidRPr="006E207F">
              <w:t>Will the proposed development produce more trips by alternative transportation modes?</w:t>
            </w:r>
          </w:p>
          <w:p w:rsidR="00225952" w:rsidRDefault="00225952" w:rsidP="00F77AF3">
            <w:pPr>
              <w:pStyle w:val="BulletA"/>
              <w:numPr>
                <w:ilvl w:val="0"/>
                <w:numId w:val="146"/>
              </w:numPr>
              <w:spacing w:after="180"/>
            </w:pPr>
            <w:r w:rsidRPr="006E207F">
              <w:t>Does the proposed development support more trip chaining that may affect the activity patterns on the transportation system?</w:t>
            </w:r>
          </w:p>
          <w:p w:rsidR="00225952" w:rsidRPr="006E207F" w:rsidRDefault="00EC1D56" w:rsidP="00F77AF3">
            <w:pPr>
              <w:spacing w:after="60"/>
            </w:pPr>
            <w:r>
              <w:rPr>
                <w:szCs w:val="23"/>
              </w:rPr>
              <w:t>See Resource</w:t>
            </w:r>
            <w:r w:rsidR="00225952">
              <w:rPr>
                <w:szCs w:val="23"/>
              </w:rPr>
              <w:t xml:space="preserve"> </w:t>
            </w:r>
            <w:r>
              <w:rPr>
                <w:szCs w:val="23"/>
              </w:rPr>
              <w:t xml:space="preserve">Guide 5 </w:t>
            </w:r>
            <w:r w:rsidR="00225952">
              <w:rPr>
                <w:szCs w:val="23"/>
              </w:rPr>
              <w:t xml:space="preserve"> </w:t>
            </w:r>
            <w:r>
              <w:rPr>
                <w:szCs w:val="23"/>
              </w:rPr>
              <w:t xml:space="preserve">for information on how </w:t>
            </w:r>
            <w:r w:rsidR="00225952">
              <w:rPr>
                <w:szCs w:val="23"/>
              </w:rPr>
              <w:t>multimodal quality of service can be utilized to assess how well these questions are addressed.</w:t>
            </w:r>
          </w:p>
        </w:tc>
      </w:tr>
      <w:tr w:rsidR="00225952" w:rsidRPr="00380CF5" w:rsidTr="00225952">
        <w:tc>
          <w:tcPr>
            <w:tcW w:w="2455" w:type="dxa"/>
          </w:tcPr>
          <w:p w:rsidR="00225952" w:rsidRPr="006748CC" w:rsidRDefault="00225952" w:rsidP="00225952">
            <w:pPr>
              <w:pStyle w:val="Heading3"/>
            </w:pPr>
          </w:p>
        </w:tc>
        <w:tc>
          <w:tcPr>
            <w:tcW w:w="7920" w:type="dxa"/>
          </w:tcPr>
          <w:p w:rsidR="00225952" w:rsidRPr="006148B2" w:rsidRDefault="00225952" w:rsidP="00AD2D7A">
            <w:pPr>
              <w:pStyle w:val="BulletA"/>
              <w:numPr>
                <w:ilvl w:val="0"/>
                <w:numId w:val="146"/>
              </w:numPr>
              <w:spacing w:after="240"/>
            </w:pPr>
            <w:r w:rsidRPr="006148B2">
              <w:t xml:space="preserve">In addition, different transportation impacts may be expected depending upon development type. Developments that are designed to include an interconnected street network, support high density mixed-use development, or otherwise embrace transit-oriented design practices, serve to reduce reliance on adjacent arterials through design features that promote bicycle and pedestrian accessibility and the ability to move along local streets for daily trips. The transportation impacts for these developments are therefore less than conventional low density suburban developments that separate land uses and promote automobile use due to insufficient bicycle and pedestrian facilities accessibility, and vast distances to traverse. </w:t>
            </w:r>
          </w:p>
        </w:tc>
      </w:tr>
      <w:tr w:rsidR="00225952" w:rsidRPr="00380CF5" w:rsidTr="00225952">
        <w:tc>
          <w:tcPr>
            <w:tcW w:w="2455" w:type="dxa"/>
          </w:tcPr>
          <w:p w:rsidR="00107F14" w:rsidRDefault="00107F14" w:rsidP="00225952">
            <w:pPr>
              <w:pStyle w:val="Heading3"/>
            </w:pPr>
          </w:p>
          <w:p w:rsidR="00107F14" w:rsidRDefault="00107F14" w:rsidP="00225952">
            <w:pPr>
              <w:pStyle w:val="Heading3"/>
            </w:pPr>
          </w:p>
          <w:p w:rsidR="00107F14" w:rsidRDefault="00107F14" w:rsidP="00225952">
            <w:pPr>
              <w:pStyle w:val="Heading3"/>
            </w:pPr>
          </w:p>
          <w:p w:rsidR="00225952" w:rsidRDefault="00107F14" w:rsidP="000B2C1D">
            <w:pPr>
              <w:spacing w:after="0"/>
            </w:pPr>
            <w:r w:rsidRPr="000B2C1D">
              <w:rPr>
                <w:noProof/>
              </w:rPr>
              <w:drawing>
                <wp:inline distT="0" distB="0" distL="0" distR="0">
                  <wp:extent cx="1421765" cy="554990"/>
                  <wp:effectExtent l="0" t="0" r="0" b="0"/>
                  <wp:docPr id="18" name="Picture 17" descr="button_PDFlink.png">
                    <a:hlinkClick xmlns:a="http://schemas.openxmlformats.org/drawingml/2006/main" r:id="rId3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tton_PDFlink.png"/>
                          <pic:cNvPicPr/>
                        </pic:nvPicPr>
                        <pic:blipFill>
                          <a:blip r:embed="rId15" cstate="print"/>
                          <a:stretch>
                            <a:fillRect/>
                          </a:stretch>
                        </pic:blipFill>
                        <pic:spPr>
                          <a:xfrm>
                            <a:off x="0" y="0"/>
                            <a:ext cx="1421765" cy="554990"/>
                          </a:xfrm>
                          <a:prstGeom prst="rect">
                            <a:avLst/>
                          </a:prstGeom>
                        </pic:spPr>
                      </pic:pic>
                    </a:graphicData>
                  </a:graphic>
                </wp:inline>
              </w:drawing>
            </w:r>
          </w:p>
          <w:p w:rsidR="00107F14" w:rsidRPr="00107F14" w:rsidRDefault="00107F14" w:rsidP="00107F14">
            <w:pPr>
              <w:pStyle w:val="HeadSide20"/>
              <w:jc w:val="center"/>
            </w:pPr>
            <w:r>
              <w:t>Lake Sumter Policy</w:t>
            </w:r>
          </w:p>
        </w:tc>
        <w:tc>
          <w:tcPr>
            <w:tcW w:w="7920" w:type="dxa"/>
          </w:tcPr>
          <w:p w:rsidR="00225952" w:rsidRPr="006E207F" w:rsidRDefault="00225952" w:rsidP="00225952">
            <w:r w:rsidRPr="006E207F">
              <w:lastRenderedPageBreak/>
              <w:t xml:space="preserve">FDOT reviewers should also recognize and look for opportunities to reduce impacts to the SIS, FIHS, and TRIP-funded facilities. For instance, some local </w:t>
            </w:r>
            <w:r w:rsidRPr="006E207F">
              <w:lastRenderedPageBreak/>
              <w:t xml:space="preserve">governments and MPOs have developed </w:t>
            </w:r>
            <w:r w:rsidRPr="006E207F">
              <w:rPr>
                <w:b/>
              </w:rPr>
              <w:t>roadway constraint ordinances or policies</w:t>
            </w:r>
            <w:r w:rsidRPr="006E207F">
              <w:t xml:space="preserve"> to guide transportation investment priorities, promote community mobility goals, and offer less expensive options for enhancing regional transportation networks. These policies should be consulted along with other local and regional planning documents, and will have a significant impact on mitigation opportunities. For instance, the </w:t>
            </w:r>
            <w:hyperlink r:id="rId344" w:history="1">
              <w:r w:rsidRPr="006E207F">
                <w:rPr>
                  <w:rStyle w:val="Hyperlink"/>
                  <w:szCs w:val="23"/>
                </w:rPr>
                <w:t>Lake Sumter MPO Roadway Constraint Policy</w:t>
              </w:r>
            </w:hyperlink>
            <w:r w:rsidRPr="006E207F">
              <w:t xml:space="preserve"> defines maximum </w:t>
            </w:r>
            <w:r>
              <w:t xml:space="preserve">number of </w:t>
            </w:r>
            <w:r w:rsidRPr="006E207F">
              <w:t xml:space="preserve">lanes for several </w:t>
            </w:r>
            <w:r>
              <w:t>federal</w:t>
            </w:r>
            <w:r w:rsidRPr="006E207F">
              <w:t xml:space="preserve">, state, and county roads within their jurisdiction in an effort to maintain and enhance the overall transportation network in a cost-effective way that considers long-term community mobility goals. </w:t>
            </w:r>
          </w:p>
          <w:p w:rsidR="00225952" w:rsidRPr="006E207F" w:rsidRDefault="00225952" w:rsidP="00225952">
            <w:r w:rsidRPr="006E207F">
              <w:t xml:space="preserve">Another method for reducing impacts on the SIS, FIHS, and TRIP-funded facilities is in the use of </w:t>
            </w:r>
            <w:r w:rsidRPr="006E207F">
              <w:rPr>
                <w:b/>
              </w:rPr>
              <w:t>parallel reliever roads</w:t>
            </w:r>
            <w:r w:rsidRPr="006E207F">
              <w:t xml:space="preserve">, nearby parallel roads that serve common destinations and run in the same direction as a major arterial. </w:t>
            </w:r>
            <w:r w:rsidRPr="00970D7A">
              <w:t xml:space="preserve">In the City of Destin, for example, parallel reliever roadways operate to preserve existing capacity on US 98 (the main east-west arterial running through the city) while contributing to the overall multimodal transportation goals and policies of the community. In conjunction with the City’s recent adoption of a MMTD, various transportation options have been developed to improve roadway connectivity and reduce single occupant vehicle trip making in an overall effort to create a multimodal environment. </w:t>
            </w:r>
            <w:r w:rsidRPr="009423CC">
              <w:t>When employing this strategy, particular attention should be paid to safety considerations in the improvement of parallel relievers to address operational issues and unfamiliar movements that can lead to increased crash rates.</w:t>
            </w:r>
          </w:p>
        </w:tc>
      </w:tr>
      <w:tr w:rsidR="00225952" w:rsidRPr="00380CF5" w:rsidTr="00225952">
        <w:tc>
          <w:tcPr>
            <w:tcW w:w="2455" w:type="dxa"/>
          </w:tcPr>
          <w:p w:rsidR="00107F14" w:rsidRDefault="00107F14" w:rsidP="00225952">
            <w:pPr>
              <w:pStyle w:val="Heading3"/>
            </w:pPr>
          </w:p>
          <w:p w:rsidR="00107F14" w:rsidRDefault="00107F14" w:rsidP="00225952">
            <w:pPr>
              <w:pStyle w:val="Heading3"/>
            </w:pPr>
          </w:p>
          <w:p w:rsidR="00107F14" w:rsidRDefault="00107F14" w:rsidP="00225952">
            <w:pPr>
              <w:pStyle w:val="Heading3"/>
            </w:pPr>
          </w:p>
          <w:p w:rsidR="00107F14" w:rsidRDefault="00107F14" w:rsidP="00225952">
            <w:pPr>
              <w:pStyle w:val="Heading3"/>
            </w:pPr>
          </w:p>
          <w:p w:rsidR="00107F14" w:rsidRDefault="00107F14" w:rsidP="00225952">
            <w:pPr>
              <w:pStyle w:val="Heading3"/>
            </w:pPr>
          </w:p>
          <w:p w:rsidR="00225952" w:rsidRDefault="00107F14" w:rsidP="000B2C1D">
            <w:pPr>
              <w:spacing w:after="0"/>
            </w:pPr>
            <w:r w:rsidRPr="000B2C1D">
              <w:rPr>
                <w:noProof/>
              </w:rPr>
              <w:drawing>
                <wp:inline distT="0" distB="0" distL="0" distR="0">
                  <wp:extent cx="1421765" cy="554990"/>
                  <wp:effectExtent l="0" t="0" r="0" b="0"/>
                  <wp:docPr id="20" name="Picture 17" descr="button_PDFlink.png">
                    <a:hlinkClick xmlns:a="http://schemas.openxmlformats.org/drawingml/2006/main" r:id="rId3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tton_PDFlink.png"/>
                          <pic:cNvPicPr/>
                        </pic:nvPicPr>
                        <pic:blipFill>
                          <a:blip r:embed="rId15" cstate="print"/>
                          <a:stretch>
                            <a:fillRect/>
                          </a:stretch>
                        </pic:blipFill>
                        <pic:spPr>
                          <a:xfrm>
                            <a:off x="0" y="0"/>
                            <a:ext cx="1421765" cy="554990"/>
                          </a:xfrm>
                          <a:prstGeom prst="rect">
                            <a:avLst/>
                          </a:prstGeom>
                        </pic:spPr>
                      </pic:pic>
                    </a:graphicData>
                  </a:graphic>
                </wp:inline>
              </w:drawing>
            </w:r>
          </w:p>
          <w:p w:rsidR="00107F14" w:rsidRPr="00107F14" w:rsidRDefault="00107F14" w:rsidP="00107F14">
            <w:pPr>
              <w:pStyle w:val="HeadSide20"/>
              <w:ind w:right="0"/>
              <w:jc w:val="center"/>
            </w:pPr>
            <w:r>
              <w:t>Multimodal Tradeoff</w:t>
            </w:r>
          </w:p>
        </w:tc>
        <w:tc>
          <w:tcPr>
            <w:tcW w:w="7920" w:type="dxa"/>
          </w:tcPr>
          <w:p w:rsidR="00225952" w:rsidRPr="006E207F" w:rsidRDefault="00225952" w:rsidP="00225952">
            <w:r w:rsidRPr="006E207F">
              <w:t xml:space="preserve">As more options become available to meet the mobility needs of the transportation network, the analysis of mitigation options becomes more complex. In general, reviewers should utilize both quantitative and qualitative methods of analyzing the transportation impacts of new development. </w:t>
            </w:r>
          </w:p>
          <w:p w:rsidR="00225952" w:rsidRPr="006E207F" w:rsidRDefault="00225952" w:rsidP="00225952">
            <w:r w:rsidRPr="006E207F">
              <w:t xml:space="preserve">FDOT reviewers should recognize the limitations of travel demand modeling in multimodal analyses so that transportation impacts are assessed effectively. For example, the use of traffic analysis zones (TAZs) as a unit of analysis does not consider trips within those zones, like the ones that constitute the majority of walking trips, a significant portion of bike trips, and most trips to access transit. In addition, existing land use models do not consider differences in land use configurations that may occur as a result of changes in the transportation network. FDOT reviewers may wish to consult FDOT’s </w:t>
            </w:r>
            <w:hyperlink r:id="rId346" w:history="1">
              <w:r w:rsidRPr="006E207F">
                <w:rPr>
                  <w:rStyle w:val="Hyperlink"/>
                  <w:szCs w:val="23"/>
                </w:rPr>
                <w:t>Multimodal Tradeoff Analysis in Traffic Impact Studies</w:t>
              </w:r>
            </w:hyperlink>
            <w:r w:rsidRPr="006E207F">
              <w:t xml:space="preserve"> for more detailed information on multimodal considerations.</w:t>
            </w:r>
          </w:p>
        </w:tc>
      </w:tr>
      <w:tr w:rsidR="00F77AF3" w:rsidRPr="00380CF5" w:rsidTr="005A3F7B">
        <w:tc>
          <w:tcPr>
            <w:tcW w:w="10375" w:type="dxa"/>
            <w:gridSpan w:val="2"/>
          </w:tcPr>
          <w:p w:rsidR="00F77AF3" w:rsidRPr="006E207F" w:rsidRDefault="00F77AF3" w:rsidP="00F77AF3">
            <w:pPr>
              <w:pStyle w:val="Heading3"/>
            </w:pPr>
            <w:bookmarkStart w:id="319" w:name="_Toc263521868"/>
            <w:bookmarkStart w:id="320" w:name="_Toc263613618"/>
            <w:bookmarkStart w:id="321" w:name="_Toc264274174"/>
            <w:r>
              <w:lastRenderedPageBreak/>
              <w:t xml:space="preserve">5.1.1  </w:t>
            </w:r>
            <w:r w:rsidRPr="009423CC">
              <w:t>Context-Sensitive Solutions (CSS)</w:t>
            </w:r>
            <w:bookmarkEnd w:id="319"/>
            <w:bookmarkEnd w:id="320"/>
            <w:bookmarkEnd w:id="321"/>
          </w:p>
        </w:tc>
      </w:tr>
      <w:tr w:rsidR="00225952" w:rsidRPr="00380CF5" w:rsidTr="00225952">
        <w:tc>
          <w:tcPr>
            <w:tcW w:w="2455" w:type="dxa"/>
          </w:tcPr>
          <w:p w:rsidR="00225952" w:rsidRDefault="00225952" w:rsidP="00225952">
            <w:pPr>
              <w:rPr>
                <w:bCs/>
                <w:color w:val="984806"/>
              </w:rPr>
            </w:pPr>
          </w:p>
          <w:p w:rsidR="00225952" w:rsidRDefault="00225952" w:rsidP="00225952"/>
          <w:p w:rsidR="00225952" w:rsidRDefault="00225952" w:rsidP="00225952"/>
          <w:p w:rsidR="00225952" w:rsidRDefault="00225952" w:rsidP="00225952"/>
          <w:p w:rsidR="00225952" w:rsidRDefault="00225952" w:rsidP="00225952"/>
          <w:p w:rsidR="00225952" w:rsidRDefault="00225952" w:rsidP="00225952"/>
          <w:p w:rsidR="00225952" w:rsidRDefault="00225952" w:rsidP="00225952"/>
          <w:p w:rsidR="00225952" w:rsidRDefault="00225952" w:rsidP="00225952"/>
          <w:p w:rsidR="00225952" w:rsidRDefault="00225952" w:rsidP="00225952"/>
          <w:p w:rsidR="00225952" w:rsidRDefault="00225952" w:rsidP="00225952"/>
          <w:p w:rsidR="00225952" w:rsidRDefault="00225952" w:rsidP="00225952"/>
          <w:p w:rsidR="00225952" w:rsidRDefault="00225952" w:rsidP="00225952"/>
          <w:p w:rsidR="00225952" w:rsidRDefault="00225952" w:rsidP="00225952"/>
          <w:p w:rsidR="00225952" w:rsidRDefault="00225952" w:rsidP="00225952"/>
        </w:tc>
        <w:tc>
          <w:tcPr>
            <w:tcW w:w="7920" w:type="dxa"/>
          </w:tcPr>
          <w:p w:rsidR="00225952" w:rsidRPr="006E207F" w:rsidRDefault="00225952" w:rsidP="00225952">
            <w:r w:rsidRPr="006E207F">
              <w:t xml:space="preserve">FDOT’s </w:t>
            </w:r>
            <w:hyperlink r:id="rId347" w:history="1">
              <w:r w:rsidRPr="006E207F">
                <w:rPr>
                  <w:rFonts w:cs="Arial"/>
                  <w:color w:val="0000FF"/>
                  <w:u w:val="single"/>
                </w:rPr>
                <w:t>Topic 000-650-002-a</w:t>
              </w:r>
            </w:hyperlink>
            <w:r w:rsidRPr="006E207F">
              <w:t xml:space="preserve"> defines Context Sensitive Solutions as, “a proactive, collaborative, interdisciplinary approach to transportation decision making, project development, and implementation, taking into account, the views of stakeholders, and the local area where a project will exist, be operated, and be maintained.” CSS strategies support a broad view of the modal transportation network to enhance local planning goals and conserve important environmental resources, while also addressing safety and mobility issues. Conventional approaches to capacity enhancement focus on widening lanes and creating more continuous roadways</w:t>
            </w:r>
            <w:r>
              <w:t xml:space="preserve">. This leads to </w:t>
            </w:r>
            <w:r w:rsidRPr="006E207F">
              <w:t>the unintended result of hindering specific community and environmental objectives</w:t>
            </w:r>
            <w:r>
              <w:t xml:space="preserve"> as well as </w:t>
            </w:r>
            <w:r w:rsidRPr="006E207F">
              <w:t>aesthetics</w:t>
            </w:r>
            <w:r>
              <w:t>,</w:t>
            </w:r>
            <w:r w:rsidRPr="006E207F">
              <w:t xml:space="preserve"> accessibility and safety. </w:t>
            </w:r>
            <w:r>
              <w:t>A CSS</w:t>
            </w:r>
            <w:r w:rsidRPr="006E207F">
              <w:t xml:space="preserve"> strategy requires the implementation of solutions tailored to the specific community and takes multimodal and intermodal connections into account when addressing capacity needs. </w:t>
            </w:r>
          </w:p>
          <w:p w:rsidR="00225952" w:rsidRPr="006E207F" w:rsidRDefault="00225952" w:rsidP="00225952">
            <w:r w:rsidRPr="006E207F">
              <w:t>Local and regional plans provide the directive for meeting concurrency standards through CSS</w:t>
            </w:r>
            <w:r>
              <w:t>.</w:t>
            </w:r>
            <w:r w:rsidRPr="006E207F">
              <w:t xml:space="preserve"> </w:t>
            </w:r>
            <w:r>
              <w:t>E</w:t>
            </w:r>
            <w:r w:rsidRPr="006E207F">
              <w:t xml:space="preserve">arly </w:t>
            </w:r>
            <w:r>
              <w:t xml:space="preserve">and </w:t>
            </w:r>
            <w:r w:rsidRPr="006E207F">
              <w:t xml:space="preserve">continuous coordination between FDOT, local governments, and the public </w:t>
            </w:r>
            <w:r>
              <w:t xml:space="preserve">is imperative in order </w:t>
            </w:r>
            <w:r w:rsidRPr="006E207F">
              <w:t xml:space="preserve">to define community and environmental goals </w:t>
            </w:r>
            <w:r>
              <w:t>to establish</w:t>
            </w:r>
            <w:r w:rsidRPr="006E207F">
              <w:t xml:space="preserve"> long-term mobility on the transportation network.</w:t>
            </w:r>
            <w:r>
              <w:t xml:space="preserve"> </w:t>
            </w:r>
            <w:r w:rsidRPr="006E207F">
              <w:t>Examples of new capacity improvements using CSS include: streetscape improvements, traffic calming design elements, as well as road space reallocation to increase right of way for alternative modes such as transit or bicycle/pedestrian improvements.  CSS may be combined with Transportation Demand Management (TDM) solutions that seek to increase efficiency on the existing system by considering design elements that influence travel behaviors.</w:t>
            </w:r>
          </w:p>
        </w:tc>
      </w:tr>
      <w:tr w:rsidR="00F77AF3" w:rsidRPr="00380CF5" w:rsidTr="005A3F7B">
        <w:tc>
          <w:tcPr>
            <w:tcW w:w="10375" w:type="dxa"/>
            <w:gridSpan w:val="2"/>
          </w:tcPr>
          <w:p w:rsidR="00F77AF3" w:rsidRPr="006E207F" w:rsidRDefault="00F77AF3" w:rsidP="00F77AF3">
            <w:pPr>
              <w:pStyle w:val="Heading3"/>
            </w:pPr>
            <w:bookmarkStart w:id="322" w:name="_Toc263521869"/>
            <w:bookmarkStart w:id="323" w:name="_Toc263613619"/>
            <w:bookmarkStart w:id="324" w:name="_Toc264274175"/>
            <w:r>
              <w:t>5.1.2  Development or Land Use Changes</w:t>
            </w:r>
            <w:bookmarkEnd w:id="322"/>
            <w:bookmarkEnd w:id="323"/>
            <w:bookmarkEnd w:id="324"/>
          </w:p>
        </w:tc>
      </w:tr>
      <w:tr w:rsidR="00F77AF3" w:rsidRPr="00380CF5" w:rsidTr="00225952">
        <w:tc>
          <w:tcPr>
            <w:tcW w:w="2455" w:type="dxa"/>
          </w:tcPr>
          <w:p w:rsidR="00F77AF3" w:rsidRDefault="00F77AF3" w:rsidP="00225952"/>
        </w:tc>
        <w:tc>
          <w:tcPr>
            <w:tcW w:w="7920" w:type="dxa"/>
          </w:tcPr>
          <w:p w:rsidR="00F77AF3" w:rsidRPr="006E207F" w:rsidRDefault="00F77AF3" w:rsidP="00F77AF3">
            <w:r w:rsidRPr="006E207F">
              <w:t>Changes in the development plan initially proposed by the applicant may ultimately be required if there are no other feasible alternatives to mitigate for the traffic impacts or to reduce the magnitude of impacts by modifying the assignment of traffic by the development.</w:t>
            </w:r>
          </w:p>
          <w:p w:rsidR="00F77AF3" w:rsidRPr="006E207F" w:rsidRDefault="00F77AF3" w:rsidP="00F77AF3">
            <w:pPr>
              <w:spacing w:after="60"/>
            </w:pPr>
            <w:r w:rsidRPr="006E207F">
              <w:t>Examples of changes to site plans could include:</w:t>
            </w:r>
          </w:p>
          <w:p w:rsidR="00F77AF3" w:rsidRPr="00FE7CBC" w:rsidRDefault="00F77AF3" w:rsidP="00954053">
            <w:pPr>
              <w:pStyle w:val="ListParagraph"/>
              <w:numPr>
                <w:ilvl w:val="0"/>
                <w:numId w:val="70"/>
              </w:numPr>
              <w:jc w:val="left"/>
            </w:pPr>
            <w:r w:rsidRPr="00FE7CBC">
              <w:t>Reduce development land uses</w:t>
            </w:r>
          </w:p>
          <w:p w:rsidR="00F77AF3" w:rsidRPr="00FE7CBC" w:rsidRDefault="00F77AF3" w:rsidP="00954053">
            <w:pPr>
              <w:pStyle w:val="ListParagraph"/>
              <w:numPr>
                <w:ilvl w:val="0"/>
                <w:numId w:val="70"/>
              </w:numPr>
              <w:jc w:val="left"/>
            </w:pPr>
            <w:r w:rsidRPr="00FE7CBC">
              <w:t>Change proposed land uses</w:t>
            </w:r>
          </w:p>
          <w:p w:rsidR="00F77AF3" w:rsidRPr="00FE7CBC" w:rsidRDefault="00F77AF3" w:rsidP="00954053">
            <w:pPr>
              <w:pStyle w:val="ListParagraph"/>
              <w:numPr>
                <w:ilvl w:val="0"/>
                <w:numId w:val="70"/>
              </w:numPr>
              <w:jc w:val="left"/>
            </w:pPr>
            <w:r w:rsidRPr="00FE7CBC">
              <w:t>Modify development phasing</w:t>
            </w:r>
          </w:p>
          <w:p w:rsidR="00F77AF3" w:rsidRPr="00FE7CBC" w:rsidRDefault="00F77AF3" w:rsidP="00954053">
            <w:pPr>
              <w:pStyle w:val="ListParagraph"/>
              <w:numPr>
                <w:ilvl w:val="0"/>
                <w:numId w:val="70"/>
              </w:numPr>
              <w:jc w:val="left"/>
            </w:pPr>
            <w:r w:rsidRPr="00FE7CBC">
              <w:t>Revise internal circulation</w:t>
            </w:r>
          </w:p>
          <w:p w:rsidR="00F77AF3" w:rsidRPr="00FE7CBC" w:rsidRDefault="00F77AF3" w:rsidP="00954053">
            <w:pPr>
              <w:pStyle w:val="ListParagraph"/>
              <w:numPr>
                <w:ilvl w:val="0"/>
                <w:numId w:val="70"/>
              </w:numPr>
              <w:jc w:val="left"/>
            </w:pPr>
            <w:r w:rsidRPr="00FE7CBC">
              <w:t xml:space="preserve">Limiting the number of trips that a site can generate through Comprehensive Plan policy </w:t>
            </w:r>
          </w:p>
          <w:p w:rsidR="00F77AF3" w:rsidRDefault="00F77AF3" w:rsidP="00F77AF3">
            <w:r>
              <w:lastRenderedPageBreak/>
              <w:t>Recommendations for changes to site plans should be coordinated through the local government.</w:t>
            </w:r>
          </w:p>
          <w:p w:rsidR="00F77AF3" w:rsidRPr="006E207F" w:rsidRDefault="00F77AF3" w:rsidP="00225952">
            <w:r w:rsidRPr="00D75C70">
              <w:t>The successful implementation of mitigation strategies will require increased and continuous intergovernmental coordination, and as such, the final section of this chapter provides guidance on developing mitigation agreements to help facilitate coordination with local governments and other transportation agencies.</w:t>
            </w:r>
          </w:p>
        </w:tc>
      </w:tr>
      <w:tr w:rsidR="00225952" w:rsidRPr="00380CF5" w:rsidTr="00225952">
        <w:tc>
          <w:tcPr>
            <w:tcW w:w="2455" w:type="dxa"/>
          </w:tcPr>
          <w:p w:rsidR="00225952" w:rsidRPr="0093232C" w:rsidRDefault="00225952" w:rsidP="004426D7">
            <w:pPr>
              <w:pStyle w:val="Heading4"/>
            </w:pPr>
            <w:r w:rsidRPr="0093232C">
              <w:lastRenderedPageBreak/>
              <w:t>Mitigation Agreements</w:t>
            </w:r>
          </w:p>
          <w:p w:rsidR="00225952" w:rsidRPr="0093232C" w:rsidRDefault="00225952" w:rsidP="00225952"/>
        </w:tc>
        <w:tc>
          <w:tcPr>
            <w:tcW w:w="7920" w:type="dxa"/>
          </w:tcPr>
          <w:p w:rsidR="00225952" w:rsidRPr="0093232C" w:rsidRDefault="00225952" w:rsidP="00225952">
            <w:pPr>
              <w:spacing w:after="120"/>
            </w:pPr>
            <w:r>
              <w:t xml:space="preserve">The key outcome of all mitigation discussion and negotiation is a formal mitigation agreement. The mitigation agreement is entered into by the applicant and the reviewing agencies.  </w:t>
            </w:r>
            <w:r w:rsidRPr="0093232C">
              <w:t>Mitigation agreements are legally binding documents and should be thoughtfully and carefully prepared. At a minimum, the agreements need to address the following key issues:</w:t>
            </w:r>
          </w:p>
          <w:p w:rsidR="00225952" w:rsidRPr="00FE7CBC" w:rsidRDefault="00225952" w:rsidP="00954053">
            <w:pPr>
              <w:pStyle w:val="ListParagraph"/>
              <w:numPr>
                <w:ilvl w:val="0"/>
                <w:numId w:val="69"/>
              </w:numPr>
              <w:jc w:val="left"/>
            </w:pPr>
            <w:r w:rsidRPr="00FE7CBC">
              <w:t>What are the project impacts?</w:t>
            </w:r>
          </w:p>
          <w:p w:rsidR="00225952" w:rsidRPr="00FE7CBC" w:rsidRDefault="00225952" w:rsidP="00954053">
            <w:pPr>
              <w:pStyle w:val="ListParagraph"/>
              <w:numPr>
                <w:ilvl w:val="0"/>
                <w:numId w:val="69"/>
              </w:numPr>
              <w:jc w:val="left"/>
            </w:pPr>
            <w:r w:rsidRPr="00FE7CBC">
              <w:t>A clear summary of project impacts should be included.</w:t>
            </w:r>
          </w:p>
          <w:p w:rsidR="00225952" w:rsidRPr="00FE7CBC" w:rsidRDefault="00225952" w:rsidP="00954053">
            <w:pPr>
              <w:pStyle w:val="ListParagraph"/>
              <w:numPr>
                <w:ilvl w:val="0"/>
                <w:numId w:val="69"/>
              </w:numPr>
              <w:jc w:val="left"/>
            </w:pPr>
            <w:r w:rsidRPr="00FE7CBC">
              <w:t>What is the cost to mitigate the project impacts and what is the applicant’s proportionate share responsibility of the needed mitigation?</w:t>
            </w:r>
          </w:p>
          <w:p w:rsidR="00225952" w:rsidRPr="00FE7CBC" w:rsidRDefault="00225952" w:rsidP="00954053">
            <w:pPr>
              <w:pStyle w:val="ListParagraph"/>
              <w:numPr>
                <w:ilvl w:val="0"/>
                <w:numId w:val="69"/>
              </w:numPr>
              <w:jc w:val="left"/>
            </w:pPr>
            <w:r w:rsidRPr="00FE7CBC">
              <w:t>This is usually shown in tabular form.</w:t>
            </w:r>
          </w:p>
          <w:p w:rsidR="00225952" w:rsidRPr="00FE7CBC" w:rsidRDefault="00225952" w:rsidP="00954053">
            <w:pPr>
              <w:pStyle w:val="ListParagraph"/>
              <w:numPr>
                <w:ilvl w:val="0"/>
                <w:numId w:val="69"/>
              </w:numPr>
              <w:jc w:val="left"/>
            </w:pPr>
            <w:r w:rsidRPr="00FE7CBC">
              <w:t>What type of mitigation is the applicant proposing?</w:t>
            </w:r>
          </w:p>
          <w:p w:rsidR="00225952" w:rsidRPr="00FE7CBC" w:rsidRDefault="00225952" w:rsidP="00954053">
            <w:pPr>
              <w:pStyle w:val="ListParagraph"/>
              <w:numPr>
                <w:ilvl w:val="0"/>
                <w:numId w:val="69"/>
              </w:numPr>
              <w:jc w:val="left"/>
            </w:pPr>
            <w:r w:rsidRPr="00FE7CBC">
              <w:t>Options include paying a sum to the maintaining agency (i.e. write a check), participating in a needed study, donation of right of way, constructing a project, or a combination of strategies.</w:t>
            </w:r>
          </w:p>
          <w:p w:rsidR="00225952" w:rsidRPr="00FE7CBC" w:rsidRDefault="00225952" w:rsidP="00954053">
            <w:pPr>
              <w:pStyle w:val="ListParagraph"/>
              <w:numPr>
                <w:ilvl w:val="0"/>
                <w:numId w:val="69"/>
              </w:numPr>
              <w:jc w:val="left"/>
            </w:pPr>
            <w:r w:rsidRPr="00FE7CBC">
              <w:t>When should mitigation be secured?</w:t>
            </w:r>
          </w:p>
          <w:p w:rsidR="00225952" w:rsidRPr="00FE7CBC" w:rsidRDefault="00225952" w:rsidP="00954053">
            <w:pPr>
              <w:pStyle w:val="ListParagraph"/>
              <w:numPr>
                <w:ilvl w:val="0"/>
                <w:numId w:val="69"/>
              </w:numPr>
              <w:jc w:val="left"/>
            </w:pPr>
            <w:r w:rsidRPr="00FE7CBC">
              <w:t>Usually prior to starting project or entering phase.</w:t>
            </w:r>
          </w:p>
          <w:p w:rsidR="00225952" w:rsidRPr="00FE7CBC" w:rsidRDefault="00225952" w:rsidP="00954053">
            <w:pPr>
              <w:pStyle w:val="ListParagraph"/>
              <w:numPr>
                <w:ilvl w:val="0"/>
                <w:numId w:val="69"/>
              </w:numPr>
              <w:jc w:val="left"/>
            </w:pPr>
            <w:r w:rsidRPr="00FE7CBC">
              <w:t>May have ‘trigger’ in DO (such as number of trips).</w:t>
            </w:r>
          </w:p>
          <w:p w:rsidR="00225952" w:rsidRPr="00FE7CBC" w:rsidRDefault="00225952" w:rsidP="00954053">
            <w:pPr>
              <w:pStyle w:val="ListParagraph"/>
              <w:numPr>
                <w:ilvl w:val="0"/>
                <w:numId w:val="69"/>
              </w:numPr>
              <w:jc w:val="left"/>
            </w:pPr>
            <w:r w:rsidRPr="00FE7CBC">
              <w:t>Who is party to the agreement?</w:t>
            </w:r>
          </w:p>
          <w:p w:rsidR="00225952" w:rsidRPr="00FE7CBC" w:rsidRDefault="00225952" w:rsidP="00954053">
            <w:pPr>
              <w:pStyle w:val="ListParagraph"/>
              <w:numPr>
                <w:ilvl w:val="0"/>
                <w:numId w:val="69"/>
              </w:numPr>
              <w:jc w:val="left"/>
            </w:pPr>
            <w:r w:rsidRPr="00FE7CBC">
              <w:t>What should local governments commit to and when should commitments be made?</w:t>
            </w:r>
          </w:p>
          <w:p w:rsidR="00225952" w:rsidRPr="006E207F" w:rsidRDefault="00225952" w:rsidP="00954053">
            <w:pPr>
              <w:pStyle w:val="ListParagraph"/>
              <w:numPr>
                <w:ilvl w:val="0"/>
                <w:numId w:val="69"/>
              </w:numPr>
              <w:jc w:val="left"/>
            </w:pPr>
            <w:r w:rsidRPr="00FE7CBC">
              <w:t>How does the agreement satisfy concurrency (DRIs)?</w:t>
            </w:r>
          </w:p>
        </w:tc>
      </w:tr>
    </w:tbl>
    <w:p w:rsidR="00225952" w:rsidRDefault="00225952" w:rsidP="00225952">
      <w:pPr>
        <w:pStyle w:val="Heading2"/>
        <w:sectPr w:rsidR="00225952" w:rsidSect="00832911">
          <w:headerReference w:type="default" r:id="rId348"/>
          <w:pgSz w:w="12240" w:h="15840"/>
          <w:pgMar w:top="1440" w:right="720" w:bottom="1440" w:left="1152" w:header="720" w:footer="720" w:gutter="0"/>
          <w:cols w:space="720"/>
          <w:docGrid w:linePitch="360"/>
        </w:sectPr>
      </w:pPr>
    </w:p>
    <w:p w:rsidR="00954053" w:rsidRDefault="00954053">
      <w:bookmarkStart w:id="325" w:name="_Toc232912680"/>
      <w:bookmarkStart w:id="326" w:name="_Toc264274176"/>
      <w:r>
        <w:rPr>
          <w:b/>
          <w:bCs/>
        </w:rPr>
        <w:lastRenderedPageBreak/>
        <w:br w:type="page"/>
      </w:r>
    </w:p>
    <w:tbl>
      <w:tblPr>
        <w:tblW w:w="10375" w:type="dxa"/>
        <w:tblLayout w:type="fixed"/>
        <w:tblLook w:val="0000"/>
      </w:tblPr>
      <w:tblGrid>
        <w:gridCol w:w="2455"/>
        <w:gridCol w:w="7920"/>
      </w:tblGrid>
      <w:tr w:rsidR="00225952" w:rsidRPr="00380CF5" w:rsidTr="00225952">
        <w:tc>
          <w:tcPr>
            <w:tcW w:w="10375" w:type="dxa"/>
            <w:gridSpan w:val="2"/>
          </w:tcPr>
          <w:p w:rsidR="00225952" w:rsidRPr="006748CC" w:rsidRDefault="00F77AF3" w:rsidP="00225952">
            <w:pPr>
              <w:pStyle w:val="Heading2"/>
            </w:pPr>
            <w:r>
              <w:lastRenderedPageBreak/>
              <w:t>5.2</w:t>
            </w:r>
            <w:r w:rsidR="00225952" w:rsidRPr="006748CC">
              <w:tab/>
              <w:t>Strategies</w:t>
            </w:r>
            <w:bookmarkEnd w:id="325"/>
            <w:bookmarkEnd w:id="326"/>
          </w:p>
        </w:tc>
      </w:tr>
      <w:tr w:rsidR="00225952" w:rsidRPr="00380CF5" w:rsidTr="00225952">
        <w:tc>
          <w:tcPr>
            <w:tcW w:w="2455" w:type="dxa"/>
          </w:tcPr>
          <w:p w:rsidR="00225952" w:rsidRPr="006748CC" w:rsidRDefault="00225952" w:rsidP="00225952">
            <w:pPr>
              <w:pStyle w:val="Heading3"/>
            </w:pPr>
          </w:p>
        </w:tc>
        <w:tc>
          <w:tcPr>
            <w:tcW w:w="7920" w:type="dxa"/>
          </w:tcPr>
          <w:p w:rsidR="00225952" w:rsidRDefault="00225952" w:rsidP="00225952">
            <w:pPr>
              <w:rPr>
                <w:szCs w:val="23"/>
              </w:rPr>
            </w:pPr>
            <w:r w:rsidRPr="00E86E6D">
              <w:rPr>
                <w:szCs w:val="23"/>
              </w:rPr>
              <w:t xml:space="preserve">This section provides guidance on mitigation strategies and alternatives that should be considered in maintaining long-term mobility on the transportation system. </w:t>
            </w:r>
          </w:p>
          <w:p w:rsidR="00225952" w:rsidRDefault="00225952">
            <w:pPr>
              <w:pStyle w:val="SidebarSentence"/>
              <w:rPr>
                <w:bCs w:val="0"/>
              </w:rPr>
            </w:pPr>
            <w:r w:rsidRPr="003545C4">
              <w:rPr>
                <w:rFonts w:ascii="Times New Roman" w:hAnsi="Times New Roman"/>
                <w:sz w:val="24"/>
              </w:rPr>
              <w:t xml:space="preserve">Long term strategies which are also regional in nature are presented first within each sub section. These mitigation strategies typically apply to DRIs, regional activity centers or other large development. Following these long term, large scale strategies, short term more project specific strategies are presented. Though the scales of these strategies differ, they are not necessarily mutually exclusive. </w:t>
            </w:r>
          </w:p>
        </w:tc>
      </w:tr>
      <w:tr w:rsidR="00225952" w:rsidRPr="00380CF5" w:rsidTr="00225952">
        <w:tc>
          <w:tcPr>
            <w:tcW w:w="2455" w:type="dxa"/>
          </w:tcPr>
          <w:p w:rsidR="00225952" w:rsidRDefault="0040766A" w:rsidP="0040766A">
            <w:pPr>
              <w:pStyle w:val="Heading4"/>
            </w:pPr>
            <w:bookmarkStart w:id="327" w:name="_Toc232912681"/>
            <w:r w:rsidRPr="006748CC">
              <w:t>Keys to Successful Mitigation</w:t>
            </w:r>
            <w:bookmarkEnd w:id="327"/>
          </w:p>
          <w:p w:rsidR="00225952" w:rsidRDefault="00225952" w:rsidP="00225952"/>
          <w:p w:rsidR="00225952" w:rsidRPr="00495004" w:rsidRDefault="00225952" w:rsidP="00954053">
            <w:pPr>
              <w:pStyle w:val="HeadSide20"/>
            </w:pPr>
            <w:r w:rsidRPr="006748CC">
              <w:t>Involvement of Partners</w:t>
            </w:r>
          </w:p>
        </w:tc>
        <w:tc>
          <w:tcPr>
            <w:tcW w:w="7920" w:type="dxa"/>
          </w:tcPr>
          <w:p w:rsidR="00225952" w:rsidRPr="00DB131D" w:rsidRDefault="00225952" w:rsidP="00225952">
            <w:pPr>
              <w:rPr>
                <w:szCs w:val="23"/>
              </w:rPr>
            </w:pPr>
            <w:r w:rsidRPr="00E86E6D">
              <w:rPr>
                <w:szCs w:val="23"/>
              </w:rPr>
              <w:t xml:space="preserve">When a development </w:t>
            </w:r>
            <w:r>
              <w:rPr>
                <w:szCs w:val="23"/>
              </w:rPr>
              <w:t xml:space="preserve">negatively impacts the SHS or if it causes </w:t>
            </w:r>
            <w:r w:rsidRPr="00E86E6D">
              <w:rPr>
                <w:szCs w:val="23"/>
              </w:rPr>
              <w:t>a SIS, FIHS, or TRIP-fund</w:t>
            </w:r>
            <w:r>
              <w:rPr>
                <w:szCs w:val="23"/>
              </w:rPr>
              <w:t>ed</w:t>
            </w:r>
            <w:r w:rsidRPr="00E86E6D">
              <w:rPr>
                <w:szCs w:val="23"/>
              </w:rPr>
              <w:t xml:space="preserve"> facility </w:t>
            </w:r>
            <w:r>
              <w:rPr>
                <w:szCs w:val="23"/>
              </w:rPr>
              <w:t xml:space="preserve">to </w:t>
            </w:r>
            <w:r w:rsidRPr="00E86E6D">
              <w:rPr>
                <w:szCs w:val="23"/>
              </w:rPr>
              <w:t xml:space="preserve">fall below the LOS standard required by </w:t>
            </w:r>
            <w:hyperlink r:id="rId349" w:history="1">
              <w:r w:rsidRPr="0027140F">
                <w:rPr>
                  <w:rStyle w:val="Hyperlink"/>
                  <w:szCs w:val="23"/>
                </w:rPr>
                <w:t>Rule 14-94, F.A.C</w:t>
              </w:r>
            </w:hyperlink>
            <w:r w:rsidRPr="00E86E6D">
              <w:rPr>
                <w:szCs w:val="23"/>
              </w:rPr>
              <w:t xml:space="preserve">., a number of mitigation alternatives may be considered in the review process to lessen </w:t>
            </w:r>
            <w:r>
              <w:rPr>
                <w:szCs w:val="23"/>
              </w:rPr>
              <w:t xml:space="preserve">these </w:t>
            </w:r>
            <w:r w:rsidRPr="00E86E6D">
              <w:rPr>
                <w:szCs w:val="23"/>
              </w:rPr>
              <w:t xml:space="preserve">transportation impacts. </w:t>
            </w:r>
            <w:r w:rsidRPr="006C34C6">
              <w:t>It is important to note, however, that FDOT reviewers should verify that mitigation strategies are codified by the local government comprehensive plan and land development codes, consistent with the mitigation practices outlined below.</w:t>
            </w:r>
            <w:r>
              <w:t xml:space="preserve"> Close involvement with transportation and land use partners can help assure that mitigation strategies proposed will effectively address the impacts of development.</w:t>
            </w:r>
          </w:p>
        </w:tc>
      </w:tr>
      <w:tr w:rsidR="00225952" w:rsidRPr="00380CF5" w:rsidTr="00225952">
        <w:tc>
          <w:tcPr>
            <w:tcW w:w="2455" w:type="dxa"/>
          </w:tcPr>
          <w:p w:rsidR="00225952" w:rsidRPr="006748CC" w:rsidRDefault="00225952" w:rsidP="00225952">
            <w:pPr>
              <w:pStyle w:val="Heading3"/>
            </w:pPr>
          </w:p>
        </w:tc>
        <w:tc>
          <w:tcPr>
            <w:tcW w:w="7920" w:type="dxa"/>
          </w:tcPr>
          <w:p w:rsidR="00225952" w:rsidRPr="00E86E6D" w:rsidRDefault="00225952" w:rsidP="00D62552">
            <w:pPr>
              <w:spacing w:after="60"/>
              <w:rPr>
                <w:szCs w:val="23"/>
              </w:rPr>
            </w:pPr>
            <w:r>
              <w:rPr>
                <w:szCs w:val="23"/>
              </w:rPr>
              <w:t xml:space="preserve">Two </w:t>
            </w:r>
            <w:r w:rsidRPr="00E86E6D">
              <w:rPr>
                <w:szCs w:val="23"/>
              </w:rPr>
              <w:t xml:space="preserve">general needs have emerged as districts and local governments attempt to meet the requirements of </w:t>
            </w:r>
            <w:r>
              <w:rPr>
                <w:szCs w:val="23"/>
              </w:rPr>
              <w:t>g</w:t>
            </w:r>
            <w:r w:rsidRPr="00E86E6D">
              <w:rPr>
                <w:szCs w:val="23"/>
              </w:rPr>
              <w:t xml:space="preserve">rowth </w:t>
            </w:r>
            <w:r>
              <w:rPr>
                <w:szCs w:val="23"/>
              </w:rPr>
              <w:t>m</w:t>
            </w:r>
            <w:r w:rsidRPr="00E86E6D">
              <w:rPr>
                <w:szCs w:val="23"/>
              </w:rPr>
              <w:t xml:space="preserve">anagement legislation in a systematic way: </w:t>
            </w:r>
          </w:p>
          <w:p w:rsidR="00225952" w:rsidRDefault="00225952" w:rsidP="00AD2D7A">
            <w:pPr>
              <w:pStyle w:val="TIHBullet"/>
              <w:numPr>
                <w:ilvl w:val="0"/>
                <w:numId w:val="59"/>
              </w:numPr>
              <w:spacing w:after="60"/>
              <w:rPr>
                <w:rFonts w:ascii="Calibri" w:hAnsi="Calibri"/>
                <w:sz w:val="23"/>
                <w:szCs w:val="23"/>
              </w:rPr>
            </w:pPr>
            <w:r w:rsidRPr="00E86E6D">
              <w:rPr>
                <w:rFonts w:ascii="Calibri" w:hAnsi="Calibri"/>
                <w:sz w:val="23"/>
                <w:szCs w:val="23"/>
              </w:rPr>
              <w:t>Regional perspective</w:t>
            </w:r>
          </w:p>
          <w:p w:rsidR="00225952" w:rsidRPr="00EF0043" w:rsidRDefault="00225952" w:rsidP="00AD2D7A">
            <w:pPr>
              <w:pStyle w:val="TIHBullet"/>
              <w:numPr>
                <w:ilvl w:val="0"/>
                <w:numId w:val="59"/>
              </w:numPr>
              <w:spacing w:after="60"/>
              <w:rPr>
                <w:rFonts w:ascii="Calibri" w:hAnsi="Calibri"/>
                <w:sz w:val="23"/>
                <w:szCs w:val="23"/>
              </w:rPr>
            </w:pPr>
            <w:r w:rsidRPr="00446157">
              <w:rPr>
                <w:rFonts w:ascii="Calibri" w:hAnsi="Calibri"/>
                <w:sz w:val="23"/>
                <w:szCs w:val="23"/>
              </w:rPr>
              <w:t xml:space="preserve"> Land Use and Transportation strategies to support and fund mobility or “Mobility Plans”</w:t>
            </w:r>
          </w:p>
        </w:tc>
      </w:tr>
      <w:tr w:rsidR="00225952" w:rsidRPr="00380CF5" w:rsidTr="00225952">
        <w:tc>
          <w:tcPr>
            <w:tcW w:w="2455" w:type="dxa"/>
          </w:tcPr>
          <w:p w:rsidR="00225952" w:rsidRPr="006748CC" w:rsidRDefault="00225952" w:rsidP="0040766A">
            <w:pPr>
              <w:pStyle w:val="Heading4"/>
            </w:pPr>
            <w:bookmarkStart w:id="328" w:name="_Toc232912682"/>
            <w:r w:rsidRPr="006748CC">
              <w:t>Regional Perspective</w:t>
            </w:r>
            <w:bookmarkEnd w:id="328"/>
          </w:p>
          <w:p w:rsidR="00225952" w:rsidRPr="006748CC" w:rsidRDefault="00225952" w:rsidP="00225952">
            <w:pPr>
              <w:pStyle w:val="Heading3"/>
            </w:pPr>
          </w:p>
        </w:tc>
        <w:tc>
          <w:tcPr>
            <w:tcW w:w="7920" w:type="dxa"/>
          </w:tcPr>
          <w:p w:rsidR="00225952" w:rsidRPr="00DB131D" w:rsidRDefault="00225952" w:rsidP="00D62552">
            <w:pPr>
              <w:spacing w:after="120"/>
            </w:pPr>
            <w:r w:rsidRPr="00E86E6D">
              <w:t xml:space="preserve">It has become clear that transportation impacts to FIHS, SIS and TRIP-funded facilities </w:t>
            </w:r>
            <w:r>
              <w:t>often cross</w:t>
            </w:r>
            <w:r w:rsidRPr="00E86E6D">
              <w:t xml:space="preserve"> traditional jurisdictional boundaries, and in order to meet the long term needs of the transportation system, a </w:t>
            </w:r>
            <w:r w:rsidRPr="00E86E6D">
              <w:rPr>
                <w:b/>
              </w:rPr>
              <w:t>regional perspective</w:t>
            </w:r>
            <w:r w:rsidRPr="00E86E6D">
              <w:t xml:space="preserve"> is needed. </w:t>
            </w:r>
            <w:r>
              <w:t>In addition, t</w:t>
            </w:r>
            <w:r w:rsidRPr="00E86E6D">
              <w:t xml:space="preserve">he consideration of other transportation modes </w:t>
            </w:r>
            <w:r>
              <w:t>such as,</w:t>
            </w:r>
            <w:r w:rsidRPr="00E86E6D">
              <w:t xml:space="preserve"> bicycle, pedestrian, </w:t>
            </w:r>
            <w:r>
              <w:t xml:space="preserve">and </w:t>
            </w:r>
            <w:r w:rsidRPr="00E86E6D">
              <w:t>transit</w:t>
            </w:r>
            <w:r>
              <w:t xml:space="preserve"> </w:t>
            </w:r>
            <w:r w:rsidRPr="00E86E6D">
              <w:t xml:space="preserve">will help accomplish long term mobility needs on the transportation system, and present new opportunities for partnering and funding. As part of the partnering process, FDOT planners and decision makers will need to coordinate with </w:t>
            </w:r>
            <w:r>
              <w:t xml:space="preserve">DCA staff, </w:t>
            </w:r>
            <w:r w:rsidRPr="00E86E6D">
              <w:t>regional planning councils (RPCs)</w:t>
            </w:r>
            <w:r>
              <w:t>,</w:t>
            </w:r>
            <w:r w:rsidRPr="00E86E6D">
              <w:t xml:space="preserve"> metropolitan planning organizations (MPOs), </w:t>
            </w:r>
            <w:r>
              <w:t xml:space="preserve">and </w:t>
            </w:r>
            <w:r w:rsidRPr="00E86E6D">
              <w:t>local governments</w:t>
            </w:r>
            <w:r>
              <w:t>,</w:t>
            </w:r>
            <w:r w:rsidRPr="00E86E6D">
              <w:t xml:space="preserve"> to maximize long term approaches of achieving mobility goals.</w:t>
            </w:r>
          </w:p>
        </w:tc>
      </w:tr>
    </w:tbl>
    <w:p w:rsidR="00954053" w:rsidRDefault="00954053">
      <w:r>
        <w:rPr>
          <w:b/>
          <w:bCs/>
        </w:rPr>
        <w:br w:type="page"/>
      </w:r>
    </w:p>
    <w:tbl>
      <w:tblPr>
        <w:tblW w:w="10375" w:type="dxa"/>
        <w:tblLayout w:type="fixed"/>
        <w:tblLook w:val="0000"/>
      </w:tblPr>
      <w:tblGrid>
        <w:gridCol w:w="2455"/>
        <w:gridCol w:w="7920"/>
      </w:tblGrid>
      <w:tr w:rsidR="00225952" w:rsidRPr="00380CF5" w:rsidTr="00225952">
        <w:tc>
          <w:tcPr>
            <w:tcW w:w="2455" w:type="dxa"/>
          </w:tcPr>
          <w:p w:rsidR="00225952" w:rsidRPr="006748CC" w:rsidRDefault="00225952" w:rsidP="0040766A">
            <w:pPr>
              <w:pStyle w:val="Heading4"/>
            </w:pPr>
            <w:r w:rsidRPr="006748CC">
              <w:lastRenderedPageBreak/>
              <w:t>Land Use and Transportation</w:t>
            </w:r>
          </w:p>
          <w:p w:rsidR="00225952" w:rsidRDefault="00225952" w:rsidP="00225952"/>
          <w:p w:rsidR="00225952" w:rsidRDefault="00225952" w:rsidP="0040766A">
            <w:pPr>
              <w:pStyle w:val="HeadSide20"/>
            </w:pPr>
            <w:r>
              <w:t>M</w:t>
            </w:r>
            <w:r w:rsidRPr="006748CC">
              <w:t xml:space="preserve">obility Plans </w:t>
            </w:r>
          </w:p>
          <w:p w:rsidR="00225952" w:rsidRDefault="00225952" w:rsidP="00225952"/>
          <w:p w:rsidR="00225952" w:rsidRPr="003E1433" w:rsidRDefault="00225952" w:rsidP="00225952"/>
        </w:tc>
        <w:tc>
          <w:tcPr>
            <w:tcW w:w="7920" w:type="dxa"/>
          </w:tcPr>
          <w:p w:rsidR="00225952" w:rsidRPr="00DB131D" w:rsidRDefault="00225952" w:rsidP="00D62552">
            <w:pPr>
              <w:spacing w:after="120"/>
            </w:pPr>
            <w:r w:rsidRPr="0034671D">
              <w:t xml:space="preserve">Strategies that embrace the connection between </w:t>
            </w:r>
            <w:r w:rsidRPr="0034671D">
              <w:rPr>
                <w:b/>
              </w:rPr>
              <w:t>land use and good transportation service</w:t>
            </w:r>
            <w:r w:rsidRPr="0034671D">
              <w:t xml:space="preserve"> should be included in local government comprehensive plans and land development codes to meet community goals. </w:t>
            </w:r>
            <w:r>
              <w:t xml:space="preserve"> These strategies may be found throughout the various elements of a comprehensive plan or they may be con</w:t>
            </w:r>
            <w:r w:rsidR="00F77AF3">
              <w:t>-</w:t>
            </w:r>
            <w:r>
              <w:t xml:space="preserve">solidated into a single </w:t>
            </w:r>
            <w:r w:rsidRPr="0034671D">
              <w:rPr>
                <w:b/>
              </w:rPr>
              <w:t xml:space="preserve">mobility </w:t>
            </w:r>
            <w:r>
              <w:rPr>
                <w:b/>
              </w:rPr>
              <w:t>p</w:t>
            </w:r>
            <w:r w:rsidRPr="0034671D">
              <w:rPr>
                <w:b/>
              </w:rPr>
              <w:t>lan</w:t>
            </w:r>
            <w:r>
              <w:t xml:space="preserve">. It will be key for </w:t>
            </w:r>
            <w:r w:rsidRPr="000D41AC">
              <w:t>FDOT staff to coordinate with transportation partners in developing mobility plans</w:t>
            </w:r>
            <w:r w:rsidRPr="000D41AC">
              <w:rPr>
                <w:b/>
              </w:rPr>
              <w:t xml:space="preserve"> </w:t>
            </w:r>
            <w:r w:rsidRPr="000D41AC">
              <w:t>to accommodate future traffic on the impacted corridors based on solutions other than adding lanes to existing roads. This is particularly important particularly if no roadway improvement projects are programmed on deficient facilities. Examples of these and other strategies are discussed in the following sections, and include context sensitive solutions, corridor access management solutions, transportation demand strategies, and transit oriented development.</w:t>
            </w:r>
            <w:r>
              <w:t xml:space="preserve"> Guidance for TCEAs in DULA areas can be found in sections 3.8.3 and 3.8.4 of this document and </w:t>
            </w:r>
            <w:hyperlink r:id="rId350" w:history="1">
              <w:r w:rsidRPr="00321534">
                <w:rPr>
                  <w:rStyle w:val="Hyperlink"/>
                </w:rPr>
                <w:t>s. 163.3180(5)(a)4, F.S.</w:t>
              </w:r>
            </w:hyperlink>
            <w:r>
              <w:t xml:space="preserve"> As of this writing DCA is in the rulemaking process of 9J-5 FAC with the intent of providing additional guidance. </w:t>
            </w:r>
          </w:p>
        </w:tc>
      </w:tr>
      <w:tr w:rsidR="00225952" w:rsidRPr="00380CF5" w:rsidTr="00225952">
        <w:tc>
          <w:tcPr>
            <w:tcW w:w="2455" w:type="dxa"/>
          </w:tcPr>
          <w:p w:rsidR="00225952" w:rsidRPr="006748CC" w:rsidRDefault="00225952" w:rsidP="0040766A">
            <w:pPr>
              <w:pStyle w:val="Heading4"/>
            </w:pPr>
            <w:bookmarkStart w:id="329" w:name="_Toc232912684"/>
            <w:r>
              <w:t>Early and Continuous I</w:t>
            </w:r>
            <w:r w:rsidRPr="00E86E6D">
              <w:t xml:space="preserve">nvolvement </w:t>
            </w:r>
            <w:bookmarkEnd w:id="329"/>
          </w:p>
          <w:p w:rsidR="00225952" w:rsidRPr="006748CC" w:rsidRDefault="00225952" w:rsidP="00225952">
            <w:pPr>
              <w:pStyle w:val="Heading3"/>
            </w:pPr>
          </w:p>
          <w:p w:rsidR="00225952" w:rsidRPr="006748CC" w:rsidRDefault="00225952" w:rsidP="00225952">
            <w:pPr>
              <w:pStyle w:val="Heading3"/>
            </w:pPr>
          </w:p>
          <w:p w:rsidR="00225952" w:rsidRPr="006748CC" w:rsidRDefault="00225952" w:rsidP="00225952">
            <w:pPr>
              <w:pStyle w:val="Heading3"/>
            </w:pPr>
          </w:p>
          <w:p w:rsidR="00225952" w:rsidRDefault="00225952" w:rsidP="00CC002A">
            <w:pPr>
              <w:spacing w:after="0"/>
            </w:pPr>
            <w:r w:rsidRPr="00CC002A">
              <w:rPr>
                <w:noProof/>
              </w:rPr>
              <w:drawing>
                <wp:inline distT="0" distB="0" distL="0" distR="0">
                  <wp:extent cx="1419225" cy="552450"/>
                  <wp:effectExtent l="0" t="0" r="0" b="0"/>
                  <wp:docPr id="530" name="Picture 56" descr="button_PDFlink.png">
                    <a:hlinkClick xmlns:a="http://schemas.openxmlformats.org/drawingml/2006/main" r:id="rId3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button_PDFlink.png"/>
                          <pic:cNvPicPr>
                            <a:picLocks noChangeAspect="1" noChangeArrowheads="1"/>
                          </pic:cNvPicPr>
                        </pic:nvPicPr>
                        <pic:blipFill>
                          <a:blip r:embed="rId15" cstate="print"/>
                          <a:srcRect/>
                          <a:stretch>
                            <a:fillRect/>
                          </a:stretch>
                        </pic:blipFill>
                        <pic:spPr bwMode="auto">
                          <a:xfrm>
                            <a:off x="0" y="0"/>
                            <a:ext cx="1419225" cy="552450"/>
                          </a:xfrm>
                          <a:prstGeom prst="rect">
                            <a:avLst/>
                          </a:prstGeom>
                          <a:noFill/>
                          <a:ln w="9525">
                            <a:noFill/>
                            <a:miter lim="800000"/>
                            <a:headEnd/>
                            <a:tailEnd/>
                          </a:ln>
                        </pic:spPr>
                      </pic:pic>
                    </a:graphicData>
                  </a:graphic>
                </wp:inline>
              </w:drawing>
            </w:r>
          </w:p>
          <w:p w:rsidR="00DA1C89" w:rsidRPr="00DA1C89" w:rsidRDefault="00DA1C89" w:rsidP="00DA1C89">
            <w:pPr>
              <w:pStyle w:val="HeadSide20"/>
              <w:jc w:val="center"/>
            </w:pPr>
            <w:r>
              <w:t>Prop Share Agreement</w:t>
            </w:r>
          </w:p>
        </w:tc>
        <w:tc>
          <w:tcPr>
            <w:tcW w:w="7920" w:type="dxa"/>
          </w:tcPr>
          <w:p w:rsidR="00225952" w:rsidRPr="00176919" w:rsidRDefault="00225952" w:rsidP="00225952">
            <w:r w:rsidRPr="00E86E6D">
              <w:t xml:space="preserve">Perhaps most importantly, initial efforts of FDOT staff will require establishing </w:t>
            </w:r>
            <w:r w:rsidRPr="00E86E6D">
              <w:rPr>
                <w:b/>
              </w:rPr>
              <w:t>early and continuous involvement</w:t>
            </w:r>
            <w:r w:rsidRPr="00E86E6D">
              <w:t xml:space="preserve"> between FDOT and transportation partners</w:t>
            </w:r>
            <w:r>
              <w:t xml:space="preserve">. </w:t>
            </w:r>
            <w:r w:rsidRPr="00E86E6D">
              <w:t>Transportation partners may include local governments, MPOs</w:t>
            </w:r>
            <w:r>
              <w:t xml:space="preserve">, </w:t>
            </w:r>
            <w:r w:rsidRPr="00E86E6D">
              <w:t xml:space="preserve">RPCs, as well as DCA staff. </w:t>
            </w:r>
            <w:r>
              <w:t>Typically a</w:t>
            </w:r>
            <w:r w:rsidRPr="00E86E6D">
              <w:t xml:space="preserve">n interlocal agreement or memorandum of agreement </w:t>
            </w:r>
            <w:r>
              <w:t>is</w:t>
            </w:r>
            <w:r w:rsidRPr="00E86E6D">
              <w:t xml:space="preserve"> first established to identify the roles and responsibilities of all affected parties, and to ensure proper coordination and documentation of mitigation. Documentation should include a detailed description of the proposed improvement(s), identify funding responsibilities, and demonstrate that improvements are in compliance with local, regional, and state LOS and other requirements. In addition, an “umbrella” agreement may be established by FDOT and the local government to streamline the mitigation approval process. An example of this approach by District 3 and </w:t>
            </w:r>
            <w:smartTag w:uri="urn:schemas-microsoft-com:office:smarttags" w:element="place">
              <w:smartTag w:uri="urn:schemas-microsoft-com:office:smarttags" w:element="PlaceName">
                <w:r w:rsidRPr="00E86E6D">
                  <w:t>Walton</w:t>
                </w:r>
              </w:smartTag>
              <w:r w:rsidRPr="00E86E6D">
                <w:t xml:space="preserve"> </w:t>
              </w:r>
              <w:smartTag w:uri="urn:schemas-microsoft-com:office:smarttags" w:element="PlaceType">
                <w:r w:rsidRPr="00E86E6D">
                  <w:t>County</w:t>
                </w:r>
              </w:smartTag>
            </w:smartTag>
            <w:r w:rsidRPr="00E86E6D">
              <w:t xml:space="preserve"> can be found in their </w:t>
            </w:r>
            <w:hyperlink r:id="rId352" w:history="1">
              <w:r w:rsidRPr="00E86E6D">
                <w:rPr>
                  <w:rStyle w:val="Hyperlink"/>
                  <w:szCs w:val="23"/>
                </w:rPr>
                <w:t>Transportation Proportionate Share Agreement</w:t>
              </w:r>
            </w:hyperlink>
            <w:r w:rsidRPr="00E86E6D">
              <w:t>.</w:t>
            </w:r>
          </w:p>
        </w:tc>
      </w:tr>
    </w:tbl>
    <w:p w:rsidR="006424BC" w:rsidRDefault="006424BC" w:rsidP="006424BC">
      <w:pPr>
        <w:pStyle w:val="Heading2"/>
        <w:spacing w:before="0" w:after="0"/>
        <w:rPr>
          <w:b w:val="0"/>
          <w:bCs w:val="0"/>
        </w:rPr>
        <w:sectPr w:rsidR="006424BC" w:rsidSect="00832911">
          <w:headerReference w:type="default" r:id="rId353"/>
          <w:pgSz w:w="12240" w:h="15840"/>
          <w:pgMar w:top="1440" w:right="720" w:bottom="1440" w:left="1152" w:header="720" w:footer="720" w:gutter="0"/>
          <w:cols w:space="720"/>
          <w:docGrid w:linePitch="360"/>
        </w:sectPr>
      </w:pPr>
    </w:p>
    <w:p w:rsidR="00960EBD" w:rsidRDefault="00960EBD" w:rsidP="00225952">
      <w:pPr>
        <w:pStyle w:val="Heading2"/>
        <w:rPr>
          <w:rFonts w:asciiTheme="minorHAnsi" w:eastAsiaTheme="minorHAnsi" w:hAnsiTheme="minorHAnsi" w:cstheme="minorBidi"/>
          <w:b w:val="0"/>
          <w:bCs w:val="0"/>
          <w:color w:val="auto"/>
          <w:sz w:val="23"/>
          <w:szCs w:val="22"/>
        </w:rPr>
        <w:sectPr w:rsidR="00960EBD" w:rsidSect="006424BC">
          <w:type w:val="continuous"/>
          <w:pgSz w:w="12240" w:h="15840"/>
          <w:pgMar w:top="1440" w:right="720" w:bottom="1440" w:left="1152" w:header="720" w:footer="720" w:gutter="0"/>
          <w:cols w:space="720"/>
          <w:docGrid w:linePitch="360"/>
        </w:sectPr>
      </w:pPr>
    </w:p>
    <w:tbl>
      <w:tblPr>
        <w:tblW w:w="10368" w:type="dxa"/>
        <w:tblLayout w:type="fixed"/>
        <w:tblLook w:val="0000"/>
      </w:tblPr>
      <w:tblGrid>
        <w:gridCol w:w="2455"/>
        <w:gridCol w:w="7913"/>
      </w:tblGrid>
      <w:tr w:rsidR="00225952" w:rsidRPr="00380CF5" w:rsidTr="0040766A">
        <w:tc>
          <w:tcPr>
            <w:tcW w:w="10368" w:type="dxa"/>
            <w:gridSpan w:val="2"/>
          </w:tcPr>
          <w:p w:rsidR="00225952" w:rsidRPr="006748CC" w:rsidRDefault="00954053" w:rsidP="00225952">
            <w:pPr>
              <w:pStyle w:val="Heading2"/>
              <w:rPr>
                <w:szCs w:val="23"/>
              </w:rPr>
            </w:pPr>
            <w:r>
              <w:rPr>
                <w:rFonts w:asciiTheme="minorHAnsi" w:eastAsiaTheme="minorHAnsi" w:hAnsiTheme="minorHAnsi" w:cstheme="minorBidi"/>
                <w:b w:val="0"/>
                <w:bCs w:val="0"/>
                <w:color w:val="auto"/>
                <w:sz w:val="23"/>
                <w:szCs w:val="22"/>
              </w:rPr>
              <w:lastRenderedPageBreak/>
              <w:br w:type="page"/>
            </w:r>
            <w:bookmarkStart w:id="330" w:name="_Toc232912686"/>
            <w:bookmarkStart w:id="331" w:name="_Toc264274177"/>
            <w:r w:rsidR="00F77AF3">
              <w:t>5.3</w:t>
            </w:r>
            <w:r w:rsidR="00225952" w:rsidRPr="006748CC">
              <w:tab/>
              <w:t xml:space="preserve">Three </w:t>
            </w:r>
            <w:r w:rsidR="00225952">
              <w:t xml:space="preserve">Basic </w:t>
            </w:r>
            <w:r w:rsidR="00225952" w:rsidRPr="006748CC">
              <w:t>Categories of Mitigation Strategies</w:t>
            </w:r>
            <w:bookmarkEnd w:id="330"/>
            <w:bookmarkEnd w:id="331"/>
          </w:p>
        </w:tc>
      </w:tr>
      <w:tr w:rsidR="00225952" w:rsidRPr="00380CF5" w:rsidTr="0040766A">
        <w:tc>
          <w:tcPr>
            <w:tcW w:w="2455" w:type="dxa"/>
          </w:tcPr>
          <w:p w:rsidR="00225952" w:rsidRPr="006748CC" w:rsidRDefault="00225952" w:rsidP="00225952">
            <w:pPr>
              <w:pStyle w:val="Heading3"/>
            </w:pPr>
          </w:p>
        </w:tc>
        <w:tc>
          <w:tcPr>
            <w:tcW w:w="7913" w:type="dxa"/>
          </w:tcPr>
          <w:p w:rsidR="00225952" w:rsidRPr="00DB131D" w:rsidRDefault="00225952" w:rsidP="00225952">
            <w:r w:rsidRPr="00E86E6D">
              <w:t xml:space="preserve">As funding needs for new capacity improvements greatly exceed available funding resources, the focus of transportation impact mitigation has shifted to a more systematic approach to consider enhancing operational efficiency and increasing options for alternative modes of travel in addition to increasing roadway capacity. A variety of the following strategies may be chosen relative to the transportation impacts of the proposed development, transportation system long-term goals/plans, and applicable state and local requirements. Both short-term and long-term mitigation options should be considered </w:t>
            </w:r>
            <w:r>
              <w:t>to coordinate achieving</w:t>
            </w:r>
            <w:r w:rsidRPr="00E86E6D">
              <w:t xml:space="preserve"> long-term mobility goals. Mitigation strategies will be discussed in the following section within the framework of three general categories to provide reviewers with a range of options, specific to local and regional needs and goals: </w:t>
            </w:r>
          </w:p>
        </w:tc>
      </w:tr>
      <w:tr w:rsidR="00225952" w:rsidRPr="00380CF5" w:rsidTr="0040766A">
        <w:tc>
          <w:tcPr>
            <w:tcW w:w="2455" w:type="dxa"/>
          </w:tcPr>
          <w:p w:rsidR="00225952" w:rsidRPr="006748CC" w:rsidRDefault="00225952" w:rsidP="00225952">
            <w:pPr>
              <w:pStyle w:val="Heading3"/>
            </w:pPr>
          </w:p>
        </w:tc>
        <w:tc>
          <w:tcPr>
            <w:tcW w:w="7913" w:type="dxa"/>
          </w:tcPr>
          <w:p w:rsidR="00225952" w:rsidRPr="00176919" w:rsidRDefault="00225952" w:rsidP="00AD2D7A">
            <w:pPr>
              <w:pStyle w:val="ListParagraph"/>
              <w:numPr>
                <w:ilvl w:val="0"/>
                <w:numId w:val="60"/>
              </w:numPr>
              <w:rPr>
                <w:sz w:val="24"/>
                <w:szCs w:val="23"/>
              </w:rPr>
            </w:pPr>
            <w:r w:rsidRPr="00176919">
              <w:rPr>
                <w:rFonts w:cs="Tahoma"/>
                <w:sz w:val="24"/>
                <w:szCs w:val="23"/>
              </w:rPr>
              <w:t xml:space="preserve">Enhancing Operational </w:t>
            </w:r>
            <w:r w:rsidRPr="00107F14">
              <w:rPr>
                <w:rFonts w:cs="Tahoma"/>
                <w:b/>
                <w:sz w:val="24"/>
                <w:szCs w:val="23"/>
              </w:rPr>
              <w:t>Efficiency</w:t>
            </w:r>
            <w:r w:rsidRPr="00176919">
              <w:rPr>
                <w:rFonts w:cs="Tahoma"/>
                <w:sz w:val="24"/>
                <w:szCs w:val="23"/>
              </w:rPr>
              <w:t xml:space="preserve"> on Existing Transportation System</w:t>
            </w:r>
          </w:p>
          <w:p w:rsidR="00225952" w:rsidRPr="00443EE7" w:rsidRDefault="00225952" w:rsidP="00AD2D7A">
            <w:pPr>
              <w:pStyle w:val="ListParagraph"/>
              <w:numPr>
                <w:ilvl w:val="0"/>
                <w:numId w:val="60"/>
              </w:numPr>
              <w:rPr>
                <w:szCs w:val="23"/>
              </w:rPr>
            </w:pPr>
            <w:r w:rsidRPr="00176919">
              <w:rPr>
                <w:sz w:val="24"/>
              </w:rPr>
              <w:t xml:space="preserve">Increasing Other </w:t>
            </w:r>
            <w:r w:rsidRPr="00107F14">
              <w:rPr>
                <w:b/>
                <w:sz w:val="24"/>
              </w:rPr>
              <w:t>Modal Options</w:t>
            </w:r>
          </w:p>
          <w:p w:rsidR="00225952" w:rsidRPr="00443EE7" w:rsidRDefault="00225952" w:rsidP="00AD2D7A">
            <w:pPr>
              <w:pStyle w:val="ListParagraph"/>
              <w:numPr>
                <w:ilvl w:val="0"/>
                <w:numId w:val="60"/>
              </w:numPr>
              <w:rPr>
                <w:sz w:val="24"/>
                <w:szCs w:val="23"/>
              </w:rPr>
            </w:pPr>
            <w:r w:rsidRPr="00176919">
              <w:rPr>
                <w:sz w:val="24"/>
              </w:rPr>
              <w:t xml:space="preserve">Increasing System </w:t>
            </w:r>
            <w:r w:rsidRPr="00107F14">
              <w:rPr>
                <w:b/>
                <w:sz w:val="24"/>
              </w:rPr>
              <w:t>Capacity</w:t>
            </w:r>
          </w:p>
        </w:tc>
      </w:tr>
      <w:tr w:rsidR="00225952" w:rsidRPr="006748CC" w:rsidTr="0040766A">
        <w:tc>
          <w:tcPr>
            <w:tcW w:w="10368" w:type="dxa"/>
            <w:gridSpan w:val="2"/>
          </w:tcPr>
          <w:p w:rsidR="00225952" w:rsidRPr="006748CC" w:rsidRDefault="00225952" w:rsidP="00225952">
            <w:pPr>
              <w:pStyle w:val="Heading3"/>
            </w:pPr>
            <w:r>
              <w:rPr>
                <w:b w:val="0"/>
                <w:bCs w:val="0"/>
                <w:color w:val="auto"/>
                <w:sz w:val="23"/>
              </w:rPr>
              <w:br w:type="page"/>
            </w:r>
            <w:bookmarkStart w:id="332" w:name="_Toc264274178"/>
            <w:r w:rsidR="00F77AF3">
              <w:t>5.3</w:t>
            </w:r>
            <w:r w:rsidRPr="00093490">
              <w:t>.1.</w:t>
            </w:r>
            <w:r>
              <w:rPr>
                <w:b w:val="0"/>
                <w:bCs w:val="0"/>
                <w:color w:val="auto"/>
                <w:sz w:val="23"/>
              </w:rPr>
              <w:t xml:space="preserve"> </w:t>
            </w:r>
            <w:r w:rsidRPr="006748CC">
              <w:t>Enhancing Operational Efficiency on Existing Transportation System</w:t>
            </w:r>
            <w:bookmarkEnd w:id="332"/>
          </w:p>
        </w:tc>
      </w:tr>
      <w:tr w:rsidR="00225952" w:rsidRPr="00760C62" w:rsidTr="0040766A">
        <w:tc>
          <w:tcPr>
            <w:tcW w:w="2455" w:type="dxa"/>
          </w:tcPr>
          <w:p w:rsidR="00225952" w:rsidRPr="006748CC" w:rsidRDefault="00225952" w:rsidP="00CC002A">
            <w:pPr>
              <w:spacing w:before="120"/>
            </w:pPr>
            <w:r>
              <w:rPr>
                <w:noProof/>
              </w:rPr>
              <w:drawing>
                <wp:inline distT="0" distB="0" distL="0" distR="0">
                  <wp:extent cx="1371600" cy="1343025"/>
                  <wp:effectExtent l="19050" t="0" r="0" b="0"/>
                  <wp:docPr id="531" name="Picture 30" descr="CH5Efficienc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H5Efficiency.png"/>
                          <pic:cNvPicPr>
                            <a:picLocks noChangeAspect="1" noChangeArrowheads="1"/>
                          </pic:cNvPicPr>
                        </pic:nvPicPr>
                        <pic:blipFill>
                          <a:blip r:embed="rId354" cstate="print"/>
                          <a:srcRect/>
                          <a:stretch>
                            <a:fillRect/>
                          </a:stretch>
                        </pic:blipFill>
                        <pic:spPr bwMode="auto">
                          <a:xfrm>
                            <a:off x="0" y="0"/>
                            <a:ext cx="1371600" cy="1343025"/>
                          </a:xfrm>
                          <a:prstGeom prst="rect">
                            <a:avLst/>
                          </a:prstGeom>
                          <a:noFill/>
                          <a:ln w="9525">
                            <a:noFill/>
                            <a:miter lim="800000"/>
                            <a:headEnd/>
                            <a:tailEnd/>
                          </a:ln>
                        </pic:spPr>
                      </pic:pic>
                    </a:graphicData>
                  </a:graphic>
                </wp:inline>
              </w:drawing>
            </w:r>
          </w:p>
        </w:tc>
        <w:tc>
          <w:tcPr>
            <w:tcW w:w="7913" w:type="dxa"/>
          </w:tcPr>
          <w:p w:rsidR="00225952" w:rsidRPr="00ED75D0" w:rsidRDefault="00225952" w:rsidP="00225952">
            <w:pPr>
              <w:spacing w:after="120"/>
              <w:rPr>
                <w:szCs w:val="23"/>
              </w:rPr>
            </w:pPr>
            <w:r w:rsidRPr="00ED75D0">
              <w:rPr>
                <w:szCs w:val="23"/>
              </w:rPr>
              <w:t>Mitigation strategies designed to enhance operational efficiency on the existing system and reduce greenhouse gas emissions may include:</w:t>
            </w:r>
          </w:p>
          <w:p w:rsidR="00225952" w:rsidRPr="00ED75D0" w:rsidRDefault="00225952" w:rsidP="00AD2D7A">
            <w:pPr>
              <w:pStyle w:val="BulletA"/>
              <w:numPr>
                <w:ilvl w:val="0"/>
                <w:numId w:val="147"/>
              </w:numPr>
            </w:pPr>
            <w:r w:rsidRPr="00ED75D0">
              <w:t>Congestion Management Processes</w:t>
            </w:r>
          </w:p>
          <w:p w:rsidR="00225952" w:rsidRPr="00ED75D0" w:rsidRDefault="00225952" w:rsidP="00AD2D7A">
            <w:pPr>
              <w:pStyle w:val="BulletA"/>
              <w:numPr>
                <w:ilvl w:val="0"/>
                <w:numId w:val="147"/>
              </w:numPr>
            </w:pPr>
            <w:r w:rsidRPr="00ED75D0">
              <w:t>Corridor Access Management Plans</w:t>
            </w:r>
          </w:p>
          <w:p w:rsidR="00225952" w:rsidRDefault="00225952" w:rsidP="00AD2D7A">
            <w:pPr>
              <w:pStyle w:val="BulletA"/>
              <w:numPr>
                <w:ilvl w:val="0"/>
                <w:numId w:val="147"/>
              </w:numPr>
            </w:pPr>
            <w:r w:rsidRPr="00ED75D0">
              <w:t>Street Network Connectivity</w:t>
            </w:r>
          </w:p>
          <w:p w:rsidR="00225952" w:rsidRPr="00ED75D0" w:rsidRDefault="00225952" w:rsidP="00AD2D7A">
            <w:pPr>
              <w:pStyle w:val="BulletA"/>
              <w:numPr>
                <w:ilvl w:val="0"/>
                <w:numId w:val="147"/>
              </w:numPr>
            </w:pPr>
            <w:r>
              <w:t>Transportation Demand Management (TDM)</w:t>
            </w:r>
          </w:p>
          <w:p w:rsidR="00225952" w:rsidRPr="00ED75D0" w:rsidRDefault="00225952" w:rsidP="00AD2D7A">
            <w:pPr>
              <w:pStyle w:val="BulletA"/>
              <w:numPr>
                <w:ilvl w:val="0"/>
                <w:numId w:val="147"/>
              </w:numPr>
            </w:pPr>
            <w:r w:rsidRPr="00ED75D0">
              <w:t>Transportation System Management (TSM</w:t>
            </w:r>
            <w:r>
              <w:t>)</w:t>
            </w:r>
          </w:p>
          <w:p w:rsidR="00225952" w:rsidRPr="00ED75D0" w:rsidRDefault="00225952" w:rsidP="00AD2D7A">
            <w:pPr>
              <w:pStyle w:val="BulletA"/>
              <w:numPr>
                <w:ilvl w:val="0"/>
                <w:numId w:val="147"/>
              </w:numPr>
            </w:pPr>
            <w:r w:rsidRPr="00ED75D0">
              <w:t>Enhancements for use of high occupancy vehicle lanes  or Transit</w:t>
            </w:r>
          </w:p>
          <w:p w:rsidR="00225952" w:rsidRPr="00EC1D56" w:rsidRDefault="00225952" w:rsidP="00AD2D7A">
            <w:pPr>
              <w:pStyle w:val="BulletA"/>
              <w:numPr>
                <w:ilvl w:val="0"/>
                <w:numId w:val="147"/>
              </w:numPr>
              <w:spacing w:after="240"/>
            </w:pPr>
            <w:r w:rsidRPr="00ED75D0">
              <w:t>Public Transit Operational Improvements</w:t>
            </w:r>
          </w:p>
        </w:tc>
      </w:tr>
      <w:tr w:rsidR="00225952" w:rsidRPr="00760C62" w:rsidTr="0040766A">
        <w:tc>
          <w:tcPr>
            <w:tcW w:w="2455" w:type="dxa"/>
          </w:tcPr>
          <w:p w:rsidR="00225952" w:rsidRDefault="00225952" w:rsidP="00225952">
            <w:pPr>
              <w:pStyle w:val="Heading4"/>
              <w:rPr>
                <w:noProof/>
              </w:rPr>
            </w:pPr>
            <w:r w:rsidRPr="00ED75D0">
              <w:t>Congestion Management Process (CMP)</w:t>
            </w:r>
          </w:p>
        </w:tc>
        <w:tc>
          <w:tcPr>
            <w:tcW w:w="7913" w:type="dxa"/>
          </w:tcPr>
          <w:p w:rsidR="00225952" w:rsidRPr="00ED75D0" w:rsidRDefault="00225952" w:rsidP="00225952">
            <w:pPr>
              <w:spacing w:after="120"/>
              <w:rPr>
                <w:szCs w:val="23"/>
              </w:rPr>
            </w:pPr>
            <w:r w:rsidRPr="00ED75D0">
              <w:t xml:space="preserve">Federal Regulation, Titles 23 U.S.C. 134(k) (3) and 49 U.S.C. 5303(k) (3) require that all MPOs maintain a Congestion Management Process using travel demand reduction and operational management strategies to identify and address congestion issues on the transportation network. Partnering with MPOs through this CMP can help identify and prioritize mitigation options that address long-term mobility on the SIS, FIHS, and TRIP-funded facilities. Employing this strategy can both aid in identifying low-cost operational and management improvements and present an opportunity for partnering in costly, large-scale needed improvements. </w:t>
            </w:r>
          </w:p>
        </w:tc>
      </w:tr>
    </w:tbl>
    <w:p w:rsidR="0040766A" w:rsidRDefault="0040766A">
      <w:bookmarkStart w:id="333" w:name="_Toc263521878"/>
      <w:r>
        <w:rPr>
          <w:b/>
          <w:bCs/>
        </w:rPr>
        <w:br w:type="page"/>
      </w:r>
    </w:p>
    <w:tbl>
      <w:tblPr>
        <w:tblW w:w="10368" w:type="dxa"/>
        <w:tblLayout w:type="fixed"/>
        <w:tblLook w:val="0000"/>
      </w:tblPr>
      <w:tblGrid>
        <w:gridCol w:w="2455"/>
        <w:gridCol w:w="7913"/>
      </w:tblGrid>
      <w:tr w:rsidR="00225952" w:rsidRPr="00760C62" w:rsidTr="0040766A">
        <w:tc>
          <w:tcPr>
            <w:tcW w:w="2455" w:type="dxa"/>
          </w:tcPr>
          <w:p w:rsidR="00225952" w:rsidRPr="00925463" w:rsidRDefault="00225952" w:rsidP="00960EBD">
            <w:pPr>
              <w:pStyle w:val="Heading4"/>
              <w:rPr>
                <w:color w:val="984806"/>
                <w:highlight w:val="green"/>
              </w:rPr>
            </w:pPr>
            <w:bookmarkStart w:id="334" w:name="_Toc264274179"/>
            <w:r>
              <w:lastRenderedPageBreak/>
              <w:t>Corridor Access Management Strategies</w:t>
            </w:r>
            <w:bookmarkEnd w:id="333"/>
            <w:bookmarkEnd w:id="334"/>
          </w:p>
        </w:tc>
        <w:tc>
          <w:tcPr>
            <w:tcW w:w="7913" w:type="dxa"/>
          </w:tcPr>
          <w:p w:rsidR="00225952" w:rsidRDefault="00225952" w:rsidP="00225952">
            <w:r>
              <w:t xml:space="preserve">Comprehensive corridor access management planning provides an excellent way to increase efficiency and safety on the impacted roadway systems.   Good corridor access management practices can assist with orderly development patterns, increased safety, and efficiency on roadways.  The management of driveways also ensures a safer environment for pedestrians and cyclists. FDOT has many resources to help with the important strategy.   </w:t>
            </w:r>
          </w:p>
          <w:p w:rsidR="00225952" w:rsidRPr="00925463" w:rsidRDefault="00225952" w:rsidP="00225952">
            <w:pPr>
              <w:spacing w:after="120"/>
              <w:rPr>
                <w:highlight w:val="green"/>
              </w:rPr>
            </w:pPr>
            <w:r>
              <w:t>Comprehensive c</w:t>
            </w:r>
            <w:r w:rsidRPr="00E86E6D">
              <w:t xml:space="preserve">orridor </w:t>
            </w:r>
            <w:r>
              <w:t xml:space="preserve">access </w:t>
            </w:r>
            <w:r w:rsidRPr="00E86E6D">
              <w:t xml:space="preserve">management incorporates </w:t>
            </w:r>
            <w:r>
              <w:t xml:space="preserve">coordination of land use decisions </w:t>
            </w:r>
            <w:r w:rsidRPr="00E86E6D">
              <w:t>within</w:t>
            </w:r>
            <w:r>
              <w:t xml:space="preserve"> the corridor. </w:t>
            </w:r>
            <w:r w:rsidRPr="00E86E6D">
              <w:t xml:space="preserve"> </w:t>
            </w:r>
            <w:r>
              <w:t>Comprehensive c</w:t>
            </w:r>
            <w:r w:rsidRPr="00E86E6D">
              <w:t xml:space="preserve">orridor </w:t>
            </w:r>
            <w:r>
              <w:t xml:space="preserve">access </w:t>
            </w:r>
            <w:r w:rsidRPr="00E86E6D">
              <w:t>management plan</w:t>
            </w:r>
            <w:r>
              <w:t>ning</w:t>
            </w:r>
            <w:r w:rsidRPr="00E86E6D">
              <w:t xml:space="preserve"> may be considered as part of a long term concurrency management system</w:t>
            </w:r>
            <w:r>
              <w:t xml:space="preserve">.  It </w:t>
            </w:r>
            <w:r w:rsidRPr="00E86E6D">
              <w:t>should define improvement projects, and should evaluate corridors beyond the roadway right of way to address land use,</w:t>
            </w:r>
            <w:r>
              <w:t xml:space="preserve"> </w:t>
            </w:r>
            <w:r w:rsidRPr="00E86E6D">
              <w:t>street networks, and right of way</w:t>
            </w:r>
            <w:r>
              <w:t xml:space="preserve">.  </w:t>
            </w:r>
            <w:r w:rsidRPr="00E86E6D">
              <w:t xml:space="preserve">Examples of proposed improvements resulting from </w:t>
            </w:r>
            <w:r>
              <w:t xml:space="preserve">the strategy </w:t>
            </w:r>
            <w:r w:rsidRPr="00E86E6D">
              <w:t xml:space="preserve">may include: </w:t>
            </w:r>
          </w:p>
        </w:tc>
      </w:tr>
      <w:tr w:rsidR="00225952" w:rsidRPr="00760C62" w:rsidTr="0040766A">
        <w:tc>
          <w:tcPr>
            <w:tcW w:w="2455" w:type="dxa"/>
          </w:tcPr>
          <w:p w:rsidR="00225952" w:rsidRPr="00925463" w:rsidRDefault="00225952" w:rsidP="00225952">
            <w:pPr>
              <w:pStyle w:val="Heading3"/>
              <w:jc w:val="center"/>
              <w:rPr>
                <w:color w:val="984806"/>
                <w:highlight w:val="green"/>
              </w:rPr>
            </w:pPr>
          </w:p>
        </w:tc>
        <w:tc>
          <w:tcPr>
            <w:tcW w:w="7913" w:type="dxa"/>
          </w:tcPr>
          <w:p w:rsidR="00225952" w:rsidRPr="00ED75D0" w:rsidRDefault="00225952" w:rsidP="00960EBD">
            <w:pPr>
              <w:pStyle w:val="BulletA"/>
              <w:numPr>
                <w:ilvl w:val="0"/>
                <w:numId w:val="148"/>
              </w:numPr>
            </w:pPr>
            <w:r w:rsidRPr="00ED75D0">
              <w:t xml:space="preserve">Median improvements </w:t>
            </w:r>
          </w:p>
          <w:p w:rsidR="00225952" w:rsidRPr="00ED75D0" w:rsidRDefault="00225952" w:rsidP="00960EBD">
            <w:pPr>
              <w:pStyle w:val="BulletA"/>
              <w:numPr>
                <w:ilvl w:val="0"/>
                <w:numId w:val="148"/>
              </w:numPr>
            </w:pPr>
            <w:r w:rsidRPr="00ED75D0">
              <w:t>Signal location and spacing</w:t>
            </w:r>
          </w:p>
          <w:p w:rsidR="00225952" w:rsidRPr="00ED75D0" w:rsidRDefault="00225952" w:rsidP="00960EBD">
            <w:pPr>
              <w:pStyle w:val="BulletA"/>
              <w:numPr>
                <w:ilvl w:val="0"/>
                <w:numId w:val="148"/>
              </w:numPr>
            </w:pPr>
            <w:r w:rsidRPr="00ED75D0">
              <w:t>Auxiliary lanes</w:t>
            </w:r>
          </w:p>
          <w:p w:rsidR="00225952" w:rsidRPr="00ED75D0" w:rsidRDefault="00225952" w:rsidP="00960EBD">
            <w:pPr>
              <w:pStyle w:val="BulletA"/>
              <w:numPr>
                <w:ilvl w:val="0"/>
                <w:numId w:val="148"/>
              </w:numPr>
            </w:pPr>
            <w:r w:rsidRPr="00ED75D0">
              <w:t>Right of way needs and requirements</w:t>
            </w:r>
          </w:p>
          <w:p w:rsidR="00225952" w:rsidRPr="00ED75D0" w:rsidRDefault="00225952" w:rsidP="00960EBD">
            <w:pPr>
              <w:pStyle w:val="BulletA"/>
              <w:numPr>
                <w:ilvl w:val="0"/>
                <w:numId w:val="148"/>
              </w:numPr>
            </w:pPr>
            <w:r w:rsidRPr="00ED75D0">
              <w:t>New standards for site access, connectivity and circulation design</w:t>
            </w:r>
          </w:p>
          <w:p w:rsidR="00225952" w:rsidRPr="00ED75D0" w:rsidRDefault="00225952" w:rsidP="00960EBD">
            <w:pPr>
              <w:pStyle w:val="BulletA"/>
              <w:numPr>
                <w:ilvl w:val="0"/>
                <w:numId w:val="148"/>
              </w:numPr>
            </w:pPr>
            <w:r w:rsidRPr="00ED75D0">
              <w:t>Effective location of  commercial and transportation activity centers</w:t>
            </w:r>
          </w:p>
          <w:p w:rsidR="00225952" w:rsidRPr="00ED75D0" w:rsidRDefault="00225952" w:rsidP="00960EBD">
            <w:pPr>
              <w:pStyle w:val="BulletA"/>
              <w:numPr>
                <w:ilvl w:val="0"/>
                <w:numId w:val="148"/>
              </w:numPr>
            </w:pPr>
            <w:r w:rsidRPr="00ED75D0">
              <w:t>Improvements to the supporting roadway network</w:t>
            </w:r>
          </w:p>
          <w:p w:rsidR="00225952" w:rsidRPr="00ED75D0" w:rsidRDefault="00225952" w:rsidP="00960EBD">
            <w:pPr>
              <w:pStyle w:val="BulletA"/>
              <w:numPr>
                <w:ilvl w:val="0"/>
                <w:numId w:val="148"/>
              </w:numPr>
            </w:pPr>
            <w:r w:rsidRPr="00ED75D0">
              <w:t xml:space="preserve">Improvements involving access for other transportation modes (e.g. bus pullouts, transitions for special use transit lanes or bus rapid transit, pedestrian crossing treatments) </w:t>
            </w:r>
          </w:p>
          <w:p w:rsidR="00225952" w:rsidRPr="0040766A" w:rsidRDefault="00225952" w:rsidP="00960EBD">
            <w:pPr>
              <w:pStyle w:val="BulletA"/>
              <w:numPr>
                <w:ilvl w:val="0"/>
                <w:numId w:val="148"/>
              </w:numPr>
              <w:spacing w:after="240"/>
              <w:rPr>
                <w:rFonts w:asciiTheme="minorHAnsi" w:hAnsiTheme="minorHAnsi"/>
              </w:rPr>
            </w:pPr>
            <w:r w:rsidRPr="00ED75D0">
              <w:rPr>
                <w:rFonts w:asciiTheme="minorHAnsi" w:hAnsiTheme="minorHAnsi"/>
              </w:rPr>
              <w:t>Better design and integration of bicycle lanes and sidewalk facilities.</w:t>
            </w:r>
          </w:p>
        </w:tc>
      </w:tr>
      <w:tr w:rsidR="00225952" w:rsidRPr="00760C62" w:rsidTr="0040766A">
        <w:tc>
          <w:tcPr>
            <w:tcW w:w="2455" w:type="dxa"/>
          </w:tcPr>
          <w:p w:rsidR="00225952" w:rsidRDefault="00225952" w:rsidP="00225952">
            <w:pPr>
              <w:pStyle w:val="Heading3"/>
              <w:jc w:val="center"/>
              <w:rPr>
                <w:color w:val="984806"/>
                <w:highlight w:val="green"/>
              </w:rPr>
            </w:pPr>
          </w:p>
          <w:p w:rsidR="00DA1C89" w:rsidRDefault="00DA1C89" w:rsidP="00DA1C89">
            <w:pPr>
              <w:rPr>
                <w:highlight w:val="green"/>
              </w:rPr>
            </w:pPr>
          </w:p>
          <w:p w:rsidR="00DA1C89" w:rsidRDefault="00DA1C89" w:rsidP="00DA1C89">
            <w:pPr>
              <w:rPr>
                <w:highlight w:val="green"/>
              </w:rPr>
            </w:pPr>
          </w:p>
          <w:p w:rsidR="00DA1C89" w:rsidRDefault="00DA1C89" w:rsidP="00DA1C89">
            <w:pPr>
              <w:rPr>
                <w:highlight w:val="green"/>
              </w:rPr>
            </w:pPr>
          </w:p>
          <w:p w:rsidR="00DA1C89" w:rsidRPr="00DA1C89" w:rsidRDefault="00DA1C89" w:rsidP="00DA1C89">
            <w:pPr>
              <w:rPr>
                <w:highlight w:val="green"/>
              </w:rPr>
            </w:pPr>
          </w:p>
        </w:tc>
        <w:tc>
          <w:tcPr>
            <w:tcW w:w="7913" w:type="dxa"/>
          </w:tcPr>
          <w:p w:rsidR="00225952" w:rsidRDefault="00225952" w:rsidP="00225952">
            <w:r w:rsidRPr="00E86E6D">
              <w:t>In order to implement Corridor Access Management Plans</w:t>
            </w:r>
            <w:r>
              <w:t xml:space="preserve">, </w:t>
            </w:r>
            <w:r w:rsidRPr="00E86E6D">
              <w:t xml:space="preserve">each implementing agency (e.g. FDOT, MPOs, and local governments) </w:t>
            </w:r>
            <w:r>
              <w:t>should adopt the</w:t>
            </w:r>
            <w:r w:rsidRPr="00E86E6D">
              <w:t xml:space="preserve"> plan. State and local governments </w:t>
            </w:r>
            <w:r>
              <w:t xml:space="preserve">should </w:t>
            </w:r>
            <w:r w:rsidRPr="00E86E6D">
              <w:t>approve these plans</w:t>
            </w:r>
            <w:r>
              <w:t>. I</w:t>
            </w:r>
            <w:r w:rsidRPr="00E86E6D">
              <w:t xml:space="preserve">mplementation is typically achieved by combining regulations, interagency or public/private agreements, design standards, and road improvement projects. Detailed guidance and resources on evaluation techniques, best practices </w:t>
            </w:r>
            <w:r>
              <w:t xml:space="preserve">are </w:t>
            </w:r>
            <w:r w:rsidRPr="00E86E6D">
              <w:t>available in</w:t>
            </w:r>
          </w:p>
          <w:p w:rsidR="00225952" w:rsidRDefault="00225952" w:rsidP="00960EBD">
            <w:pPr>
              <w:numPr>
                <w:ilvl w:val="0"/>
                <w:numId w:val="68"/>
              </w:numPr>
              <w:spacing w:after="120"/>
              <w:jc w:val="left"/>
            </w:pPr>
            <w:r w:rsidRPr="00E86E6D">
              <w:t xml:space="preserve"> </w:t>
            </w:r>
            <w:hyperlink r:id="rId355" w:history="1">
              <w:r w:rsidRPr="00E86E6D">
                <w:rPr>
                  <w:rStyle w:val="Hyperlink"/>
                  <w:szCs w:val="23"/>
                </w:rPr>
                <w:t>Documenting Improved Mobility Techniques on SIS and TRIP Facilities</w:t>
              </w:r>
            </w:hyperlink>
            <w:r w:rsidRPr="00E86E6D">
              <w:t>.</w:t>
            </w:r>
            <w:r w:rsidR="00013952">
              <w:t xml:space="preserve"> </w:t>
            </w:r>
          </w:p>
          <w:p w:rsidR="00107F14" w:rsidRDefault="00745389" w:rsidP="00960EBD">
            <w:pPr>
              <w:numPr>
                <w:ilvl w:val="0"/>
                <w:numId w:val="68"/>
              </w:numPr>
              <w:spacing w:after="120"/>
              <w:jc w:val="left"/>
            </w:pPr>
            <w:hyperlink r:id="rId356" w:history="1">
              <w:r w:rsidR="00225952" w:rsidRPr="00107F14">
                <w:rPr>
                  <w:rStyle w:val="Hyperlink"/>
                  <w:rFonts w:cstheme="minorBidi"/>
                </w:rPr>
                <w:t>Corridor Preservation Best Practices</w:t>
              </w:r>
            </w:hyperlink>
            <w:r w:rsidR="00225952">
              <w:t xml:space="preserve"> </w:t>
            </w:r>
            <w:r w:rsidR="00DA1C89">
              <w:br/>
            </w:r>
            <w:r w:rsidR="00225952">
              <w:t xml:space="preserve">(Hillsborough County Corridor Study) </w:t>
            </w:r>
            <w:r w:rsidR="00DA1C89">
              <w:t xml:space="preserve"> </w:t>
            </w:r>
            <w:r w:rsidR="00225952">
              <w:t xml:space="preserve">CUTR 2003 </w:t>
            </w:r>
          </w:p>
          <w:p w:rsidR="00225952" w:rsidRDefault="00745389" w:rsidP="00960EBD">
            <w:pPr>
              <w:numPr>
                <w:ilvl w:val="0"/>
                <w:numId w:val="68"/>
              </w:numPr>
              <w:spacing w:after="120"/>
              <w:jc w:val="left"/>
            </w:pPr>
            <w:hyperlink r:id="rId357" w:history="1">
              <w:r w:rsidR="00225952" w:rsidRPr="00107F14">
                <w:rPr>
                  <w:rStyle w:val="Hyperlink"/>
                  <w:bCs/>
                  <w:iCs/>
                </w:rPr>
                <w:t>Effective Strategies for Comprehensive Corridor Management</w:t>
              </w:r>
            </w:hyperlink>
          </w:p>
          <w:p w:rsidR="00225952" w:rsidRPr="00147905" w:rsidRDefault="00745389" w:rsidP="00960EBD">
            <w:pPr>
              <w:numPr>
                <w:ilvl w:val="0"/>
                <w:numId w:val="68"/>
              </w:numPr>
              <w:spacing w:after="120"/>
              <w:jc w:val="left"/>
            </w:pPr>
            <w:hyperlink r:id="rId358" w:history="1">
              <w:r w:rsidR="00225952" w:rsidRPr="00DA1C89">
                <w:rPr>
                  <w:rStyle w:val="Hyperlink"/>
                  <w:rFonts w:cstheme="minorBidi"/>
                </w:rPr>
                <w:t>Managing Corridor Development</w:t>
              </w:r>
            </w:hyperlink>
            <w:r w:rsidR="00DA1C89">
              <w:br/>
              <w:t>CUTR 1996</w:t>
            </w:r>
          </w:p>
        </w:tc>
      </w:tr>
      <w:tr w:rsidR="00225952" w:rsidRPr="00760C62" w:rsidTr="0040766A">
        <w:tc>
          <w:tcPr>
            <w:tcW w:w="2455" w:type="dxa"/>
          </w:tcPr>
          <w:p w:rsidR="00225952" w:rsidRDefault="00225952" w:rsidP="00225952">
            <w:pPr>
              <w:pStyle w:val="Heading4"/>
            </w:pPr>
            <w:r w:rsidRPr="00ED75D0">
              <w:lastRenderedPageBreak/>
              <w:t>Street Network Connectivity Strategies</w:t>
            </w:r>
          </w:p>
          <w:p w:rsidR="00DA1C89" w:rsidRDefault="00DA1C89" w:rsidP="00DA1C89"/>
          <w:p w:rsidR="00DA1C89" w:rsidRDefault="00DA1C89" w:rsidP="00DA1C89"/>
          <w:p w:rsidR="00DA1C89" w:rsidRDefault="00DA1C89" w:rsidP="00DA1C89"/>
          <w:p w:rsidR="00DA1C89" w:rsidRDefault="00DA1C89" w:rsidP="00DA1C89"/>
          <w:p w:rsidR="00DA1C89" w:rsidRDefault="00DA1C89" w:rsidP="00DA1C89"/>
          <w:p w:rsidR="00DA1C89" w:rsidRDefault="00DA1C89" w:rsidP="00DA1C89"/>
          <w:p w:rsidR="00DA1C89" w:rsidRDefault="00DA1C89" w:rsidP="00DA1C89"/>
          <w:p w:rsidR="00DA1C89" w:rsidRDefault="00DA1C89" w:rsidP="00DA1C89"/>
          <w:p w:rsidR="00DA1C89" w:rsidRDefault="00DA1C89" w:rsidP="00DA1C89"/>
          <w:p w:rsidR="00DA1C89" w:rsidRDefault="00DA1C89" w:rsidP="00DA1C89">
            <w:pPr>
              <w:spacing w:after="0"/>
            </w:pPr>
            <w:r w:rsidRPr="00DA1C89">
              <w:rPr>
                <w:noProof/>
              </w:rPr>
              <w:drawing>
                <wp:inline distT="0" distB="0" distL="0" distR="0">
                  <wp:extent cx="1419225" cy="552450"/>
                  <wp:effectExtent l="0" t="0" r="0" b="0"/>
                  <wp:docPr id="532" name="Picture 56" descr="button_PDFlink.png">
                    <a:hlinkClick xmlns:a="http://schemas.openxmlformats.org/drawingml/2006/main" r:id="rId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button_PDFlink.png"/>
                          <pic:cNvPicPr>
                            <a:picLocks noChangeAspect="1" noChangeArrowheads="1"/>
                          </pic:cNvPicPr>
                        </pic:nvPicPr>
                        <pic:blipFill>
                          <a:blip r:embed="rId15" cstate="print"/>
                          <a:srcRect/>
                          <a:stretch>
                            <a:fillRect/>
                          </a:stretch>
                        </pic:blipFill>
                        <pic:spPr bwMode="auto">
                          <a:xfrm>
                            <a:off x="0" y="0"/>
                            <a:ext cx="1419225" cy="552450"/>
                          </a:xfrm>
                          <a:prstGeom prst="rect">
                            <a:avLst/>
                          </a:prstGeom>
                          <a:noFill/>
                          <a:ln w="9525">
                            <a:noFill/>
                            <a:miter lim="800000"/>
                            <a:headEnd/>
                            <a:tailEnd/>
                          </a:ln>
                        </pic:spPr>
                      </pic:pic>
                    </a:graphicData>
                  </a:graphic>
                </wp:inline>
              </w:drawing>
            </w:r>
          </w:p>
          <w:p w:rsidR="00DA1C89" w:rsidRPr="00DA1C89" w:rsidRDefault="00DA1C89" w:rsidP="00DA1C89">
            <w:pPr>
              <w:pStyle w:val="HeadSide20"/>
              <w:jc w:val="center"/>
            </w:pPr>
            <w:r>
              <w:t>Alternative Access</w:t>
            </w:r>
          </w:p>
        </w:tc>
        <w:tc>
          <w:tcPr>
            <w:tcW w:w="7913" w:type="dxa"/>
          </w:tcPr>
          <w:p w:rsidR="00225952" w:rsidRPr="00ED75D0" w:rsidRDefault="00225952" w:rsidP="00225952">
            <w:r w:rsidRPr="00ED75D0">
              <w:t xml:space="preserve">In a number of areas around </w:t>
            </w:r>
            <w:smartTag w:uri="urn:schemas-microsoft-com:office:smarttags" w:element="place">
              <w:smartTag w:uri="urn:schemas-microsoft-com:office:smarttags" w:element="State">
                <w:r w:rsidRPr="00ED75D0">
                  <w:t>Florida</w:t>
                </w:r>
              </w:smartTag>
            </w:smartTag>
            <w:r w:rsidRPr="00ED75D0">
              <w:t xml:space="preserve">, the SIS, FIHS, TRIP-funded facilities are being used as the primary means for transportation between developments, while local and collector street networks remain underdeveloped and/or fragmented. In addition to the strain this puts on the ability of these facilities to maintain adequate LOS and provide adequate emergency access, the use of major highways results in negative impacts to the community. The higher speeds and turning movements associated with traffic on major highways create unsafe conditions for bicyclists and pedestrians. In addition, these safety issues, combined with trip length and lack of connectivity produce a greater dependence upon the automobile as the sole means for transportation. </w:t>
            </w:r>
          </w:p>
          <w:p w:rsidR="00225952" w:rsidRPr="00ED75D0" w:rsidRDefault="00225952" w:rsidP="00225952">
            <w:r w:rsidRPr="00ED75D0">
              <w:t xml:space="preserve">Mitigation to address transportation impacts to these facilities involves promoting activity centers, providing alternative routes for local trips, focusing on connecting existing roads, as well as considering street network connectivity as new development emerges. Long-term Corridor Access Management Plans can use the existing local street system to identify where preferred alternative routes are located, and mitigation efforts can be focused on promoting connectivity over time. Continuous coordination with local governments is needed to implement this strategy successfully, and reviewers should consult applicable land development codes for street spacing or connectivity requirements for developments impacting FIHS, SIS, or TRIP-funded facilities. TRB’s Paper, </w:t>
            </w:r>
            <w:hyperlink r:id="rId360" w:history="1">
              <w:r w:rsidRPr="00ED75D0">
                <w:rPr>
                  <w:rStyle w:val="Hyperlink"/>
                  <w:szCs w:val="23"/>
                </w:rPr>
                <w:t>Accomplishing Alternative Access on Major Transportation Corridors</w:t>
              </w:r>
            </w:hyperlink>
            <w:r w:rsidRPr="00ED75D0">
              <w:t xml:space="preserve"> provides further examples of street network connectivity strategies and sample regulatory language. </w:t>
            </w:r>
          </w:p>
        </w:tc>
      </w:tr>
      <w:tr w:rsidR="00225952" w:rsidRPr="00760C62" w:rsidTr="0040766A">
        <w:tc>
          <w:tcPr>
            <w:tcW w:w="2455" w:type="dxa"/>
          </w:tcPr>
          <w:p w:rsidR="00225952" w:rsidRDefault="00225952" w:rsidP="00225952">
            <w:pPr>
              <w:pStyle w:val="Heading4"/>
            </w:pPr>
            <w:r w:rsidRPr="00ED75D0">
              <w:t>Transportation Demand Management Techniques</w:t>
            </w:r>
          </w:p>
          <w:p w:rsidR="00DA1C89" w:rsidRDefault="00DA1C89" w:rsidP="00DA1C89"/>
          <w:p w:rsidR="00DA1C89" w:rsidRDefault="00DA1C89" w:rsidP="00DA1C89"/>
          <w:p w:rsidR="00DA1C89" w:rsidRPr="00DA1C89" w:rsidRDefault="00DA1C89" w:rsidP="00DA1C89"/>
          <w:p w:rsidR="00DA1C89" w:rsidRDefault="005E56BC" w:rsidP="005E56BC">
            <w:pPr>
              <w:spacing w:after="0"/>
            </w:pPr>
            <w:r w:rsidRPr="005E56BC">
              <w:rPr>
                <w:noProof/>
              </w:rPr>
              <w:drawing>
                <wp:inline distT="0" distB="0" distL="0" distR="0">
                  <wp:extent cx="1421765" cy="559313"/>
                  <wp:effectExtent l="19050" t="0" r="6985" b="0"/>
                  <wp:docPr id="546" name="Picture 23" descr="button_presentation.png">
                    <a:hlinkClick xmlns:a="http://schemas.openxmlformats.org/drawingml/2006/main" r:id="rId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tton_presentation.png"/>
                          <pic:cNvPicPr/>
                        </pic:nvPicPr>
                        <pic:blipFill>
                          <a:blip r:embed="rId26" cstate="print"/>
                          <a:stretch>
                            <a:fillRect/>
                          </a:stretch>
                        </pic:blipFill>
                        <pic:spPr>
                          <a:xfrm>
                            <a:off x="0" y="0"/>
                            <a:ext cx="1421765" cy="559313"/>
                          </a:xfrm>
                          <a:prstGeom prst="rect">
                            <a:avLst/>
                          </a:prstGeom>
                        </pic:spPr>
                      </pic:pic>
                    </a:graphicData>
                  </a:graphic>
                </wp:inline>
              </w:drawing>
            </w:r>
          </w:p>
          <w:p w:rsidR="005E56BC" w:rsidRPr="00DA1C89" w:rsidRDefault="005E56BC" w:rsidP="005E56BC">
            <w:pPr>
              <w:pStyle w:val="HeadSide20"/>
              <w:ind w:right="0"/>
              <w:jc w:val="center"/>
            </w:pPr>
            <w:r>
              <w:t>TDM Clearinghouse</w:t>
            </w:r>
          </w:p>
        </w:tc>
        <w:tc>
          <w:tcPr>
            <w:tcW w:w="7913" w:type="dxa"/>
          </w:tcPr>
          <w:p w:rsidR="00225952" w:rsidRPr="00ED75D0" w:rsidRDefault="00225952" w:rsidP="00225952">
            <w:r w:rsidRPr="00ED75D0">
              <w:t xml:space="preserve">TDM consists of strategies that foster increased efficiency of the transportation system by influencing travel demand by mode, time of day, frequency, trip length, regulation, route or cost. TDM discourages peak hour drive alone travel through better management of existing transportation infrastructure, services and resources. </w:t>
            </w:r>
            <w:r w:rsidRPr="007920DE">
              <w:rPr>
                <w:spacing w:val="-2"/>
              </w:rPr>
              <w:t>TDM strategies include, for example, public transit services, carpooling and vanpooling,</w:t>
            </w:r>
            <w:r w:rsidRPr="00ED75D0">
              <w:t xml:space="preserve"> compressed work weeks, telecommuting, limited parking, and provision of bike and locker facilities by employers. Detailed information about TDM strategies and existing programs can be found at the </w:t>
            </w:r>
            <w:hyperlink r:id="rId361" w:history="1">
              <w:r w:rsidRPr="00ED75D0">
                <w:rPr>
                  <w:rStyle w:val="Hyperlink"/>
                  <w:szCs w:val="23"/>
                </w:rPr>
                <w:t>National TDM and Telework Clearinghouse</w:t>
              </w:r>
            </w:hyperlink>
            <w:r w:rsidRPr="00ED75D0">
              <w:t>.</w:t>
            </w:r>
          </w:p>
          <w:p w:rsidR="00225952" w:rsidRPr="00ED75D0" w:rsidRDefault="00225952" w:rsidP="00225952">
            <w:r w:rsidRPr="00ED75D0">
              <w:t>FDOT staff unfamiliar with local government land development processes will find guidance on measures that can be used to influence the incorporation of TDM into the land development process in</w:t>
            </w:r>
            <w:hyperlink r:id="rId362" w:history="1">
              <w:r w:rsidRPr="00ED75D0">
                <w:rPr>
                  <w:rStyle w:val="Hyperlink"/>
                  <w:szCs w:val="23"/>
                </w:rPr>
                <w:t xml:space="preserve"> </w:t>
              </w:r>
              <w:r w:rsidRPr="00ED75D0">
                <w:rPr>
                  <w:rStyle w:val="Hyperlink"/>
                  <w:iCs/>
                  <w:szCs w:val="23"/>
                </w:rPr>
                <w:t>Incorporating TDM into the Land Development Process</w:t>
              </w:r>
            </w:hyperlink>
            <w:r w:rsidRPr="00ED75D0">
              <w:t xml:space="preserve">. </w:t>
            </w:r>
            <w:smartTag w:uri="urn:schemas-microsoft-com:office:smarttags" w:element="place">
              <w:smartTag w:uri="urn:schemas-microsoft-com:office:smarttags" w:element="PlaceName">
                <w:r w:rsidRPr="00ED75D0">
                  <w:t>National</w:t>
                </w:r>
              </w:smartTag>
              <w:r w:rsidRPr="00ED75D0">
                <w:t xml:space="preserve"> </w:t>
              </w:r>
              <w:smartTag w:uri="urn:schemas-microsoft-com:office:smarttags" w:element="PlaceType">
                <w:r w:rsidRPr="00ED75D0">
                  <w:t>Center</w:t>
                </w:r>
              </w:smartTag>
            </w:smartTag>
            <w:r w:rsidRPr="00ED75D0">
              <w:t xml:space="preserve"> for Transit Research at CUTR, August 2005. The report documents efforts to secure TDM strategies as part of development approvals, summarizes the long range planning groundwork that frames the land </w:t>
            </w:r>
            <w:r w:rsidRPr="00ED75D0">
              <w:lastRenderedPageBreak/>
              <w:t>development process, includes several case study examples from Florida and other states and identifies institutional barriers to the use of TDM as part of the land development process.</w:t>
            </w:r>
          </w:p>
          <w:p w:rsidR="00225952" w:rsidRPr="00ED75D0" w:rsidRDefault="00225952" w:rsidP="00225952">
            <w:r w:rsidRPr="00ED75D0">
              <w:t>Transportation partners interested in using TDM in land development should start their involvement early This requires participation in review and updates of the MPO long range transportation plan and transportation improvement program as well as local government comprehensive plans. The reviewer should ensure that the TDM measures are consistent with the MPO’s CMP and traffic analysis methodology. These activities will begin the integration of TDM principles and strategies into the land use and transportation planning process resulting in physical infrastructure and regulatory tools to support TDM as land development proceeds.</w:t>
            </w:r>
          </w:p>
          <w:p w:rsidR="00225952" w:rsidRPr="00EC1D56" w:rsidRDefault="00225952" w:rsidP="00EC1D56">
            <w:pPr>
              <w:pStyle w:val="Quote"/>
              <w:rPr>
                <w:sz w:val="24"/>
              </w:rPr>
            </w:pPr>
            <w:r w:rsidRPr="00EC1D56">
              <w:rPr>
                <w:sz w:val="24"/>
              </w:rPr>
              <w:t>TDM methodologies can also utilize state of the art transportation system management and operations strategies (TSM) such as displaying real time duration of congestion information vs. travel times on rail or bus rapid transit.</w:t>
            </w:r>
          </w:p>
          <w:p w:rsidR="00225952" w:rsidRPr="00ED75D0" w:rsidRDefault="00225952">
            <w:pPr>
              <w:spacing w:after="120"/>
            </w:pPr>
            <w:r w:rsidRPr="00ED75D0">
              <w:t xml:space="preserve">TDM strategies can also be site specific if they are part of a larger regional effort. </w:t>
            </w:r>
          </w:p>
        </w:tc>
      </w:tr>
      <w:tr w:rsidR="00225952" w:rsidRPr="00760C62" w:rsidTr="0040766A">
        <w:tc>
          <w:tcPr>
            <w:tcW w:w="2455" w:type="dxa"/>
          </w:tcPr>
          <w:p w:rsidR="00225952" w:rsidRPr="0070630A" w:rsidRDefault="00225952" w:rsidP="00225952">
            <w:pPr>
              <w:pStyle w:val="Heading4"/>
            </w:pPr>
            <w:r w:rsidRPr="0070630A">
              <w:lastRenderedPageBreak/>
              <w:t>Transportation System Management Strategies (TSM)</w:t>
            </w:r>
          </w:p>
          <w:p w:rsidR="00225952" w:rsidRPr="0070630A" w:rsidRDefault="00225952" w:rsidP="00225952"/>
          <w:p w:rsidR="00225952" w:rsidRPr="0070630A" w:rsidRDefault="00225952" w:rsidP="00225952"/>
          <w:p w:rsidR="00225952" w:rsidRPr="0070630A" w:rsidRDefault="00225952" w:rsidP="00225952"/>
          <w:p w:rsidR="00225952" w:rsidRPr="0070630A" w:rsidRDefault="00225952" w:rsidP="00225952"/>
          <w:p w:rsidR="00225952" w:rsidRPr="0070630A" w:rsidRDefault="00225952" w:rsidP="00225952"/>
          <w:p w:rsidR="00225952" w:rsidRDefault="005E56BC" w:rsidP="00CC002A">
            <w:pPr>
              <w:spacing w:after="0"/>
            </w:pPr>
            <w:r w:rsidRPr="00CC002A">
              <w:rPr>
                <w:noProof/>
              </w:rPr>
              <w:drawing>
                <wp:inline distT="0" distB="0" distL="0" distR="0">
                  <wp:extent cx="1421765" cy="559313"/>
                  <wp:effectExtent l="19050" t="0" r="6985" b="0"/>
                  <wp:docPr id="551" name="Picture 23" descr="button_presentation.png">
                    <a:hlinkClick xmlns:a="http://schemas.openxmlformats.org/drawingml/2006/main" r:id="rId3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tton_presentation.png"/>
                          <pic:cNvPicPr/>
                        </pic:nvPicPr>
                        <pic:blipFill>
                          <a:blip r:embed="rId26" cstate="print"/>
                          <a:stretch>
                            <a:fillRect/>
                          </a:stretch>
                        </pic:blipFill>
                        <pic:spPr>
                          <a:xfrm>
                            <a:off x="0" y="0"/>
                            <a:ext cx="1421765" cy="559313"/>
                          </a:xfrm>
                          <a:prstGeom prst="rect">
                            <a:avLst/>
                          </a:prstGeom>
                        </pic:spPr>
                      </pic:pic>
                    </a:graphicData>
                  </a:graphic>
                </wp:inline>
              </w:drawing>
            </w:r>
          </w:p>
          <w:p w:rsidR="0040766A" w:rsidRPr="0040766A" w:rsidRDefault="0040766A" w:rsidP="005E56BC">
            <w:pPr>
              <w:pStyle w:val="HeadSide20"/>
              <w:ind w:right="0"/>
              <w:jc w:val="center"/>
            </w:pPr>
            <w:r>
              <w:t xml:space="preserve">Interchange </w:t>
            </w:r>
            <w:r w:rsidR="00013952">
              <w:t>Handbook Website</w:t>
            </w:r>
          </w:p>
        </w:tc>
        <w:tc>
          <w:tcPr>
            <w:tcW w:w="7913" w:type="dxa"/>
          </w:tcPr>
          <w:p w:rsidR="00225952" w:rsidRPr="0070630A" w:rsidRDefault="00225952" w:rsidP="00225952">
            <w:pPr>
              <w:spacing w:after="120"/>
            </w:pPr>
            <w:r w:rsidRPr="0070630A">
              <w:t>TSM strategies are improvements intended to utilize the existing transportation system’s capacity to the greatest extent possible. These improvements consist of geometric improvements or traffic control strategies rather than increasing the number of general use lanes.</w:t>
            </w:r>
          </w:p>
          <w:p w:rsidR="00225952" w:rsidRPr="00EC1D56" w:rsidRDefault="00225952" w:rsidP="00225952">
            <w:pPr>
              <w:autoSpaceDE w:val="0"/>
              <w:autoSpaceDN w:val="0"/>
              <w:adjustRightInd w:val="0"/>
              <w:spacing w:after="60"/>
              <w:ind w:firstLine="360"/>
              <w:rPr>
                <w:b/>
                <w:szCs w:val="23"/>
              </w:rPr>
            </w:pPr>
            <w:r w:rsidRPr="00EC1D56">
              <w:rPr>
                <w:b/>
                <w:szCs w:val="23"/>
              </w:rPr>
              <w:t>Examples of TSM improvements include:</w:t>
            </w:r>
          </w:p>
          <w:p w:rsidR="00225952" w:rsidRPr="0070630A" w:rsidRDefault="00225952" w:rsidP="00AD2D7A">
            <w:pPr>
              <w:pStyle w:val="BulletA"/>
              <w:numPr>
                <w:ilvl w:val="0"/>
                <w:numId w:val="149"/>
              </w:numPr>
            </w:pPr>
            <w:r w:rsidRPr="0070630A">
              <w:t>Add intersection turning lanes</w:t>
            </w:r>
          </w:p>
          <w:p w:rsidR="00225952" w:rsidRPr="0070630A" w:rsidRDefault="00225952" w:rsidP="00AD2D7A">
            <w:pPr>
              <w:pStyle w:val="BulletA"/>
              <w:numPr>
                <w:ilvl w:val="0"/>
                <w:numId w:val="149"/>
              </w:numPr>
            </w:pPr>
            <w:r w:rsidRPr="0070630A">
              <w:t>Improve intersection channelization</w:t>
            </w:r>
          </w:p>
          <w:p w:rsidR="00225952" w:rsidRPr="0070630A" w:rsidRDefault="00225952" w:rsidP="00AD2D7A">
            <w:pPr>
              <w:pStyle w:val="BulletA"/>
              <w:numPr>
                <w:ilvl w:val="0"/>
                <w:numId w:val="149"/>
              </w:numPr>
            </w:pPr>
            <w:r w:rsidRPr="0070630A">
              <w:t>Modify traffic signals phasing or timing</w:t>
            </w:r>
          </w:p>
          <w:p w:rsidR="00225952" w:rsidRPr="0070630A" w:rsidRDefault="00225952" w:rsidP="00AD2D7A">
            <w:pPr>
              <w:pStyle w:val="BulletA"/>
              <w:numPr>
                <w:ilvl w:val="0"/>
                <w:numId w:val="149"/>
              </w:numPr>
            </w:pPr>
            <w:r w:rsidRPr="0070630A">
              <w:t>Improve signal progression</w:t>
            </w:r>
          </w:p>
          <w:p w:rsidR="00225952" w:rsidRPr="0070630A" w:rsidRDefault="00225952" w:rsidP="00AD2D7A">
            <w:pPr>
              <w:pStyle w:val="BulletA"/>
              <w:numPr>
                <w:ilvl w:val="0"/>
                <w:numId w:val="149"/>
              </w:numPr>
            </w:pPr>
            <w:r w:rsidRPr="0070630A">
              <w:t>Implement Ramp metering</w:t>
            </w:r>
          </w:p>
          <w:p w:rsidR="00225952" w:rsidRPr="0070630A" w:rsidRDefault="00225952" w:rsidP="00AD2D7A">
            <w:pPr>
              <w:pStyle w:val="BulletA"/>
              <w:numPr>
                <w:ilvl w:val="0"/>
                <w:numId w:val="149"/>
              </w:numPr>
            </w:pPr>
            <w:r w:rsidRPr="0070630A">
              <w:t>Add an auxiliary lane along a freeway</w:t>
            </w:r>
          </w:p>
          <w:p w:rsidR="00225952" w:rsidRPr="0070630A" w:rsidRDefault="00225952" w:rsidP="00AD2D7A">
            <w:pPr>
              <w:pStyle w:val="BulletA"/>
              <w:numPr>
                <w:ilvl w:val="0"/>
                <w:numId w:val="149"/>
              </w:numPr>
            </w:pPr>
            <w:r w:rsidRPr="0070630A">
              <w:t xml:space="preserve">Modify an interchange </w:t>
            </w:r>
            <w:r w:rsidRPr="00EC1D56">
              <w:rPr>
                <w:sz w:val="20"/>
              </w:rPr>
              <w:t>(If an interchange with a freeway is proposed, these improvements require compliance with the analysis process, criteria, policies and standards set forth in FDOT’s</w:t>
            </w:r>
            <w:hyperlink r:id="rId364" w:history="1">
              <w:r w:rsidRPr="00EC1D56">
                <w:rPr>
                  <w:rStyle w:val="Hyperlink"/>
                  <w:sz w:val="20"/>
                </w:rPr>
                <w:t xml:space="preserve"> Interchange Handbook</w:t>
              </w:r>
            </w:hyperlink>
            <w:r w:rsidRPr="00EC1D56">
              <w:rPr>
                <w:sz w:val="20"/>
              </w:rPr>
              <w:t>)</w:t>
            </w:r>
          </w:p>
          <w:p w:rsidR="00225952" w:rsidRPr="0070630A" w:rsidRDefault="00225952" w:rsidP="00AD2D7A">
            <w:pPr>
              <w:pStyle w:val="BulletA"/>
              <w:numPr>
                <w:ilvl w:val="0"/>
                <w:numId w:val="149"/>
              </w:numPr>
            </w:pPr>
            <w:r w:rsidRPr="0070630A">
              <w:t>Implement incident management programs</w:t>
            </w:r>
          </w:p>
          <w:p w:rsidR="00225952" w:rsidRPr="0070630A" w:rsidRDefault="00225952" w:rsidP="00AD2D7A">
            <w:pPr>
              <w:pStyle w:val="BulletA"/>
              <w:numPr>
                <w:ilvl w:val="0"/>
                <w:numId w:val="149"/>
              </w:numPr>
            </w:pPr>
            <w:r w:rsidRPr="0070630A">
              <w:t>Implement traveler information systems</w:t>
            </w:r>
          </w:p>
          <w:p w:rsidR="00225952" w:rsidRPr="0070630A" w:rsidRDefault="00225952" w:rsidP="00AD2D7A">
            <w:pPr>
              <w:pStyle w:val="BulletA"/>
              <w:numPr>
                <w:ilvl w:val="0"/>
                <w:numId w:val="149"/>
              </w:numPr>
            </w:pPr>
            <w:r w:rsidRPr="0070630A">
              <w:t>Implement intelligent transportation systems (ITS)</w:t>
            </w:r>
          </w:p>
          <w:p w:rsidR="00225952" w:rsidRPr="0070630A" w:rsidRDefault="00225952">
            <w:r w:rsidRPr="0070630A">
              <w:lastRenderedPageBreak/>
              <w:t>TSM methodologies such as developing an advanced traffic management system can be considered a regional large scale mitigation strategy, which individual developments participate in funding.</w:t>
            </w:r>
          </w:p>
        </w:tc>
      </w:tr>
      <w:tr w:rsidR="00225952" w:rsidRPr="00760C62" w:rsidTr="0040766A">
        <w:tc>
          <w:tcPr>
            <w:tcW w:w="2455" w:type="dxa"/>
          </w:tcPr>
          <w:p w:rsidR="00225952" w:rsidRPr="00932717" w:rsidRDefault="007920DE" w:rsidP="00225952">
            <w:pPr>
              <w:pStyle w:val="Heading4"/>
            </w:pPr>
            <w:r>
              <w:rPr>
                <w:b w:val="0"/>
                <w:bCs w:val="0"/>
              </w:rPr>
              <w:lastRenderedPageBreak/>
              <w:br w:type="page"/>
            </w:r>
            <w:r w:rsidR="00225952" w:rsidRPr="00932717">
              <w:rPr>
                <w:bCs w:val="0"/>
                <w:color w:val="auto"/>
              </w:rPr>
              <w:br w:type="page"/>
            </w:r>
            <w:r w:rsidR="00225952" w:rsidRPr="00932717">
              <w:t>Enhancements for Use of HOV or Transit</w:t>
            </w:r>
          </w:p>
        </w:tc>
        <w:tc>
          <w:tcPr>
            <w:tcW w:w="7913" w:type="dxa"/>
          </w:tcPr>
          <w:p w:rsidR="00225952" w:rsidRDefault="00225952" w:rsidP="00225952">
            <w:r w:rsidRPr="00932717">
              <w:t>Enhancements for the use of transit or high occupancy vehicle</w:t>
            </w:r>
            <w:r>
              <w:t xml:space="preserve"> </w:t>
            </w:r>
            <w:r w:rsidRPr="00932717">
              <w:t xml:space="preserve">(HOV) lanes can alleviate traffic impacts by resulting in an increase in transit use and reducing the number of single occupant vehicle trips (SOV) thereby reducing the number of primary vehicle trips on the roadway system. These improvements should be evaluated carefully by FDOT and changes in mode split should be supported by the developer based on data collected on projects of similar intensity and use. In addition FDOT should work with local governments and MPOs to build these strategies into local and regional plans. HOV and transit operations improvements can be considered as either localized or regional mitigation strategies depending on the scale of the projects. </w:t>
            </w:r>
          </w:p>
          <w:p w:rsidR="00225952" w:rsidRPr="00932717" w:rsidRDefault="00225952" w:rsidP="007920DE">
            <w:pPr>
              <w:spacing w:after="60"/>
            </w:pPr>
            <w:r w:rsidRPr="00932717">
              <w:t>Some of the strategies that may be appropriate for mitigation include:</w:t>
            </w:r>
          </w:p>
          <w:p w:rsidR="00225952" w:rsidRPr="00932717" w:rsidRDefault="00225952" w:rsidP="00AD2D7A">
            <w:pPr>
              <w:numPr>
                <w:ilvl w:val="0"/>
                <w:numId w:val="61"/>
              </w:numPr>
              <w:autoSpaceDE w:val="0"/>
              <w:autoSpaceDN w:val="0"/>
              <w:adjustRightInd w:val="0"/>
              <w:spacing w:after="60" w:line="240" w:lineRule="auto"/>
              <w:rPr>
                <w:szCs w:val="23"/>
              </w:rPr>
            </w:pPr>
            <w:r w:rsidRPr="00932717">
              <w:rPr>
                <w:szCs w:val="23"/>
              </w:rPr>
              <w:t>Construction of park and ride lots</w:t>
            </w:r>
          </w:p>
          <w:p w:rsidR="00225952" w:rsidRPr="00932717" w:rsidRDefault="00225952" w:rsidP="00AD2D7A">
            <w:pPr>
              <w:numPr>
                <w:ilvl w:val="0"/>
                <w:numId w:val="61"/>
              </w:numPr>
              <w:autoSpaceDE w:val="0"/>
              <w:autoSpaceDN w:val="0"/>
              <w:adjustRightInd w:val="0"/>
              <w:spacing w:after="60" w:line="240" w:lineRule="auto"/>
              <w:rPr>
                <w:szCs w:val="23"/>
              </w:rPr>
            </w:pPr>
            <w:r w:rsidRPr="00932717">
              <w:rPr>
                <w:szCs w:val="23"/>
              </w:rPr>
              <w:t>Construction of bus shelters, turn-outs, etc.</w:t>
            </w:r>
          </w:p>
          <w:p w:rsidR="00225952" w:rsidRPr="00932717" w:rsidRDefault="00225952" w:rsidP="00AD2D7A">
            <w:pPr>
              <w:numPr>
                <w:ilvl w:val="0"/>
                <w:numId w:val="61"/>
              </w:numPr>
              <w:autoSpaceDE w:val="0"/>
              <w:autoSpaceDN w:val="0"/>
              <w:adjustRightInd w:val="0"/>
              <w:spacing w:after="60" w:line="240" w:lineRule="auto"/>
              <w:rPr>
                <w:szCs w:val="23"/>
              </w:rPr>
            </w:pPr>
            <w:r w:rsidRPr="00932717">
              <w:rPr>
                <w:szCs w:val="23"/>
              </w:rPr>
              <w:t>Construction of HOV access ramps</w:t>
            </w:r>
          </w:p>
          <w:p w:rsidR="00225952" w:rsidRPr="00932717" w:rsidRDefault="00225952" w:rsidP="00AD2D7A">
            <w:pPr>
              <w:numPr>
                <w:ilvl w:val="0"/>
                <w:numId w:val="61"/>
              </w:numPr>
              <w:autoSpaceDE w:val="0"/>
              <w:autoSpaceDN w:val="0"/>
              <w:adjustRightInd w:val="0"/>
              <w:spacing w:after="60" w:line="240" w:lineRule="auto"/>
              <w:rPr>
                <w:szCs w:val="23"/>
              </w:rPr>
            </w:pPr>
            <w:r w:rsidRPr="00932717">
              <w:rPr>
                <w:szCs w:val="23"/>
              </w:rPr>
              <w:t>Implementation of HOV priority lanes at ramp metering and intersections</w:t>
            </w:r>
          </w:p>
          <w:p w:rsidR="00225952" w:rsidRPr="00932717" w:rsidRDefault="00225952" w:rsidP="00AD2D7A">
            <w:pPr>
              <w:numPr>
                <w:ilvl w:val="0"/>
                <w:numId w:val="61"/>
              </w:numPr>
              <w:autoSpaceDE w:val="0"/>
              <w:autoSpaceDN w:val="0"/>
              <w:adjustRightInd w:val="0"/>
              <w:spacing w:after="60" w:line="240" w:lineRule="auto"/>
              <w:rPr>
                <w:szCs w:val="23"/>
              </w:rPr>
            </w:pPr>
            <w:r w:rsidRPr="00932717">
              <w:rPr>
                <w:szCs w:val="23"/>
              </w:rPr>
              <w:t>Operational funding for transit</w:t>
            </w:r>
          </w:p>
          <w:p w:rsidR="00225952" w:rsidRPr="00EF0043" w:rsidRDefault="00225952" w:rsidP="00AD2D7A">
            <w:pPr>
              <w:numPr>
                <w:ilvl w:val="0"/>
                <w:numId w:val="61"/>
              </w:numPr>
              <w:autoSpaceDE w:val="0"/>
              <w:autoSpaceDN w:val="0"/>
              <w:adjustRightInd w:val="0"/>
              <w:spacing w:after="60" w:line="240" w:lineRule="auto"/>
              <w:rPr>
                <w:szCs w:val="23"/>
              </w:rPr>
            </w:pPr>
            <w:r w:rsidRPr="00932717">
              <w:rPr>
                <w:szCs w:val="23"/>
              </w:rPr>
              <w:t>incorporating site design principles to facilitate transit</w:t>
            </w:r>
          </w:p>
          <w:p w:rsidR="00225952" w:rsidRPr="00932717" w:rsidRDefault="00225952" w:rsidP="00AD2D7A">
            <w:pPr>
              <w:numPr>
                <w:ilvl w:val="0"/>
                <w:numId w:val="61"/>
              </w:numPr>
              <w:autoSpaceDE w:val="0"/>
              <w:autoSpaceDN w:val="0"/>
              <w:adjustRightInd w:val="0"/>
              <w:spacing w:after="240" w:line="240" w:lineRule="auto"/>
            </w:pPr>
            <w:r w:rsidRPr="00EF0043">
              <w:rPr>
                <w:szCs w:val="23"/>
              </w:rPr>
              <w:t>Add passing lanes so that transit vehicles can bypass congestion hotspots</w:t>
            </w:r>
          </w:p>
        </w:tc>
      </w:tr>
      <w:tr w:rsidR="00225952" w:rsidRPr="00760C62" w:rsidTr="0040766A">
        <w:tc>
          <w:tcPr>
            <w:tcW w:w="2455" w:type="dxa"/>
          </w:tcPr>
          <w:p w:rsidR="00225952" w:rsidRPr="00932717" w:rsidRDefault="00225952" w:rsidP="00225952">
            <w:pPr>
              <w:pStyle w:val="Heading4"/>
            </w:pPr>
            <w:r w:rsidRPr="00932717">
              <w:t>Public Transit Operational Improvements</w:t>
            </w:r>
          </w:p>
        </w:tc>
        <w:tc>
          <w:tcPr>
            <w:tcW w:w="7913" w:type="dxa"/>
          </w:tcPr>
          <w:p w:rsidR="00225952" w:rsidRPr="00932717" w:rsidRDefault="00225952" w:rsidP="00225952">
            <w:r w:rsidRPr="00932717">
              <w:t>Public transit operational improvement strategies are also strategies that are intended to reduce the amount of primary-trip vehicles on the transportation network by changing the mode split. These strategies are encouraged; however, they should be carefully evaluated to ensure that the proposed changes in mode split are realistic. Additionally, it should be ensured that local transit agencies support the change in transit service and are committed to the proposed changes associated with the proposal. Examples of public transit operational improvements that may be appropriate for mitigation include new or more frequent service and employer subsidized transit.</w:t>
            </w:r>
          </w:p>
        </w:tc>
      </w:tr>
    </w:tbl>
    <w:p w:rsidR="0040766A" w:rsidRDefault="0040766A">
      <w:bookmarkStart w:id="335" w:name="_Toc232912689"/>
      <w:r>
        <w:rPr>
          <w:b/>
          <w:bCs/>
        </w:rPr>
        <w:br w:type="page"/>
      </w:r>
    </w:p>
    <w:tbl>
      <w:tblPr>
        <w:tblW w:w="10375" w:type="dxa"/>
        <w:tblLayout w:type="fixed"/>
        <w:tblLook w:val="0000"/>
      </w:tblPr>
      <w:tblGrid>
        <w:gridCol w:w="2455"/>
        <w:gridCol w:w="7920"/>
      </w:tblGrid>
      <w:tr w:rsidR="00225952" w:rsidRPr="00380CF5" w:rsidTr="00225952">
        <w:tc>
          <w:tcPr>
            <w:tcW w:w="10375" w:type="dxa"/>
            <w:gridSpan w:val="2"/>
          </w:tcPr>
          <w:p w:rsidR="00225952" w:rsidRPr="006748CC" w:rsidRDefault="00F77AF3" w:rsidP="00225952">
            <w:pPr>
              <w:pStyle w:val="Heading3"/>
            </w:pPr>
            <w:bookmarkStart w:id="336" w:name="_Toc264274180"/>
            <w:r>
              <w:lastRenderedPageBreak/>
              <w:t>5.3</w:t>
            </w:r>
            <w:r w:rsidR="00225952">
              <w:t xml:space="preserve">.2. </w:t>
            </w:r>
            <w:r w:rsidR="00225952" w:rsidRPr="006748CC">
              <w:t>Increasing Other Modal Options</w:t>
            </w:r>
            <w:bookmarkEnd w:id="335"/>
            <w:bookmarkEnd w:id="336"/>
          </w:p>
        </w:tc>
      </w:tr>
      <w:tr w:rsidR="00225952" w:rsidRPr="00380CF5" w:rsidTr="00225952">
        <w:tc>
          <w:tcPr>
            <w:tcW w:w="2455" w:type="dxa"/>
          </w:tcPr>
          <w:p w:rsidR="00225952" w:rsidRPr="006748CC" w:rsidRDefault="00225952" w:rsidP="00CC002A">
            <w:pPr>
              <w:spacing w:before="120"/>
            </w:pPr>
            <w:r w:rsidRPr="00CC002A">
              <w:rPr>
                <w:noProof/>
              </w:rPr>
              <w:drawing>
                <wp:inline distT="0" distB="0" distL="0" distR="0">
                  <wp:extent cx="1371600" cy="1323975"/>
                  <wp:effectExtent l="19050" t="0" r="0" b="0"/>
                  <wp:docPr id="533" name="Picture 31" descr="CH5Op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H5Options.png"/>
                          <pic:cNvPicPr>
                            <a:picLocks noChangeAspect="1" noChangeArrowheads="1"/>
                          </pic:cNvPicPr>
                        </pic:nvPicPr>
                        <pic:blipFill>
                          <a:blip r:embed="rId365" cstate="print"/>
                          <a:srcRect/>
                          <a:stretch>
                            <a:fillRect/>
                          </a:stretch>
                        </pic:blipFill>
                        <pic:spPr bwMode="auto">
                          <a:xfrm>
                            <a:off x="0" y="0"/>
                            <a:ext cx="1371600" cy="1323975"/>
                          </a:xfrm>
                          <a:prstGeom prst="rect">
                            <a:avLst/>
                          </a:prstGeom>
                          <a:noFill/>
                          <a:ln w="9525">
                            <a:noFill/>
                            <a:miter lim="800000"/>
                            <a:headEnd/>
                            <a:tailEnd/>
                          </a:ln>
                        </pic:spPr>
                      </pic:pic>
                    </a:graphicData>
                  </a:graphic>
                </wp:inline>
              </w:drawing>
            </w:r>
          </w:p>
        </w:tc>
        <w:tc>
          <w:tcPr>
            <w:tcW w:w="7920" w:type="dxa"/>
          </w:tcPr>
          <w:p w:rsidR="00225952" w:rsidRPr="00E86E6D" w:rsidRDefault="00225952" w:rsidP="00225952">
            <w:pPr>
              <w:spacing w:after="120"/>
            </w:pPr>
            <w:r w:rsidRPr="00E86E6D">
              <w:t>Another strategy for ensuring the long-term viability of the transportation network is mitigation that increase</w:t>
            </w:r>
            <w:r>
              <w:t>s</w:t>
            </w:r>
            <w:r w:rsidRPr="00E86E6D">
              <w:t xml:space="preserve"> mode choice. </w:t>
            </w:r>
            <w:r>
              <w:t xml:space="preserve"> All mitigation options utilizing non-automobile modes must be firmly rooted in local government comprehensive plans. </w:t>
            </w:r>
            <w:r w:rsidRPr="00E86E6D">
              <w:t>Options for increasing mode choice are discussed below, and include:</w:t>
            </w:r>
          </w:p>
          <w:p w:rsidR="00225952" w:rsidRPr="00E86E6D" w:rsidRDefault="00225952" w:rsidP="00AD2D7A">
            <w:pPr>
              <w:pStyle w:val="TIHBullet"/>
              <w:numPr>
                <w:ilvl w:val="0"/>
                <w:numId w:val="62"/>
              </w:numPr>
              <w:spacing w:after="60"/>
              <w:rPr>
                <w:rFonts w:ascii="Calibri" w:hAnsi="Calibri"/>
                <w:sz w:val="23"/>
                <w:szCs w:val="23"/>
              </w:rPr>
            </w:pPr>
            <w:r w:rsidRPr="00E86E6D">
              <w:rPr>
                <w:rFonts w:ascii="Calibri" w:hAnsi="Calibri"/>
                <w:sz w:val="23"/>
                <w:szCs w:val="23"/>
              </w:rPr>
              <w:t>Transit Oriented Development (TOD)</w:t>
            </w:r>
          </w:p>
          <w:p w:rsidR="00225952" w:rsidRPr="00E86E6D" w:rsidRDefault="00225952" w:rsidP="00AD2D7A">
            <w:pPr>
              <w:pStyle w:val="TIHBullet"/>
              <w:numPr>
                <w:ilvl w:val="0"/>
                <w:numId w:val="62"/>
              </w:numPr>
              <w:spacing w:after="60"/>
              <w:rPr>
                <w:rFonts w:ascii="Calibri" w:hAnsi="Calibri"/>
                <w:sz w:val="23"/>
                <w:szCs w:val="23"/>
              </w:rPr>
            </w:pPr>
            <w:r w:rsidRPr="00E86E6D">
              <w:rPr>
                <w:rFonts w:ascii="Calibri" w:hAnsi="Calibri"/>
                <w:sz w:val="23"/>
                <w:szCs w:val="23"/>
              </w:rPr>
              <w:t xml:space="preserve">Providing </w:t>
            </w:r>
            <w:r>
              <w:rPr>
                <w:rFonts w:ascii="Calibri" w:hAnsi="Calibri"/>
                <w:sz w:val="23"/>
                <w:szCs w:val="23"/>
              </w:rPr>
              <w:t xml:space="preserve">Better </w:t>
            </w:r>
            <w:r w:rsidRPr="00E86E6D">
              <w:rPr>
                <w:rFonts w:ascii="Calibri" w:hAnsi="Calibri"/>
                <w:sz w:val="23"/>
                <w:szCs w:val="23"/>
              </w:rPr>
              <w:t>Transit Options</w:t>
            </w:r>
          </w:p>
          <w:p w:rsidR="00225952" w:rsidRPr="00DA7708" w:rsidRDefault="00225952" w:rsidP="00AD2D7A">
            <w:pPr>
              <w:pStyle w:val="TIHBullet"/>
              <w:numPr>
                <w:ilvl w:val="0"/>
                <w:numId w:val="62"/>
              </w:numPr>
              <w:rPr>
                <w:rFonts w:ascii="Calibri" w:hAnsi="Calibri"/>
                <w:sz w:val="23"/>
                <w:szCs w:val="23"/>
              </w:rPr>
            </w:pPr>
            <w:r w:rsidRPr="00E86E6D">
              <w:rPr>
                <w:rFonts w:ascii="Calibri" w:hAnsi="Calibri"/>
                <w:sz w:val="23"/>
                <w:szCs w:val="23"/>
              </w:rPr>
              <w:t>Bicycle/Pedestrian Connectivity</w:t>
            </w:r>
          </w:p>
        </w:tc>
      </w:tr>
      <w:tr w:rsidR="00225952" w:rsidRPr="00380CF5" w:rsidTr="00225952">
        <w:tc>
          <w:tcPr>
            <w:tcW w:w="2455" w:type="dxa"/>
          </w:tcPr>
          <w:p w:rsidR="00225952" w:rsidRPr="00321534" w:rsidRDefault="00225952" w:rsidP="00225952">
            <w:pPr>
              <w:pStyle w:val="Heading4"/>
            </w:pPr>
            <w:r w:rsidRPr="00321534">
              <w:t>Transit Oriented Development</w:t>
            </w:r>
          </w:p>
        </w:tc>
        <w:tc>
          <w:tcPr>
            <w:tcW w:w="7920" w:type="dxa"/>
          </w:tcPr>
          <w:p w:rsidR="00225952" w:rsidRPr="00321534" w:rsidRDefault="00225952" w:rsidP="00225952">
            <w:r w:rsidRPr="00321534">
              <w:t xml:space="preserve">Another method for addressing congestion on FIHS, SIS, and TRIP-funded facilities is through the promotion of land uses that are supportive of transit. To implement these strategies, local governments should refine comprehensive plans land development codes to include transit supportive design criteria, such as density and intensity ranges, as part of the development standards. FDOT planners and decision makers can then support these efforts in partnership with local governments. FDOT’s </w:t>
            </w:r>
            <w:hyperlink r:id="rId366" w:history="1">
              <w:r w:rsidRPr="00321534">
                <w:rPr>
                  <w:rStyle w:val="Hyperlink"/>
                  <w:rFonts w:cs="BookAntiqua"/>
                  <w:szCs w:val="23"/>
                </w:rPr>
                <w:t>Transit Oriented Development Design Guidance</w:t>
              </w:r>
            </w:hyperlink>
            <w:r w:rsidRPr="00321534">
              <w:t xml:space="preserve"> and </w:t>
            </w:r>
            <w:hyperlink r:id="rId367" w:history="1">
              <w:r w:rsidRPr="00321534">
                <w:rPr>
                  <w:rStyle w:val="Hyperlink"/>
                  <w:rFonts w:cs="BookAntiqua"/>
                  <w:szCs w:val="23"/>
                </w:rPr>
                <w:t>Accessing Transit Design Handbook for Florida Bus Passenger Facilities</w:t>
              </w:r>
            </w:hyperlink>
            <w:r w:rsidRPr="00321534">
              <w:t xml:space="preserve"> contain guidance on design features, safety issues, and land use strategies that promote TODs.</w:t>
            </w:r>
          </w:p>
        </w:tc>
      </w:tr>
      <w:tr w:rsidR="00225952" w:rsidRPr="00380CF5" w:rsidTr="00225952">
        <w:tc>
          <w:tcPr>
            <w:tcW w:w="2455" w:type="dxa"/>
          </w:tcPr>
          <w:p w:rsidR="00225952" w:rsidRDefault="00225952" w:rsidP="00225952">
            <w:pPr>
              <w:pStyle w:val="Heading4"/>
            </w:pPr>
            <w:r w:rsidRPr="00321534">
              <w:t>Provide Transit Options</w:t>
            </w:r>
          </w:p>
          <w:p w:rsidR="0040766A" w:rsidRDefault="0040766A" w:rsidP="0040766A"/>
          <w:p w:rsidR="0040766A" w:rsidRDefault="0040766A" w:rsidP="0040766A"/>
          <w:p w:rsidR="0040766A" w:rsidRDefault="0040766A" w:rsidP="0040766A"/>
          <w:p w:rsidR="0040766A" w:rsidRDefault="0040766A" w:rsidP="0040766A"/>
          <w:p w:rsidR="0040766A" w:rsidRPr="0040766A" w:rsidRDefault="0040766A" w:rsidP="0040766A">
            <w:pPr>
              <w:pStyle w:val="HeadSide20"/>
              <w:spacing w:after="0"/>
              <w:jc w:val="center"/>
            </w:pPr>
            <w:r w:rsidRPr="0040766A">
              <w:rPr>
                <w:noProof/>
              </w:rPr>
              <w:drawing>
                <wp:inline distT="0" distB="0" distL="0" distR="0">
                  <wp:extent cx="1419225" cy="552450"/>
                  <wp:effectExtent l="0" t="0" r="0" b="0"/>
                  <wp:docPr id="236" name="Picture 57" descr="button_PDFlink.png">
                    <a:hlinkClick xmlns:a="http://schemas.openxmlformats.org/drawingml/2006/main" r:id="rId3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button_PDFlink.png"/>
                          <pic:cNvPicPr>
                            <a:picLocks noChangeAspect="1" noChangeArrowheads="1"/>
                          </pic:cNvPicPr>
                        </pic:nvPicPr>
                        <pic:blipFill>
                          <a:blip r:embed="rId15" cstate="print"/>
                          <a:srcRect/>
                          <a:stretch>
                            <a:fillRect/>
                          </a:stretch>
                        </pic:blipFill>
                        <pic:spPr bwMode="auto">
                          <a:xfrm>
                            <a:off x="0" y="0"/>
                            <a:ext cx="1419225" cy="552450"/>
                          </a:xfrm>
                          <a:prstGeom prst="rect">
                            <a:avLst/>
                          </a:prstGeom>
                          <a:noFill/>
                          <a:ln w="9525">
                            <a:noFill/>
                            <a:miter lim="800000"/>
                            <a:headEnd/>
                            <a:tailEnd/>
                          </a:ln>
                        </pic:spPr>
                      </pic:pic>
                    </a:graphicData>
                  </a:graphic>
                </wp:inline>
              </w:drawing>
            </w:r>
            <w:r>
              <w:t>Transit Operations</w:t>
            </w:r>
          </w:p>
        </w:tc>
        <w:tc>
          <w:tcPr>
            <w:tcW w:w="7920" w:type="dxa"/>
          </w:tcPr>
          <w:p w:rsidR="00225952" w:rsidRPr="00321534" w:rsidRDefault="00225952" w:rsidP="00225952">
            <w:r w:rsidRPr="00321534">
              <w:t>Transit options are an important consideration in developing any mitigation strategy in urbanized areas whether they are DULAs, TCEAs, TCMAs, MMTDs or other transportation concurrency exceptions. All transit options should be included in transit agency TDPs and LGCPs. Implementing this strategy requires early and continuous coordination with transit agency representatives, such as MPOs in addition to local governments, in the development of the mobility plan. Consideration of funding mechanisms to maintain operational costs of the system is needed to create cost feasible solutions.</w:t>
            </w:r>
          </w:p>
          <w:p w:rsidR="00225952" w:rsidRPr="00321534" w:rsidRDefault="00225952" w:rsidP="00225952">
            <w:pPr>
              <w:rPr>
                <w:color w:val="000000"/>
              </w:rPr>
            </w:pPr>
            <w:r w:rsidRPr="00321534">
              <w:t xml:space="preserve">The report, </w:t>
            </w:r>
            <w:hyperlink r:id="rId368" w:history="1">
              <w:r w:rsidRPr="00321534">
                <w:rPr>
                  <w:rStyle w:val="Hyperlink"/>
                  <w:iCs/>
                  <w:szCs w:val="23"/>
                </w:rPr>
                <w:t>Land Developer Participation in Providing for Bus Transit Facilities</w:t>
              </w:r>
              <w:r w:rsidRPr="00321534">
                <w:rPr>
                  <w:rStyle w:val="Hyperlink"/>
                  <w:szCs w:val="23"/>
                </w:rPr>
                <w:t>/</w:t>
              </w:r>
              <w:r w:rsidRPr="00321534">
                <w:rPr>
                  <w:rStyle w:val="Hyperlink"/>
                  <w:iCs/>
                  <w:szCs w:val="23"/>
                </w:rPr>
                <w:t>Operations</w:t>
              </w:r>
            </w:hyperlink>
            <w:r w:rsidRPr="00321534">
              <w:rPr>
                <w:i/>
                <w:iCs/>
                <w:color w:val="000000"/>
              </w:rPr>
              <w:t xml:space="preserve"> </w:t>
            </w:r>
            <w:r w:rsidRPr="00321534">
              <w:rPr>
                <w:color w:val="000000"/>
              </w:rPr>
              <w:t xml:space="preserve"> documents various strategies that Florida’s local governments and transit agencies can use to generate public transportation funding through the involvement of private developers. Local and national case studies highlight application of these strategies. Suggestions are designed for use within the framework of local government comprehensive plans, land development codes, and transit development plans, and call for increased coordination and cooperation between local governments and transit. FDOT planners and decision makers may also become involved in this process as development impacts FIHS, SIS, and TRIP-funded facilities, and should work on establishing coordination efforts to plan for transit options for mitigation.</w:t>
            </w:r>
          </w:p>
        </w:tc>
      </w:tr>
      <w:tr w:rsidR="00225952" w:rsidRPr="00380CF5" w:rsidTr="00225952">
        <w:tc>
          <w:tcPr>
            <w:tcW w:w="2455" w:type="dxa"/>
          </w:tcPr>
          <w:p w:rsidR="0040766A" w:rsidRDefault="00225952" w:rsidP="0040766A">
            <w:pPr>
              <w:pStyle w:val="Heading4"/>
            </w:pPr>
            <w:r w:rsidRPr="00321534">
              <w:lastRenderedPageBreak/>
              <w:t>Bicycle/Pedestrian Connectivity</w:t>
            </w:r>
          </w:p>
          <w:p w:rsidR="0040766A" w:rsidRDefault="0040766A" w:rsidP="0040766A"/>
          <w:p w:rsidR="0040766A" w:rsidRDefault="0040766A" w:rsidP="0040766A"/>
          <w:p w:rsidR="0040766A" w:rsidRDefault="0040766A" w:rsidP="0040766A"/>
          <w:p w:rsidR="0040766A" w:rsidRPr="0040766A" w:rsidRDefault="0040766A" w:rsidP="0040766A">
            <w:pPr>
              <w:spacing w:after="0"/>
            </w:pPr>
            <w:r w:rsidRPr="0040766A">
              <w:rPr>
                <w:noProof/>
              </w:rPr>
              <w:drawing>
                <wp:inline distT="0" distB="0" distL="0" distR="0">
                  <wp:extent cx="1419225" cy="552450"/>
                  <wp:effectExtent l="0" t="0" r="0" b="0"/>
                  <wp:docPr id="544" name="Picture 57" descr="button_PDFlink.png">
                    <a:hlinkClick xmlns:a="http://schemas.openxmlformats.org/drawingml/2006/main" r:id="rId3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button_PDFlink.png"/>
                          <pic:cNvPicPr>
                            <a:picLocks noChangeAspect="1" noChangeArrowheads="1"/>
                          </pic:cNvPicPr>
                        </pic:nvPicPr>
                        <pic:blipFill>
                          <a:blip r:embed="rId15" cstate="print"/>
                          <a:srcRect/>
                          <a:stretch>
                            <a:fillRect/>
                          </a:stretch>
                        </pic:blipFill>
                        <pic:spPr bwMode="auto">
                          <a:xfrm>
                            <a:off x="0" y="0"/>
                            <a:ext cx="1419225" cy="552450"/>
                          </a:xfrm>
                          <a:prstGeom prst="rect">
                            <a:avLst/>
                          </a:prstGeom>
                          <a:noFill/>
                          <a:ln w="9525">
                            <a:noFill/>
                            <a:miter lim="800000"/>
                            <a:headEnd/>
                            <a:tailEnd/>
                          </a:ln>
                        </pic:spPr>
                      </pic:pic>
                    </a:graphicData>
                  </a:graphic>
                </wp:inline>
              </w:drawing>
            </w:r>
          </w:p>
          <w:p w:rsidR="0040766A" w:rsidRDefault="0040766A" w:rsidP="0040766A">
            <w:pPr>
              <w:pStyle w:val="HeadSide20"/>
              <w:jc w:val="center"/>
            </w:pPr>
            <w:r>
              <w:t>Multimodal Transportation Districts</w:t>
            </w:r>
          </w:p>
          <w:p w:rsidR="0040766A" w:rsidRDefault="0040766A" w:rsidP="0040766A"/>
          <w:p w:rsidR="0040766A" w:rsidRDefault="0040766A" w:rsidP="0040766A"/>
          <w:p w:rsidR="0040766A" w:rsidRDefault="0040766A" w:rsidP="0040766A">
            <w:pPr>
              <w:spacing w:after="0"/>
            </w:pPr>
            <w:r w:rsidRPr="0040766A">
              <w:rPr>
                <w:noProof/>
              </w:rPr>
              <w:drawing>
                <wp:inline distT="0" distB="0" distL="0" distR="0">
                  <wp:extent cx="1419225" cy="552450"/>
                  <wp:effectExtent l="0" t="0" r="0" b="0"/>
                  <wp:docPr id="237" name="Picture 57" descr="button_PDFlink.png">
                    <a:hlinkClick xmlns:a="http://schemas.openxmlformats.org/drawingml/2006/main" r:id="rId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button_PDFlink.png"/>
                          <pic:cNvPicPr>
                            <a:picLocks noChangeAspect="1" noChangeArrowheads="1"/>
                          </pic:cNvPicPr>
                        </pic:nvPicPr>
                        <pic:blipFill>
                          <a:blip r:embed="rId15" cstate="print"/>
                          <a:srcRect/>
                          <a:stretch>
                            <a:fillRect/>
                          </a:stretch>
                        </pic:blipFill>
                        <pic:spPr bwMode="auto">
                          <a:xfrm>
                            <a:off x="0" y="0"/>
                            <a:ext cx="1419225" cy="552450"/>
                          </a:xfrm>
                          <a:prstGeom prst="rect">
                            <a:avLst/>
                          </a:prstGeom>
                          <a:noFill/>
                          <a:ln w="9525">
                            <a:noFill/>
                            <a:miter lim="800000"/>
                            <a:headEnd/>
                            <a:tailEnd/>
                          </a:ln>
                        </pic:spPr>
                      </pic:pic>
                    </a:graphicData>
                  </a:graphic>
                </wp:inline>
              </w:drawing>
            </w:r>
          </w:p>
          <w:p w:rsidR="0040766A" w:rsidRPr="0040766A" w:rsidRDefault="0040766A" w:rsidP="0040766A">
            <w:pPr>
              <w:pStyle w:val="HeadSide20"/>
              <w:jc w:val="center"/>
            </w:pPr>
            <w:r>
              <w:t>Model Regulations</w:t>
            </w:r>
          </w:p>
        </w:tc>
        <w:tc>
          <w:tcPr>
            <w:tcW w:w="7920" w:type="dxa"/>
          </w:tcPr>
          <w:p w:rsidR="00225952" w:rsidRPr="00321534" w:rsidRDefault="00225952" w:rsidP="00225952">
            <w:pPr>
              <w:rPr>
                <w:color w:val="000000"/>
              </w:rPr>
            </w:pPr>
            <w:r w:rsidRPr="00321534">
              <w:t xml:space="preserve">To foster the use of alternative transportation modes, connectivity for bicycle and pedestrian movement should be an integral part of any mobility plan. Although often considered the realm of local government alone, FDOT planners and decision makers should be prepared to share technical expertise in this area. Ample bicycle and pedestrian </w:t>
            </w:r>
            <w:r w:rsidRPr="00321534">
              <w:rPr>
                <w:color w:val="000000"/>
              </w:rPr>
              <w:t>connections within and between residential areas and activity centers, such as shopping areas, employment centers, transit stops, neighborhood parks, and</w:t>
            </w:r>
            <w:r w:rsidRPr="00321534">
              <w:t xml:space="preserve"> </w:t>
            </w:r>
            <w:r w:rsidRPr="00321534">
              <w:rPr>
                <w:color w:val="000000"/>
              </w:rPr>
              <w:t>schools may reduce the number of short automobile trips.</w:t>
            </w:r>
          </w:p>
          <w:p w:rsidR="00225952" w:rsidRPr="00321534" w:rsidRDefault="00225952" w:rsidP="00225952">
            <w:r w:rsidRPr="00321534">
              <w:t xml:space="preserve">A bicycle and pedestrian network comprised of a system of interconnected and direct routes can be measured by a connectivity index. One method to perform this analysis is found in FDOT’s </w:t>
            </w:r>
            <w:hyperlink r:id="rId370" w:history="1">
              <w:r w:rsidRPr="00321534">
                <w:rPr>
                  <w:rStyle w:val="Hyperlink"/>
                  <w:iCs/>
                  <w:szCs w:val="23"/>
                </w:rPr>
                <w:t>Multimodal Transportation Districts and Area-wide Quality of Service Handbook</w:t>
              </w:r>
            </w:hyperlink>
            <w:r w:rsidRPr="00321534">
              <w:t xml:space="preserve">. Missing links or gaps in the bicycle and pedestrian network should be identified and eliminated where appropriate through the development process. Missing links may include locations between cul-de-sacs, through walls or fences, mid-block where block length exceeds 660 feet, or where bicycle pedestrian routes would otherwise be “excessively” circuitous. Highest priority for improvements should be given to locations with high concentrations of pedestrian activity and where connections are needed to ensure easy access between transportation modes, with particular attention to bicycle and pedestrian access to schools, transit stops and regional greenway or trail systems. Model comprehensive plan amendment and land development regulation language can be found in </w:t>
            </w:r>
            <w:hyperlink r:id="rId371" w:history="1">
              <w:r w:rsidRPr="00321534">
                <w:rPr>
                  <w:rStyle w:val="Hyperlink"/>
                  <w:iCs/>
                  <w:szCs w:val="23"/>
                </w:rPr>
                <w:t>Model Regulations and</w:t>
              </w:r>
              <w:r w:rsidRPr="00321534">
                <w:rPr>
                  <w:rStyle w:val="Hyperlink"/>
                  <w:szCs w:val="23"/>
                </w:rPr>
                <w:t xml:space="preserve"> </w:t>
              </w:r>
              <w:r w:rsidRPr="00321534">
                <w:rPr>
                  <w:rStyle w:val="Hyperlink"/>
                  <w:iCs/>
                  <w:szCs w:val="23"/>
                </w:rPr>
                <w:t>Plan Amendments for Multimodal Transportation Districts</w:t>
              </w:r>
            </w:hyperlink>
            <w:r w:rsidRPr="00321534">
              <w:rPr>
                <w:iCs/>
              </w:rPr>
              <w:t>.</w:t>
            </w:r>
            <w:r w:rsidR="00AB455E">
              <w:rPr>
                <w:iCs/>
              </w:rPr>
              <w:tab/>
            </w:r>
            <w:r w:rsidRPr="00321534">
              <w:rPr>
                <w:i/>
                <w:iCs/>
              </w:rPr>
              <w:t xml:space="preserve"> </w:t>
            </w:r>
          </w:p>
        </w:tc>
      </w:tr>
      <w:tr w:rsidR="0040766A" w:rsidRPr="00380CF5" w:rsidTr="0040766A">
        <w:tc>
          <w:tcPr>
            <w:tcW w:w="10375" w:type="dxa"/>
            <w:gridSpan w:val="2"/>
          </w:tcPr>
          <w:p w:rsidR="0040766A" w:rsidRPr="0040766A" w:rsidRDefault="00F77AF3" w:rsidP="0040766A">
            <w:pPr>
              <w:pStyle w:val="Heading3"/>
            </w:pPr>
            <w:bookmarkStart w:id="337" w:name="_Toc232912687"/>
            <w:bookmarkStart w:id="338" w:name="_Toc264274181"/>
            <w:r>
              <w:t>5.3</w:t>
            </w:r>
            <w:r w:rsidR="0040766A">
              <w:t xml:space="preserve">.3. </w:t>
            </w:r>
            <w:r w:rsidR="0040766A" w:rsidRPr="006748CC">
              <w:t>Increasing System Capacity</w:t>
            </w:r>
            <w:bookmarkEnd w:id="337"/>
            <w:bookmarkEnd w:id="338"/>
          </w:p>
        </w:tc>
      </w:tr>
      <w:tr w:rsidR="00225952" w:rsidRPr="00380CF5" w:rsidTr="00225952">
        <w:tc>
          <w:tcPr>
            <w:tcW w:w="2455" w:type="dxa"/>
          </w:tcPr>
          <w:p w:rsidR="00225952" w:rsidRPr="001264BE" w:rsidRDefault="00225952" w:rsidP="00AB455E">
            <w:pPr>
              <w:spacing w:before="120" w:after="120"/>
              <w:jc w:val="center"/>
            </w:pPr>
            <w:r>
              <w:rPr>
                <w:noProof/>
              </w:rPr>
              <w:drawing>
                <wp:inline distT="0" distB="0" distL="0" distR="0">
                  <wp:extent cx="1371600" cy="1352550"/>
                  <wp:effectExtent l="19050" t="0" r="0" b="0"/>
                  <wp:docPr id="534" name="Picture 29" descr="Ch5Capac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h5Capacity.png"/>
                          <pic:cNvPicPr>
                            <a:picLocks noChangeAspect="1" noChangeArrowheads="1"/>
                          </pic:cNvPicPr>
                        </pic:nvPicPr>
                        <pic:blipFill>
                          <a:blip r:embed="rId372" cstate="print"/>
                          <a:srcRect/>
                          <a:stretch>
                            <a:fillRect/>
                          </a:stretch>
                        </pic:blipFill>
                        <pic:spPr bwMode="auto">
                          <a:xfrm>
                            <a:off x="0" y="0"/>
                            <a:ext cx="1371600" cy="1352550"/>
                          </a:xfrm>
                          <a:prstGeom prst="rect">
                            <a:avLst/>
                          </a:prstGeom>
                          <a:noFill/>
                          <a:ln w="9525">
                            <a:noFill/>
                            <a:miter lim="800000"/>
                            <a:headEnd/>
                            <a:tailEnd/>
                          </a:ln>
                        </pic:spPr>
                      </pic:pic>
                    </a:graphicData>
                  </a:graphic>
                </wp:inline>
              </w:drawing>
            </w:r>
          </w:p>
        </w:tc>
        <w:tc>
          <w:tcPr>
            <w:tcW w:w="7920" w:type="dxa"/>
          </w:tcPr>
          <w:p w:rsidR="00225952" w:rsidRPr="00E86E6D" w:rsidRDefault="00225952" w:rsidP="00225952">
            <w:pPr>
              <w:rPr>
                <w:szCs w:val="23"/>
              </w:rPr>
            </w:pPr>
            <w:r w:rsidRPr="00E86E6D">
              <w:rPr>
                <w:szCs w:val="23"/>
              </w:rPr>
              <w:t>Options for increasing roadway capacity may include:</w:t>
            </w:r>
          </w:p>
          <w:p w:rsidR="00225952" w:rsidRPr="00E86E6D" w:rsidRDefault="00225952" w:rsidP="00AD2D7A">
            <w:pPr>
              <w:pStyle w:val="TIHBullet"/>
              <w:numPr>
                <w:ilvl w:val="0"/>
                <w:numId w:val="161"/>
              </w:numPr>
              <w:rPr>
                <w:rFonts w:ascii="Calibri" w:hAnsi="Calibri"/>
                <w:sz w:val="23"/>
                <w:szCs w:val="23"/>
              </w:rPr>
            </w:pPr>
            <w:r w:rsidRPr="00E86E6D">
              <w:rPr>
                <w:rFonts w:ascii="Calibri" w:hAnsi="Calibri"/>
                <w:sz w:val="23"/>
                <w:szCs w:val="23"/>
              </w:rPr>
              <w:t xml:space="preserve">Construction of new </w:t>
            </w:r>
            <w:r>
              <w:rPr>
                <w:rFonts w:ascii="Calibri" w:hAnsi="Calibri"/>
                <w:sz w:val="23"/>
                <w:szCs w:val="23"/>
              </w:rPr>
              <w:t xml:space="preserve">transportation </w:t>
            </w:r>
            <w:r w:rsidRPr="00E86E6D">
              <w:rPr>
                <w:rFonts w:ascii="Calibri" w:hAnsi="Calibri"/>
                <w:sz w:val="23"/>
                <w:szCs w:val="23"/>
              </w:rPr>
              <w:t>facilities</w:t>
            </w:r>
            <w:r>
              <w:rPr>
                <w:rFonts w:ascii="Calibri" w:hAnsi="Calibri"/>
                <w:sz w:val="23"/>
                <w:szCs w:val="23"/>
              </w:rPr>
              <w:t>, such as new roads or transit</w:t>
            </w:r>
          </w:p>
          <w:p w:rsidR="00225952" w:rsidRPr="00E86E6D" w:rsidRDefault="00225952" w:rsidP="00AD2D7A">
            <w:pPr>
              <w:pStyle w:val="TIHBullet"/>
              <w:numPr>
                <w:ilvl w:val="0"/>
                <w:numId w:val="161"/>
              </w:numPr>
              <w:rPr>
                <w:rFonts w:ascii="Calibri" w:hAnsi="Calibri"/>
                <w:sz w:val="23"/>
                <w:szCs w:val="23"/>
              </w:rPr>
            </w:pPr>
            <w:r w:rsidRPr="00E86E6D">
              <w:rPr>
                <w:rFonts w:ascii="Calibri" w:hAnsi="Calibri"/>
                <w:sz w:val="23"/>
                <w:szCs w:val="23"/>
              </w:rPr>
              <w:t xml:space="preserve">Addition of </w:t>
            </w:r>
            <w:r>
              <w:rPr>
                <w:rFonts w:ascii="Calibri" w:hAnsi="Calibri"/>
                <w:sz w:val="23"/>
                <w:szCs w:val="23"/>
              </w:rPr>
              <w:t>new through</w:t>
            </w:r>
            <w:r w:rsidR="00D62552">
              <w:rPr>
                <w:rFonts w:ascii="Calibri" w:hAnsi="Calibri"/>
                <w:sz w:val="23"/>
                <w:szCs w:val="23"/>
              </w:rPr>
              <w:t xml:space="preserve"> l</w:t>
            </w:r>
            <w:r w:rsidRPr="00E86E6D">
              <w:rPr>
                <w:rFonts w:ascii="Calibri" w:hAnsi="Calibri"/>
                <w:sz w:val="23"/>
                <w:szCs w:val="23"/>
              </w:rPr>
              <w:t>anes</w:t>
            </w:r>
          </w:p>
          <w:p w:rsidR="00225952" w:rsidRPr="00AB455E" w:rsidRDefault="00225952" w:rsidP="00AB455E">
            <w:pPr>
              <w:pStyle w:val="TIHBullet"/>
              <w:numPr>
                <w:ilvl w:val="0"/>
                <w:numId w:val="161"/>
              </w:numPr>
              <w:rPr>
                <w:rFonts w:ascii="Calibri" w:hAnsi="Calibri"/>
                <w:sz w:val="23"/>
                <w:szCs w:val="23"/>
              </w:rPr>
            </w:pPr>
            <w:r>
              <w:rPr>
                <w:rFonts w:ascii="Calibri" w:hAnsi="Calibri"/>
                <w:sz w:val="23"/>
                <w:szCs w:val="23"/>
              </w:rPr>
              <w:t>Improving the support system for main roadways  –Improvements that support the main highways, such as connectivity, parallel facilities, or increased transit service</w:t>
            </w:r>
          </w:p>
        </w:tc>
      </w:tr>
      <w:tr w:rsidR="00225952" w:rsidRPr="00380CF5" w:rsidTr="00225952">
        <w:tc>
          <w:tcPr>
            <w:tcW w:w="2455" w:type="dxa"/>
          </w:tcPr>
          <w:p w:rsidR="00225952" w:rsidRPr="00321534" w:rsidRDefault="00225952" w:rsidP="00225952">
            <w:pPr>
              <w:pStyle w:val="Heading4"/>
            </w:pPr>
            <w:r w:rsidRPr="00321534">
              <w:t xml:space="preserve">Construction of New Facilities </w:t>
            </w:r>
          </w:p>
          <w:p w:rsidR="00225952" w:rsidRPr="00321534" w:rsidRDefault="00225952" w:rsidP="00225952">
            <w:pPr>
              <w:pStyle w:val="Heading3"/>
            </w:pPr>
          </w:p>
        </w:tc>
        <w:tc>
          <w:tcPr>
            <w:tcW w:w="7920" w:type="dxa"/>
          </w:tcPr>
          <w:p w:rsidR="00225952" w:rsidRPr="00321534" w:rsidRDefault="00225952" w:rsidP="00225952">
            <w:r w:rsidRPr="00321534">
              <w:t xml:space="preserve">The Construction of new facilities is one strategy to address transportation impact needs resulting from new development, and is encouraged when new facilities help meet long-range transportation goals and policies, such as regional connectivity. Applicable considerations when proposing new facilities include impacts to regional community and environmental objectives, congestion management system goals and policies, and air-quality planning requirements. As </w:t>
            </w:r>
            <w:r w:rsidRPr="00321534">
              <w:lastRenderedPageBreak/>
              <w:t>such, features in roadways that aid future transportation system management (TSM) strategies (e.g., Intelligent Transportation Systems), enhance the use of transit (e.g., geometric and operational improvements to accommodate bus travel) and future travel demand management strategies (e.g., access to park and ride lots) can be part of this strategy.</w:t>
            </w:r>
          </w:p>
        </w:tc>
      </w:tr>
      <w:tr w:rsidR="00225952" w:rsidRPr="00380CF5" w:rsidTr="00225952">
        <w:tc>
          <w:tcPr>
            <w:tcW w:w="2455" w:type="dxa"/>
          </w:tcPr>
          <w:p w:rsidR="0020724F" w:rsidRDefault="0020724F" w:rsidP="00225952">
            <w:pPr>
              <w:pStyle w:val="Heading3"/>
            </w:pPr>
          </w:p>
          <w:p w:rsidR="0020724F" w:rsidRDefault="0020724F" w:rsidP="00225952">
            <w:pPr>
              <w:pStyle w:val="Heading3"/>
            </w:pPr>
          </w:p>
          <w:p w:rsidR="0020724F" w:rsidRDefault="0020724F" w:rsidP="00225952">
            <w:pPr>
              <w:pStyle w:val="Heading3"/>
            </w:pPr>
          </w:p>
          <w:p w:rsidR="00225952" w:rsidRDefault="0020724F" w:rsidP="00CC002A">
            <w:pPr>
              <w:spacing w:after="0"/>
            </w:pPr>
            <w:r w:rsidRPr="00CC002A">
              <w:rPr>
                <w:noProof/>
              </w:rPr>
              <w:drawing>
                <wp:inline distT="0" distB="0" distL="0" distR="0">
                  <wp:extent cx="1419225" cy="552450"/>
                  <wp:effectExtent l="0" t="0" r="0" b="0"/>
                  <wp:docPr id="558" name="Picture 57" descr="button_PDFlink.png">
                    <a:hlinkClick xmlns:a="http://schemas.openxmlformats.org/drawingml/2006/main" r:id="rId3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button_PDFlink.png"/>
                          <pic:cNvPicPr>
                            <a:picLocks noChangeAspect="1" noChangeArrowheads="1"/>
                          </pic:cNvPicPr>
                        </pic:nvPicPr>
                        <pic:blipFill>
                          <a:blip r:embed="rId15" cstate="print"/>
                          <a:srcRect/>
                          <a:stretch>
                            <a:fillRect/>
                          </a:stretch>
                        </pic:blipFill>
                        <pic:spPr bwMode="auto">
                          <a:xfrm>
                            <a:off x="0" y="0"/>
                            <a:ext cx="1419225" cy="552450"/>
                          </a:xfrm>
                          <a:prstGeom prst="rect">
                            <a:avLst/>
                          </a:prstGeom>
                          <a:noFill/>
                          <a:ln w="9525">
                            <a:noFill/>
                            <a:miter lim="800000"/>
                            <a:headEnd/>
                            <a:tailEnd/>
                          </a:ln>
                        </pic:spPr>
                      </pic:pic>
                    </a:graphicData>
                  </a:graphic>
                </wp:inline>
              </w:drawing>
            </w:r>
          </w:p>
          <w:p w:rsidR="0020724F" w:rsidRPr="0020724F" w:rsidRDefault="0020724F" w:rsidP="0020724F">
            <w:pPr>
              <w:pStyle w:val="HeadSide20"/>
              <w:jc w:val="center"/>
            </w:pPr>
            <w:r>
              <w:t>Adopted Criteria</w:t>
            </w:r>
          </w:p>
        </w:tc>
        <w:tc>
          <w:tcPr>
            <w:tcW w:w="7920" w:type="dxa"/>
          </w:tcPr>
          <w:p w:rsidR="00225952" w:rsidRPr="00321534" w:rsidRDefault="00225952" w:rsidP="00225952">
            <w:r w:rsidRPr="00321534">
              <w:t xml:space="preserve">In addition, new roadway facilities on the SHS should be consistent with all FDOT standards and policies. Transportation  facilities on the FIHS are required to meet standards and limitations set forth in FDOT’s </w:t>
            </w:r>
            <w:hyperlink r:id="rId374" w:history="1">
              <w:r w:rsidRPr="00321534">
                <w:rPr>
                  <w:rStyle w:val="Hyperlink"/>
                  <w:szCs w:val="23"/>
                </w:rPr>
                <w:t>Procedure on Development of the Florida Intrastate Highway System</w:t>
              </w:r>
            </w:hyperlink>
            <w:r w:rsidRPr="00321534">
              <w:t xml:space="preserve">, Topic 525-030-250-f. Construction of new facilities to the SIS and Emerging SIS are governed by </w:t>
            </w:r>
            <w:hyperlink r:id="rId375" w:history="1">
              <w:r w:rsidRPr="00321534">
                <w:rPr>
                  <w:rStyle w:val="Hyperlink"/>
                </w:rPr>
                <w:t>Section 339.63, F.S</w:t>
              </w:r>
            </w:hyperlink>
            <w:r w:rsidRPr="00321534">
              <w:t xml:space="preserve"> and construction plans should be developed in coordination with local governments, regional planning councils, transportation providers, and affected public agencies. Requirements for new facilities to SIS or Emerging SIS facilities are based upon FDOT’s </w:t>
            </w:r>
            <w:hyperlink r:id="rId376" w:history="1">
              <w:r w:rsidRPr="00321534">
                <w:rPr>
                  <w:rStyle w:val="Hyperlink"/>
                  <w:szCs w:val="23"/>
                </w:rPr>
                <w:t xml:space="preserve">Adopted Criteria and Thresholds </w:t>
              </w:r>
            </w:hyperlink>
            <w:r w:rsidRPr="00321534">
              <w:t xml:space="preserve">of July 2008. Construction of new facilities should reflect the principles of functional hierarchy and systems connectivity addressed in </w:t>
            </w:r>
            <w:hyperlink r:id="rId377" w:history="1">
              <w:r>
                <w:rPr>
                  <w:rStyle w:val="Hyperlink"/>
                  <w:i/>
                  <w:iCs/>
                </w:rPr>
                <w:t>A P</w:t>
              </w:r>
              <w:r w:rsidRPr="001916A2">
                <w:rPr>
                  <w:rStyle w:val="Hyperlink"/>
                  <w:i/>
                  <w:iCs/>
                </w:rPr>
                <w:t>olicy on the Geometric Design of Streets and</w:t>
              </w:r>
              <w:r w:rsidRPr="001916A2">
                <w:rPr>
                  <w:rStyle w:val="Hyperlink"/>
                </w:rPr>
                <w:t xml:space="preserve"> </w:t>
              </w:r>
              <w:r w:rsidRPr="001916A2">
                <w:rPr>
                  <w:rStyle w:val="Hyperlink"/>
                  <w:i/>
                  <w:iCs/>
                </w:rPr>
                <w:t>Highways</w:t>
              </w:r>
              <w:r>
                <w:rPr>
                  <w:rStyle w:val="Hyperlink"/>
                  <w:i/>
                  <w:iCs/>
                </w:rPr>
                <w:t>, (AASHTO, 2004)</w:t>
              </w:r>
              <w:r w:rsidRPr="001916A2">
                <w:rPr>
                  <w:rStyle w:val="Hyperlink"/>
                </w:rPr>
                <w:t>.</w:t>
              </w:r>
            </w:hyperlink>
          </w:p>
        </w:tc>
      </w:tr>
      <w:tr w:rsidR="00225952" w:rsidRPr="00380CF5" w:rsidTr="00225952">
        <w:tc>
          <w:tcPr>
            <w:tcW w:w="2455" w:type="dxa"/>
          </w:tcPr>
          <w:p w:rsidR="00225952" w:rsidRPr="00BE49BC" w:rsidRDefault="00225952" w:rsidP="00225952">
            <w:pPr>
              <w:pStyle w:val="Heading4"/>
            </w:pPr>
            <w:r w:rsidRPr="00BE49BC">
              <w:t>Add Lanes</w:t>
            </w:r>
          </w:p>
        </w:tc>
        <w:tc>
          <w:tcPr>
            <w:tcW w:w="7920" w:type="dxa"/>
          </w:tcPr>
          <w:p w:rsidR="00225952" w:rsidRPr="00BE49BC" w:rsidRDefault="00225952" w:rsidP="00225952">
            <w:pPr>
              <w:rPr>
                <w:szCs w:val="23"/>
              </w:rPr>
            </w:pPr>
            <w:r w:rsidRPr="00BE49BC">
              <w:rPr>
                <w:szCs w:val="23"/>
              </w:rPr>
              <w:t xml:space="preserve">The addition of new through lanes on existing facilities is another way of addressing the impacts resulting from new developments. However, the lane additions should be consistent with regional goals and policies for SOV travel, FDOT Topic 525-030- 250-f </w:t>
            </w:r>
            <w:hyperlink r:id="rId378" w:history="1">
              <w:r w:rsidRPr="00BE49BC">
                <w:rPr>
                  <w:rStyle w:val="Hyperlink"/>
                  <w:szCs w:val="23"/>
                </w:rPr>
                <w:t>Procedure on Development of the Florida Intrastate Highway System</w:t>
              </w:r>
            </w:hyperlink>
            <w:r w:rsidRPr="00BE49BC">
              <w:rPr>
                <w:szCs w:val="23"/>
              </w:rPr>
              <w:t xml:space="preserve">, and </w:t>
            </w:r>
            <w:hyperlink r:id="rId379" w:history="1">
              <w:r w:rsidRPr="00BE49BC">
                <w:rPr>
                  <w:rStyle w:val="Hyperlink"/>
                  <w:szCs w:val="23"/>
                </w:rPr>
                <w:t>Adopted Criteria and Thresholds</w:t>
              </w:r>
            </w:hyperlink>
            <w:r w:rsidRPr="00BE49BC">
              <w:rPr>
                <w:szCs w:val="23"/>
              </w:rPr>
              <w:t xml:space="preserve"> for the SIS</w:t>
            </w:r>
            <w:r w:rsidRPr="00BE49BC">
              <w:rPr>
                <w:i/>
                <w:szCs w:val="23"/>
              </w:rPr>
              <w:t xml:space="preserve">. </w:t>
            </w:r>
            <w:r w:rsidRPr="00BE49BC">
              <w:rPr>
                <w:szCs w:val="23"/>
              </w:rPr>
              <w:t>The selection of corridors for new general use lanes should be coordinated with FDOT. Features that facilitate future transportation system management strategies, enhancements for the use of transit and future travel demand management strategies are part of this strategy</w:t>
            </w:r>
          </w:p>
        </w:tc>
      </w:tr>
      <w:tr w:rsidR="00225952" w:rsidRPr="00380CF5" w:rsidTr="00225952">
        <w:tc>
          <w:tcPr>
            <w:tcW w:w="2455" w:type="dxa"/>
          </w:tcPr>
          <w:p w:rsidR="00225952" w:rsidRPr="00BE49BC" w:rsidRDefault="00225952" w:rsidP="00225952">
            <w:pPr>
              <w:pStyle w:val="Heading4"/>
            </w:pPr>
            <w:r w:rsidRPr="00BE49BC">
              <w:t>Alternatives to SIS Roads</w:t>
            </w:r>
          </w:p>
          <w:p w:rsidR="00225952" w:rsidRPr="00BE49BC" w:rsidRDefault="00225952"/>
          <w:p w:rsidR="00225952" w:rsidRDefault="00225952"/>
          <w:p w:rsidR="007920DE" w:rsidRDefault="007920DE"/>
          <w:p w:rsidR="007920DE" w:rsidRPr="00BE49BC" w:rsidRDefault="007920DE" w:rsidP="007920DE">
            <w:pPr>
              <w:spacing w:after="0"/>
            </w:pPr>
            <w:r>
              <w:rPr>
                <w:noProof/>
              </w:rPr>
              <w:drawing>
                <wp:inline distT="0" distB="0" distL="0" distR="0">
                  <wp:extent cx="1421765" cy="559313"/>
                  <wp:effectExtent l="19050" t="0" r="6985" b="0"/>
                  <wp:docPr id="24" name="Picture 23" descr="button_presentation.png">
                    <a:hlinkClick xmlns:a="http://schemas.openxmlformats.org/drawingml/2006/main" r:id="rId3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tton_presentation.png"/>
                          <pic:cNvPicPr/>
                        </pic:nvPicPr>
                        <pic:blipFill>
                          <a:blip r:embed="rId26" cstate="print"/>
                          <a:stretch>
                            <a:fillRect/>
                          </a:stretch>
                        </pic:blipFill>
                        <pic:spPr>
                          <a:xfrm>
                            <a:off x="0" y="0"/>
                            <a:ext cx="1421765" cy="559313"/>
                          </a:xfrm>
                          <a:prstGeom prst="rect">
                            <a:avLst/>
                          </a:prstGeom>
                        </pic:spPr>
                      </pic:pic>
                    </a:graphicData>
                  </a:graphic>
                </wp:inline>
              </w:drawing>
            </w:r>
          </w:p>
          <w:p w:rsidR="00225952" w:rsidRPr="00BE49BC" w:rsidRDefault="007920DE" w:rsidP="007920DE">
            <w:pPr>
              <w:pStyle w:val="HeadSide20"/>
              <w:jc w:val="center"/>
            </w:pPr>
            <w:r>
              <w:t>Growth Management Training</w:t>
            </w:r>
          </w:p>
          <w:p w:rsidR="00225952" w:rsidRPr="00BE49BC" w:rsidRDefault="00225952"/>
        </w:tc>
        <w:tc>
          <w:tcPr>
            <w:tcW w:w="7920" w:type="dxa"/>
          </w:tcPr>
          <w:p w:rsidR="00225952" w:rsidRPr="00BE49BC" w:rsidRDefault="00225952" w:rsidP="00225952">
            <w:r w:rsidRPr="00BE49BC">
              <w:lastRenderedPageBreak/>
              <w:t>Improvements made to arterial or collector roads running parallel to a SIS facility and serving common destinations may be considered as an option for mitigation of transportation impacts to SIS facilities at or near capacity. This strategy creates an opportunity to partner with appropriate transportation agencies and/or MPOs to meet mutually beneficial, cost effective transportation improvements. FDOT staff play a key role in approving relievers as SIS mitigation</w:t>
            </w:r>
          </w:p>
          <w:p w:rsidR="00225952" w:rsidRPr="00BE49BC" w:rsidRDefault="00225952" w:rsidP="00225952">
            <w:r w:rsidRPr="00BE49BC">
              <w:t xml:space="preserve">Developing these reliever roads may take the form of new road development as well as expansions to existing roads. Because of the expense and complexity associated with obtaining right of way for new roads, the designation of existing roads as a parallel reliever may be desirable where travel demand evaluations warrant such designation. Where service roads are designated as parallel </w:t>
            </w:r>
            <w:r w:rsidRPr="00BE49BC">
              <w:lastRenderedPageBreak/>
              <w:t>relievers, opportunities exist to integrate corridor development with local street networks and enhance the ability of smaller areas to establish service roads on the state highway system. Examples of mitigation options for parallel relievers include improving access from the main facility to these reliever roads, connecting a number of existing reliever roads into one interconnected road, adding lanes to the parallel road to increase capacity, as well as improvements to signal timing, turn lanes, and medians.</w:t>
            </w:r>
            <w:r w:rsidR="00AB455E">
              <w:tab/>
            </w:r>
            <w:r w:rsidRPr="00BE49BC">
              <w:t xml:space="preserve"> </w:t>
            </w:r>
          </w:p>
          <w:p w:rsidR="00225952" w:rsidRPr="00BE49BC" w:rsidRDefault="00225952" w:rsidP="00225952">
            <w:r w:rsidRPr="00BE49BC">
              <w:t>The opportunities for partnering between FDOT, local governments, and other transportation agencies to establish parallel reliever roads offer viable options for meeting FDOT objectives of maintaining levels of service on the SIS and FIHS and local visions for mobility; however, reviewers should be aware of known design issues to ensure safety and mobility in the creation of these facilities. Continuous frontage roads, for example, are known to lead to crashes and operational problems due to unfamiliar movements and where connecting too close to a major roadway intersection. In addition, one of the lessons learned from Destin’s parallel reliever has been the need to create bicycle and pedestrian facilities in conjunction with these parallel relievers to develop a connected, multimodal environment. Close coordination between FDOT and local governments can help in ensuring that community and safety needs are met on a project by project basis.</w:t>
            </w:r>
          </w:p>
        </w:tc>
      </w:tr>
    </w:tbl>
    <w:p w:rsidR="00225952" w:rsidRDefault="00225952" w:rsidP="00225952">
      <w:r>
        <w:rPr>
          <w:b/>
          <w:bCs/>
        </w:rPr>
        <w:lastRenderedPageBreak/>
        <w:br w:type="page"/>
      </w:r>
    </w:p>
    <w:p w:rsidR="006424BC" w:rsidRDefault="006424BC" w:rsidP="00225952">
      <w:pPr>
        <w:pStyle w:val="Heading2"/>
        <w:sectPr w:rsidR="006424BC" w:rsidSect="00960EBD">
          <w:pgSz w:w="12240" w:h="15840"/>
          <w:pgMar w:top="1440" w:right="720" w:bottom="1440" w:left="1152" w:header="720" w:footer="720" w:gutter="0"/>
          <w:cols w:space="720"/>
          <w:docGrid w:linePitch="360"/>
        </w:sectPr>
      </w:pPr>
      <w:bookmarkStart w:id="339" w:name="_Toc232912690"/>
    </w:p>
    <w:tbl>
      <w:tblPr>
        <w:tblW w:w="10375" w:type="dxa"/>
        <w:tblLayout w:type="fixed"/>
        <w:tblLook w:val="0000"/>
      </w:tblPr>
      <w:tblGrid>
        <w:gridCol w:w="2455"/>
        <w:gridCol w:w="7920"/>
      </w:tblGrid>
      <w:tr w:rsidR="00225952" w:rsidRPr="00380CF5" w:rsidTr="00225952">
        <w:tc>
          <w:tcPr>
            <w:tcW w:w="10375" w:type="dxa"/>
            <w:gridSpan w:val="2"/>
          </w:tcPr>
          <w:p w:rsidR="00225952" w:rsidRPr="006748CC" w:rsidRDefault="00F77AF3" w:rsidP="00225952">
            <w:pPr>
              <w:pStyle w:val="Heading2"/>
              <w:rPr>
                <w:szCs w:val="23"/>
              </w:rPr>
            </w:pPr>
            <w:bookmarkStart w:id="340" w:name="_Toc264274182"/>
            <w:r>
              <w:lastRenderedPageBreak/>
              <w:t>5.4</w:t>
            </w:r>
            <w:r w:rsidR="00225952" w:rsidRPr="006748CC">
              <w:tab/>
              <w:t>Other Mitigation Strategies</w:t>
            </w:r>
            <w:bookmarkEnd w:id="339"/>
            <w:r w:rsidR="00225952">
              <w:t>:  Land Use and Transportation Strategies to Enhance Mobility</w:t>
            </w:r>
            <w:bookmarkEnd w:id="340"/>
          </w:p>
        </w:tc>
      </w:tr>
      <w:tr w:rsidR="00225952" w:rsidRPr="00380CF5" w:rsidTr="00225952">
        <w:tc>
          <w:tcPr>
            <w:tcW w:w="2455" w:type="dxa"/>
          </w:tcPr>
          <w:p w:rsidR="00225952" w:rsidRPr="006748CC" w:rsidRDefault="00225952" w:rsidP="00225952">
            <w:pPr>
              <w:pStyle w:val="Heading3"/>
            </w:pPr>
            <w:r w:rsidRPr="006748CC">
              <w:tab/>
            </w:r>
          </w:p>
        </w:tc>
        <w:tc>
          <w:tcPr>
            <w:tcW w:w="7920" w:type="dxa"/>
          </w:tcPr>
          <w:p w:rsidR="00225952" w:rsidRPr="00E86E6D" w:rsidRDefault="00225952" w:rsidP="00D62552">
            <w:pPr>
              <w:spacing w:after="120"/>
            </w:pPr>
            <w:r w:rsidRPr="00E86E6D">
              <w:t>In addition to the approaches referen</w:t>
            </w:r>
            <w:r>
              <w:t xml:space="preserve">ced above, </w:t>
            </w:r>
            <w:r w:rsidRPr="00E86E6D">
              <w:t>th</w:t>
            </w:r>
            <w:r>
              <w:t xml:space="preserve">e following </w:t>
            </w:r>
            <w:r w:rsidRPr="00E86E6D">
              <w:t>additional mitigation options may be considered in reducing transportation impacts.</w:t>
            </w:r>
            <w:r>
              <w:t xml:space="preserve"> With the exception of a LOS variance these options are longer term planning strategies that require adoption into local government comprehensive plans.  </w:t>
            </w:r>
          </w:p>
        </w:tc>
      </w:tr>
      <w:tr w:rsidR="00225952" w:rsidRPr="00380CF5" w:rsidTr="00225952">
        <w:tc>
          <w:tcPr>
            <w:tcW w:w="10375" w:type="dxa"/>
            <w:gridSpan w:val="2"/>
          </w:tcPr>
          <w:p w:rsidR="00225952" w:rsidRPr="006748CC" w:rsidRDefault="00F77AF3" w:rsidP="00225952">
            <w:pPr>
              <w:pStyle w:val="Heading3"/>
            </w:pPr>
            <w:bookmarkStart w:id="341" w:name="_Toc232912691"/>
            <w:bookmarkStart w:id="342" w:name="_Toc264274183"/>
            <w:r>
              <w:t>5.4</w:t>
            </w:r>
            <w:r w:rsidR="00D62552">
              <w:t xml:space="preserve">.1  </w:t>
            </w:r>
            <w:r w:rsidR="00225952" w:rsidRPr="006748CC">
              <w:t>Transportation Concurrency Alternatives (TCEAs, TCMAs, and MMTDs)</w:t>
            </w:r>
            <w:bookmarkEnd w:id="341"/>
            <w:bookmarkEnd w:id="342"/>
          </w:p>
        </w:tc>
      </w:tr>
      <w:tr w:rsidR="00225952" w:rsidRPr="00380CF5" w:rsidTr="00225952">
        <w:tc>
          <w:tcPr>
            <w:tcW w:w="2455" w:type="dxa"/>
          </w:tcPr>
          <w:p w:rsidR="00225952" w:rsidRPr="006748CC" w:rsidRDefault="00225952" w:rsidP="00225952">
            <w:pPr>
              <w:pStyle w:val="Heading3"/>
            </w:pPr>
          </w:p>
        </w:tc>
        <w:tc>
          <w:tcPr>
            <w:tcW w:w="7920" w:type="dxa"/>
          </w:tcPr>
          <w:p w:rsidR="00225952" w:rsidRPr="00B043BF" w:rsidRDefault="00225952" w:rsidP="00225952">
            <w:pPr>
              <w:rPr>
                <w:rFonts w:cs="BookAntiqua"/>
              </w:rPr>
            </w:pPr>
            <w:r w:rsidRPr="00B043BF">
              <w:t xml:space="preserve">In some cases, the strict application of transportation concurrency requirements may conflict with important area planning objectives such as urban infill, redevelopment, or the promotion of public transportation. In these cases, local governments are able to designate geographic areas into their comprehensive plans as Transportation Concurrency Exception Areas (TCEAs), Transportation Concurrency Management Areas (TCMAs), and Multimodal Transportation Districts (MMTDs), subject to requirements in </w:t>
            </w:r>
            <w:hyperlink r:id="rId381" w:history="1">
              <w:r w:rsidRPr="00B043BF">
                <w:rPr>
                  <w:rStyle w:val="Hyperlink"/>
                </w:rPr>
                <w:t>Section 163.3180, F.S.</w:t>
              </w:r>
            </w:hyperlink>
            <w:r w:rsidRPr="00B043BF">
              <w:t xml:space="preserve"> In 2005, these requirements were strengthened to also require local governments to consult with FDOT prior to the designation of these areas. Impacts to LOS standards for SIS and TRIP facilities are to be determined by FDOT and local government, and mitigation plans for alleviating impacts to the SIS are to be coordinated between FDOT and the local governments. TCEAs, TCMAs, and MMTDs are used to implement transit system improvements and supporting pedestrian/bicycle infrastructure as a viable mitigation strategy, and proportionate fair share contributions may be used to fund these mitigation efforts. FDOT reviewers should consult </w:t>
            </w:r>
            <w:r w:rsidRPr="00B043BF">
              <w:rPr>
                <w:b/>
              </w:rPr>
              <w:t>Chapter 3</w:t>
            </w:r>
            <w:r w:rsidRPr="00B043BF">
              <w:t xml:space="preserve"> of this handbook for further information and resources on LOS analysis, funding mechanisms, and monitoring requirements for TCEAs, TCMAs, and MMTDs.</w:t>
            </w:r>
          </w:p>
          <w:p w:rsidR="00225952" w:rsidRPr="00DA7708" w:rsidRDefault="00225952" w:rsidP="00225952">
            <w:pPr>
              <w:rPr>
                <w:rFonts w:cs="BookAntiqua"/>
              </w:rPr>
            </w:pPr>
            <w:r w:rsidRPr="00B043BF">
              <w:rPr>
                <w:rFonts w:cs="BookAntiqua"/>
              </w:rPr>
              <w:t xml:space="preserve">It is also important to note that the 2009 Florida Legislature, under SB 360 (known as the “Community Renewal Act”, and passed through the Senate in April 2009) may have important impacts on coordination efforts with regard to TCEAs. The bill </w:t>
            </w:r>
            <w:r w:rsidRPr="00B043BF">
              <w:t xml:space="preserve">defines "dense urban land areas" as municipalities that have an average of 1000 people per square mile and a minimum population of at least 5000, a county (including the cities therein) which has an average of 1000 people per square mile, or a county (and its cities) which has a population of at least 1 million people. Transportation concurrency exception areas (TCEA) are automatically created in 1) cities that qualify as such; 2) within the urban service areas of counties that qualify as dense urban land areas; and 3) in counties that have a population of at least 900,000 and qualify as dense urban land areas but don't have an urban service area. Increased coordination between FDOT, DCA and local </w:t>
            </w:r>
            <w:r w:rsidRPr="00B043BF">
              <w:lastRenderedPageBreak/>
              <w:t>governments will be necessary to ensure that designation of these areas and mitigation plans comply with applicable state statutes and rules.</w:t>
            </w:r>
          </w:p>
        </w:tc>
      </w:tr>
      <w:tr w:rsidR="00225952" w:rsidRPr="00380CF5" w:rsidTr="00225952">
        <w:tc>
          <w:tcPr>
            <w:tcW w:w="10375" w:type="dxa"/>
            <w:gridSpan w:val="2"/>
          </w:tcPr>
          <w:p w:rsidR="00225952" w:rsidRPr="006748CC" w:rsidRDefault="00F77AF3" w:rsidP="00225952">
            <w:pPr>
              <w:pStyle w:val="Heading3"/>
            </w:pPr>
            <w:bookmarkStart w:id="343" w:name="_Toc264274184"/>
            <w:r>
              <w:lastRenderedPageBreak/>
              <w:t>5.4</w:t>
            </w:r>
            <w:r w:rsidR="00D62552">
              <w:t xml:space="preserve">.2 </w:t>
            </w:r>
            <w:r w:rsidR="00225952">
              <w:t xml:space="preserve">Long Term Concurrency Management Systems (LTCMS) </w:t>
            </w:r>
            <w:r w:rsidR="00D62552">
              <w:br/>
            </w:r>
            <w:r w:rsidR="00225952">
              <w:t>and Variances to FDOT LOS Rule</w:t>
            </w:r>
            <w:bookmarkEnd w:id="343"/>
          </w:p>
        </w:tc>
      </w:tr>
      <w:tr w:rsidR="00225952" w:rsidRPr="00380CF5" w:rsidTr="00225952">
        <w:tc>
          <w:tcPr>
            <w:tcW w:w="2455" w:type="dxa"/>
          </w:tcPr>
          <w:p w:rsidR="00225952" w:rsidRPr="006748CC" w:rsidRDefault="00225952" w:rsidP="00225952">
            <w:pPr>
              <w:pStyle w:val="Heading3"/>
            </w:pPr>
          </w:p>
        </w:tc>
        <w:tc>
          <w:tcPr>
            <w:tcW w:w="7920" w:type="dxa"/>
          </w:tcPr>
          <w:p w:rsidR="00225952" w:rsidRDefault="00225952" w:rsidP="00225952">
            <w:r w:rsidRPr="00B043BF">
              <w:t xml:space="preserve">Sometimes in long-term plans to address LOS standards under Rule </w:t>
            </w:r>
            <w:hyperlink r:id="rId382" w:history="1">
              <w:r w:rsidRPr="00B043BF">
                <w:rPr>
                  <w:rStyle w:val="Hyperlink"/>
                </w:rPr>
                <w:t>14-94, F.A.C.</w:t>
              </w:r>
            </w:hyperlink>
            <w:r w:rsidRPr="00B043BF">
              <w:t xml:space="preserve">  it is necessary to temporarily allow facilities to fall below established LOS standards in order to implement such plans. In</w:t>
            </w:r>
            <w:r>
              <w:t xml:space="preserve"> these cases where other transportation concurrency strategies do not apply there are two other tools which can be employed.</w:t>
            </w:r>
          </w:p>
          <w:p w:rsidR="00225952" w:rsidRDefault="00225952" w:rsidP="00D62552">
            <w:r>
              <w:t xml:space="preserve">A long term concurrency management system (LTCMS) can be developed which sets interim LOS standards until improvements can be implemented. See </w:t>
            </w:r>
            <w:hyperlink r:id="rId383" w:history="1">
              <w:r w:rsidRPr="00143B68">
                <w:rPr>
                  <w:rStyle w:val="Hyperlink"/>
                </w:rPr>
                <w:t>163.3180(9), F.S</w:t>
              </w:r>
            </w:hyperlink>
            <w:r w:rsidRPr="00143B68">
              <w:t>.</w:t>
            </w:r>
            <w:r>
              <w:t xml:space="preserve"> </w:t>
            </w:r>
            <w:r w:rsidRPr="00D62552">
              <w:t>These standards on certain facilities rely on the local government's schedule of capital improvements for up to 10 years as a basis for issuing development orders. The concurrency management system must be designed to correct existing deficiencies and set priorities for addressing backlogged facilities. The concurrency management system must be financially feasible and consistent with other portions of the adopted local plan, including the future land use map. In certain cases a 15 year long term schedule of capital improvements can be developed.</w:t>
            </w:r>
          </w:p>
          <w:p w:rsidR="00225952" w:rsidRPr="00DA7708" w:rsidRDefault="00225952" w:rsidP="00225952">
            <w:pPr>
              <w:rPr>
                <w:i/>
              </w:rPr>
            </w:pPr>
            <w:r>
              <w:t>In cases of demonstrated substantial hardship, v</w:t>
            </w:r>
            <w:r w:rsidRPr="00E86E6D">
              <w:t xml:space="preserve">ariances to LOS standards may be requested at the FDOT district level through </w:t>
            </w:r>
            <w:hyperlink r:id="rId384" w:history="1">
              <w:r w:rsidRPr="006D730C">
                <w:rPr>
                  <w:rStyle w:val="Hyperlink"/>
                </w:rPr>
                <w:t>Section 120.542, F.S.</w:t>
              </w:r>
            </w:hyperlink>
            <w:r w:rsidRPr="00E86E6D">
              <w:t xml:space="preserve"> by providing a strategy for mitigation within a set time period. For a list of case examples where FDOT has approved variance to LOS standards under </w:t>
            </w:r>
            <w:hyperlink r:id="rId385" w:history="1">
              <w:r w:rsidRPr="006D730C">
                <w:rPr>
                  <w:rStyle w:val="Hyperlink"/>
                </w:rPr>
                <w:t>Rule 14-94, F.A.C.</w:t>
              </w:r>
            </w:hyperlink>
            <w:r w:rsidRPr="00E86E6D">
              <w:t xml:space="preserve">, please consult the 2009 FDOT Report, </w:t>
            </w:r>
            <w:r w:rsidRPr="00E86E6D">
              <w:rPr>
                <w:i/>
              </w:rPr>
              <w:t>Integrating Corridor Management, Growth Management and Concurrency: Literature and Current Practice Review.</w:t>
            </w:r>
          </w:p>
        </w:tc>
      </w:tr>
      <w:tr w:rsidR="00225952" w:rsidRPr="00380CF5" w:rsidTr="00225952">
        <w:tc>
          <w:tcPr>
            <w:tcW w:w="2455" w:type="dxa"/>
          </w:tcPr>
          <w:p w:rsidR="00225952" w:rsidRPr="006748CC" w:rsidRDefault="00225952" w:rsidP="00225952">
            <w:pPr>
              <w:pStyle w:val="Heading3"/>
            </w:pPr>
          </w:p>
        </w:tc>
        <w:tc>
          <w:tcPr>
            <w:tcW w:w="7920" w:type="dxa"/>
          </w:tcPr>
          <w:p w:rsidR="00225952" w:rsidRPr="00E86E6D" w:rsidRDefault="00225952" w:rsidP="00225952">
            <w:pPr>
              <w:spacing w:after="120"/>
            </w:pPr>
            <w:r w:rsidRPr="00E86E6D">
              <w:rPr>
                <w:rFonts w:cs="Corbel"/>
              </w:rPr>
              <w:t xml:space="preserve">Keys to a successful variance process, as outlined in </w:t>
            </w:r>
            <w:r w:rsidRPr="00E86E6D">
              <w:t>Growth Management Implementation: A Work Plan for the FDOT District 4 Office of Modal Development</w:t>
            </w:r>
            <w:r w:rsidRPr="00E86E6D">
              <w:rPr>
                <w:rFonts w:cs="Corbel"/>
              </w:rPr>
              <w:t>, include:</w:t>
            </w:r>
          </w:p>
          <w:p w:rsidR="00225952" w:rsidRPr="00176919" w:rsidRDefault="00225952" w:rsidP="00AD2D7A">
            <w:pPr>
              <w:pStyle w:val="BulletA"/>
              <w:numPr>
                <w:ilvl w:val="0"/>
                <w:numId w:val="150"/>
              </w:numPr>
            </w:pPr>
            <w:r w:rsidRPr="00176919">
              <w:t>There must be a real substantial hardship and/or unfairness in the application of the LOS rule.</w:t>
            </w:r>
          </w:p>
          <w:p w:rsidR="00225952" w:rsidRPr="00176919" w:rsidRDefault="00225952" w:rsidP="00AD2D7A">
            <w:pPr>
              <w:pStyle w:val="BulletA"/>
              <w:numPr>
                <w:ilvl w:val="0"/>
                <w:numId w:val="150"/>
              </w:numPr>
            </w:pPr>
            <w:r w:rsidRPr="00176919">
              <w:t>A variance to the LOS rule will apply to the adopted LOS for a SIS or TRIP highway, or a SIS connector, and so will affect all pending and future development that will impact the facility to which the variance applies.</w:t>
            </w:r>
          </w:p>
          <w:p w:rsidR="00225952" w:rsidRPr="00176919" w:rsidRDefault="00225952" w:rsidP="00AD2D7A">
            <w:pPr>
              <w:pStyle w:val="BulletA"/>
              <w:numPr>
                <w:ilvl w:val="0"/>
                <w:numId w:val="150"/>
              </w:numPr>
            </w:pPr>
            <w:r w:rsidRPr="00176919">
              <w:t xml:space="preserve">It takes time to create proper conditions for a variance. Variances should contain binding obligations for the local government and these obligations should be publicly discussed. Variances can be granted for a limited amount of time and may contain conditions upon which the variance is </w:t>
            </w:r>
            <w:r w:rsidRPr="00176919">
              <w:lastRenderedPageBreak/>
              <w:t>granted. Such conditions could include consideration of multimodal performance measures.</w:t>
            </w:r>
          </w:p>
          <w:p w:rsidR="00225952" w:rsidRPr="00176919" w:rsidRDefault="00225952" w:rsidP="00AD2D7A">
            <w:pPr>
              <w:pStyle w:val="BulletA"/>
              <w:numPr>
                <w:ilvl w:val="0"/>
                <w:numId w:val="150"/>
              </w:numPr>
            </w:pPr>
            <w:r w:rsidRPr="00176919">
              <w:t>Variances are not limited to changing LOS letter grades. Although not yet implemented, variance options include changing when concurrency is measured from the 100th highest peak hour to some other time period, either a different peak hour or some off-peak period.</w:t>
            </w:r>
          </w:p>
          <w:p w:rsidR="00225952" w:rsidRPr="00C34C92" w:rsidRDefault="00225952" w:rsidP="00AD2D7A">
            <w:pPr>
              <w:pStyle w:val="BulletA"/>
              <w:numPr>
                <w:ilvl w:val="0"/>
                <w:numId w:val="150"/>
              </w:numPr>
              <w:rPr>
                <w:i/>
              </w:rPr>
            </w:pPr>
            <w:r w:rsidRPr="00176919">
              <w:t>A variance is a remedy of last resort. Variances present enforcement challenges that should be carefully considered. Revoking a variance will likely mean a development moratorium along the area served by the facility for which the variance was granted.</w:t>
            </w:r>
          </w:p>
        </w:tc>
      </w:tr>
      <w:tr w:rsidR="00D62552" w:rsidRPr="00D16D56" w:rsidTr="00EA7E64">
        <w:tc>
          <w:tcPr>
            <w:tcW w:w="10375" w:type="dxa"/>
            <w:gridSpan w:val="2"/>
          </w:tcPr>
          <w:p w:rsidR="00D62552" w:rsidRPr="009C6201" w:rsidRDefault="00F77AF3" w:rsidP="00D62552">
            <w:pPr>
              <w:pStyle w:val="Heading3"/>
            </w:pPr>
            <w:bookmarkStart w:id="344" w:name="_Toc232912694"/>
            <w:bookmarkStart w:id="345" w:name="_Toc264274185"/>
            <w:r>
              <w:lastRenderedPageBreak/>
              <w:t>5.4</w:t>
            </w:r>
            <w:r w:rsidR="00D62552">
              <w:t xml:space="preserve">.3  </w:t>
            </w:r>
            <w:r w:rsidR="00D62552" w:rsidRPr="009C6201">
              <w:t>Funding of Mitigation Improvements</w:t>
            </w:r>
            <w:bookmarkEnd w:id="344"/>
            <w:bookmarkEnd w:id="345"/>
          </w:p>
        </w:tc>
      </w:tr>
      <w:tr w:rsidR="00225952" w:rsidRPr="00D16D56" w:rsidTr="00225952">
        <w:tc>
          <w:tcPr>
            <w:tcW w:w="2455" w:type="dxa"/>
          </w:tcPr>
          <w:p w:rsidR="00225952" w:rsidRPr="00D16D56" w:rsidRDefault="00225952" w:rsidP="00225952">
            <w:pPr>
              <w:pStyle w:val="Heading3"/>
              <w:rPr>
                <w:highlight w:val="yellow"/>
              </w:rPr>
            </w:pPr>
          </w:p>
        </w:tc>
        <w:tc>
          <w:tcPr>
            <w:tcW w:w="7920" w:type="dxa"/>
          </w:tcPr>
          <w:p w:rsidR="00225952" w:rsidRPr="009C6201" w:rsidRDefault="00225952" w:rsidP="00225952">
            <w:r w:rsidRPr="009C6201">
              <w:t>Transportation mitigation needs vary by project and have the potential to impact the viability of a proposed development. As a result, the funding of mitigation options can be challenging.</w:t>
            </w:r>
          </w:p>
          <w:p w:rsidR="00225952" w:rsidRPr="00D16D56" w:rsidRDefault="00225952" w:rsidP="00225952">
            <w:pPr>
              <w:rPr>
                <w:highlight w:val="yellow"/>
              </w:rPr>
            </w:pPr>
            <w:r w:rsidRPr="001D669E">
              <w:t>The methodology for determining the developer’s share funding of mitigation improvements should be identified in the methodology phase of the development. The share is determined in relationship to the number of trips generated by the development and the capacities on an affected roadway segment. The final mitigation fee is typically negotiated among the applicant, local governments, RPC and the FDOT (if state highway improvements are involved) following the mitigation analysis that demonstrates the proposed improvements will result in an acceptable operating condition along the roadway. This negotiation should occur before or concurrent with the drafting of the development order for DRIs.</w:t>
            </w:r>
          </w:p>
        </w:tc>
      </w:tr>
      <w:tr w:rsidR="00225952" w:rsidRPr="00D16D56" w:rsidTr="00225952">
        <w:tc>
          <w:tcPr>
            <w:tcW w:w="2455" w:type="dxa"/>
          </w:tcPr>
          <w:p w:rsidR="00225952" w:rsidRDefault="00225952" w:rsidP="00225952">
            <w:pPr>
              <w:pStyle w:val="Heading4"/>
            </w:pPr>
            <w:r w:rsidRPr="00C05D5A">
              <w:t>Transportation Cost Resources</w:t>
            </w:r>
          </w:p>
          <w:p w:rsidR="0020724F" w:rsidRDefault="0020724F" w:rsidP="0020724F">
            <w:pPr>
              <w:rPr>
                <w:highlight w:val="yellow"/>
              </w:rPr>
            </w:pPr>
          </w:p>
          <w:p w:rsidR="0020724F" w:rsidRDefault="0020724F" w:rsidP="0020724F">
            <w:pPr>
              <w:rPr>
                <w:highlight w:val="yellow"/>
              </w:rPr>
            </w:pPr>
          </w:p>
          <w:p w:rsidR="0020724F" w:rsidRDefault="0020724F" w:rsidP="0020724F">
            <w:pPr>
              <w:rPr>
                <w:highlight w:val="yellow"/>
              </w:rPr>
            </w:pPr>
          </w:p>
          <w:p w:rsidR="0020724F" w:rsidRDefault="0020724F" w:rsidP="0020724F">
            <w:pPr>
              <w:rPr>
                <w:highlight w:val="yellow"/>
              </w:rPr>
            </w:pPr>
          </w:p>
          <w:p w:rsidR="0020724F" w:rsidRDefault="0020724F" w:rsidP="0020724F">
            <w:pPr>
              <w:spacing w:after="0"/>
              <w:rPr>
                <w:highlight w:val="yellow"/>
              </w:rPr>
            </w:pPr>
            <w:r>
              <w:rPr>
                <w:noProof/>
              </w:rPr>
              <w:drawing>
                <wp:inline distT="0" distB="0" distL="0" distR="0">
                  <wp:extent cx="1421765" cy="558800"/>
                  <wp:effectExtent l="19050" t="0" r="6985" b="0"/>
                  <wp:docPr id="559" name="Picture 558" descr="button_web.png">
                    <a:hlinkClick xmlns:a="http://schemas.openxmlformats.org/drawingml/2006/main" r:id="rId3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tton_web.png"/>
                          <pic:cNvPicPr/>
                        </pic:nvPicPr>
                        <pic:blipFill>
                          <a:blip r:embed="rId26" cstate="print"/>
                          <a:stretch>
                            <a:fillRect/>
                          </a:stretch>
                        </pic:blipFill>
                        <pic:spPr>
                          <a:xfrm>
                            <a:off x="0" y="0"/>
                            <a:ext cx="1421765" cy="558800"/>
                          </a:xfrm>
                          <a:prstGeom prst="rect">
                            <a:avLst/>
                          </a:prstGeom>
                        </pic:spPr>
                      </pic:pic>
                    </a:graphicData>
                  </a:graphic>
                </wp:inline>
              </w:drawing>
            </w:r>
          </w:p>
          <w:p w:rsidR="0020724F" w:rsidRPr="0020724F" w:rsidRDefault="0020724F" w:rsidP="0020724F">
            <w:pPr>
              <w:pStyle w:val="HeadSide20"/>
              <w:jc w:val="center"/>
              <w:rPr>
                <w:highlight w:val="yellow"/>
              </w:rPr>
            </w:pPr>
            <w:r w:rsidRPr="0020724F">
              <w:t>Transportation Costs</w:t>
            </w:r>
          </w:p>
        </w:tc>
        <w:tc>
          <w:tcPr>
            <w:tcW w:w="7920" w:type="dxa"/>
          </w:tcPr>
          <w:p w:rsidR="00225952" w:rsidRPr="00C05D5A" w:rsidRDefault="00225952" w:rsidP="00AB455E">
            <w:pPr>
              <w:spacing w:after="0"/>
              <w:rPr>
                <w:szCs w:val="23"/>
              </w:rPr>
            </w:pPr>
            <w:r w:rsidRPr="00C05D5A">
              <w:rPr>
                <w:szCs w:val="23"/>
              </w:rPr>
              <w:t xml:space="preserve">Determining accurate mitigation costs is an essential component to developing an equitable mitigation package. The FDOT maintains several cost estimating and documentation resources to assist with the determination of:  </w:t>
            </w:r>
          </w:p>
          <w:p w:rsidR="00225952" w:rsidRPr="00C05D5A" w:rsidRDefault="00225952" w:rsidP="00AD2D7A">
            <w:pPr>
              <w:pStyle w:val="BulletA"/>
              <w:numPr>
                <w:ilvl w:val="0"/>
                <w:numId w:val="127"/>
              </w:numPr>
            </w:pPr>
            <w:r w:rsidRPr="00C05D5A">
              <w:rPr>
                <w:rFonts w:cs="Book Antiqua"/>
              </w:rPr>
              <w:t>H</w:t>
            </w:r>
            <w:r w:rsidRPr="00C05D5A">
              <w:t>ighway construction costs</w:t>
            </w:r>
          </w:p>
          <w:p w:rsidR="00225952" w:rsidRPr="00C05D5A" w:rsidRDefault="00225952" w:rsidP="00AD2D7A">
            <w:pPr>
              <w:pStyle w:val="BulletA"/>
              <w:numPr>
                <w:ilvl w:val="0"/>
                <w:numId w:val="127"/>
              </w:numPr>
              <w:rPr>
                <w:rFonts w:cs="Book Antiqua"/>
              </w:rPr>
            </w:pPr>
            <w:r w:rsidRPr="00C05D5A">
              <w:rPr>
                <w:rFonts w:cs="Book Antiqua"/>
              </w:rPr>
              <w:t>Right of way costs</w:t>
            </w:r>
          </w:p>
          <w:p w:rsidR="00225952" w:rsidRPr="00C05D5A" w:rsidRDefault="00225952" w:rsidP="00AD2D7A">
            <w:pPr>
              <w:pStyle w:val="BulletA"/>
              <w:numPr>
                <w:ilvl w:val="0"/>
                <w:numId w:val="127"/>
              </w:numPr>
              <w:rPr>
                <w:rFonts w:cs="Book Antiqua"/>
              </w:rPr>
            </w:pPr>
            <w:r w:rsidRPr="00C05D5A">
              <w:rPr>
                <w:rFonts w:cs="Book Antiqua"/>
              </w:rPr>
              <w:t>Bridge costs</w:t>
            </w:r>
          </w:p>
          <w:p w:rsidR="00225952" w:rsidRPr="00C05D5A" w:rsidRDefault="00225952" w:rsidP="00AD2D7A">
            <w:pPr>
              <w:pStyle w:val="BulletA"/>
              <w:numPr>
                <w:ilvl w:val="0"/>
                <w:numId w:val="127"/>
              </w:numPr>
              <w:rPr>
                <w:rFonts w:cs="Book Antiqua"/>
              </w:rPr>
            </w:pPr>
            <w:r w:rsidRPr="00C05D5A">
              <w:rPr>
                <w:rFonts w:cs="Book Antiqua"/>
              </w:rPr>
              <w:t>Transit costs</w:t>
            </w:r>
          </w:p>
          <w:p w:rsidR="00225952" w:rsidRPr="00C05D5A" w:rsidRDefault="00225952" w:rsidP="00AD2D7A">
            <w:pPr>
              <w:pStyle w:val="BulletA"/>
              <w:numPr>
                <w:ilvl w:val="0"/>
                <w:numId w:val="127"/>
              </w:numPr>
              <w:rPr>
                <w:rFonts w:cs="Book Antiqua"/>
              </w:rPr>
            </w:pPr>
            <w:r w:rsidRPr="00C05D5A">
              <w:rPr>
                <w:rFonts w:cs="Book Antiqua"/>
              </w:rPr>
              <w:t>Inflation factors (for converting present day costs to future years)</w:t>
            </w:r>
          </w:p>
          <w:p w:rsidR="00225952" w:rsidRPr="00C05D5A" w:rsidRDefault="00225952" w:rsidP="00AD2D7A">
            <w:pPr>
              <w:pStyle w:val="BulletA"/>
              <w:numPr>
                <w:ilvl w:val="0"/>
                <w:numId w:val="127"/>
              </w:numPr>
              <w:spacing w:after="120"/>
              <w:rPr>
                <w:rFonts w:cs="Book Antiqua"/>
              </w:rPr>
            </w:pPr>
            <w:r w:rsidRPr="00C05D5A">
              <w:rPr>
                <w:rFonts w:cs="Book Antiqua"/>
              </w:rPr>
              <w:t>Construction cost indicators</w:t>
            </w:r>
          </w:p>
          <w:p w:rsidR="00C86195" w:rsidRDefault="00225952" w:rsidP="00C86195">
            <w:r w:rsidRPr="00C05D5A">
              <w:t xml:space="preserve">FDOT’s </w:t>
            </w:r>
            <w:hyperlink r:id="rId387" w:history="1">
              <w:r>
                <w:rPr>
                  <w:rStyle w:val="Hyperlink"/>
                  <w:szCs w:val="23"/>
                </w:rPr>
                <w:t>Transportation Costs online site</w:t>
              </w:r>
            </w:hyperlink>
            <w:r w:rsidRPr="00C05D5A">
              <w:t xml:space="preserve"> contains a full list of cost estimates and documentation resources. The on-line resource page includes several key staff contacts for cost information. In reviewing the on-line resources, it should be noted that much of the information is general. Many, if not all, of the cost factors are situation specific and will vary from District to District within the FDOT based </w:t>
            </w:r>
            <w:r w:rsidRPr="00C05D5A">
              <w:lastRenderedPageBreak/>
              <w:t xml:space="preserve">on local circumstances. In many situations, costs will vary even within a given district. This is particularly true with right of way costs due to the price of right of way acquisition in dense urban areas. </w:t>
            </w:r>
          </w:p>
          <w:p w:rsidR="00225952" w:rsidRPr="00D16D56" w:rsidRDefault="00225952" w:rsidP="00C86195">
            <w:pPr>
              <w:rPr>
                <w:highlight w:val="yellow"/>
              </w:rPr>
            </w:pPr>
            <w:r w:rsidRPr="00DD4D76">
              <w:t>Because of the wide cost variation, all costs and adjustment factors relating to specific transportation projects should be addressed with the district office where the project will be located and all assumptions and cost estimating methodologies should be reviewed and approved by the FDOT. It is noted that the generalized costs available from the FDOT may not be accepted for use in mitigation calculations. Where available, cost estimates based on design, PD&amp;E, or feasibility/corridor studies should be used. Tools such as the FDOT’s long-range estimating (LRE) software may also be used to determine a more location specific cost as compared to generalized costs. Because of the significant differences that can exist between a cost estimate based on generalized costs and a cost estimate based on more site specific information, the use of site specific costs in mitigation agreements is preferred by the FDOT.</w:t>
            </w:r>
          </w:p>
        </w:tc>
      </w:tr>
      <w:tr w:rsidR="00225952" w:rsidRPr="00D16D56" w:rsidTr="00225952">
        <w:tc>
          <w:tcPr>
            <w:tcW w:w="2455" w:type="dxa"/>
          </w:tcPr>
          <w:p w:rsidR="00225952" w:rsidRPr="00D16D56" w:rsidRDefault="00225952" w:rsidP="00225952">
            <w:pPr>
              <w:pStyle w:val="Heading4"/>
              <w:rPr>
                <w:highlight w:val="yellow"/>
              </w:rPr>
            </w:pPr>
            <w:r w:rsidRPr="000F2BC7">
              <w:lastRenderedPageBreak/>
              <w:t>Cautionary Considerations</w:t>
            </w:r>
          </w:p>
        </w:tc>
        <w:tc>
          <w:tcPr>
            <w:tcW w:w="7920" w:type="dxa"/>
          </w:tcPr>
          <w:p w:rsidR="00225952" w:rsidRPr="00EC433B" w:rsidRDefault="00225952" w:rsidP="00AB455E">
            <w:pPr>
              <w:spacing w:after="0"/>
            </w:pPr>
            <w:r w:rsidRPr="00EC433B">
              <w:t>The funding of transportation improvement projects is often key to satisfying local concurrency requirements and FDOT operating standards, allowing development to move forward. Proportionate share mitigation, proportionate fair-share mitigation, pipelining, and other options may be considered as tools through which development applicants can contribute their share of the cost of improving the impacted transportation facility and thereby mitigate their impact. When properly developed and administered, these funding mechanisms effectively generate funding for future transportation improvements in an equitable manner while allowing development to continue in. To be effective, it is essential that cost-sharing mitigation plans:</w:t>
            </w:r>
          </w:p>
          <w:p w:rsidR="00225952" w:rsidRPr="00EF0043" w:rsidRDefault="00225952" w:rsidP="00AD2D7A">
            <w:pPr>
              <w:pStyle w:val="BulletA"/>
              <w:numPr>
                <w:ilvl w:val="0"/>
                <w:numId w:val="151"/>
              </w:numPr>
            </w:pPr>
            <w:r w:rsidRPr="00EF0043">
              <w:t>Be developed based on correct application of site related traffic</w:t>
            </w:r>
          </w:p>
          <w:p w:rsidR="00225952" w:rsidRDefault="00225952" w:rsidP="00AD2D7A">
            <w:pPr>
              <w:pStyle w:val="BulletA"/>
              <w:numPr>
                <w:ilvl w:val="0"/>
                <w:numId w:val="151"/>
              </w:numPr>
            </w:pPr>
            <w:r w:rsidRPr="00EF0043">
              <w:t>Be developed based on accurate and reliable cost estimates</w:t>
            </w:r>
          </w:p>
          <w:p w:rsidR="00225952" w:rsidRPr="00EF0043" w:rsidRDefault="00225952" w:rsidP="00AB455E">
            <w:pPr>
              <w:pStyle w:val="BulletA"/>
              <w:numPr>
                <w:ilvl w:val="0"/>
                <w:numId w:val="151"/>
              </w:numPr>
              <w:spacing w:after="120"/>
            </w:pPr>
            <w:r w:rsidRPr="00EF0043">
              <w:t>Have an applicant’s or agency’s commitment to deliver a funded transportation</w:t>
            </w:r>
            <w:r w:rsidRPr="00082D8A">
              <w:t xml:space="preserve"> improvement adopted into the local capital improvements element</w:t>
            </w:r>
          </w:p>
        </w:tc>
      </w:tr>
      <w:tr w:rsidR="00225952" w:rsidRPr="00D16D56" w:rsidTr="00225952">
        <w:tc>
          <w:tcPr>
            <w:tcW w:w="2455" w:type="dxa"/>
          </w:tcPr>
          <w:p w:rsidR="00225952" w:rsidRPr="00D16D56" w:rsidRDefault="00225952" w:rsidP="00225952">
            <w:pPr>
              <w:pStyle w:val="Heading4"/>
              <w:rPr>
                <w:highlight w:val="yellow"/>
              </w:rPr>
            </w:pPr>
            <w:r w:rsidRPr="00C1040D">
              <w:rPr>
                <w:bCs w:val="0"/>
                <w:highlight w:val="yellow"/>
              </w:rPr>
              <w:br w:type="page"/>
            </w:r>
          </w:p>
        </w:tc>
        <w:tc>
          <w:tcPr>
            <w:tcW w:w="7920" w:type="dxa"/>
          </w:tcPr>
          <w:p w:rsidR="00225952" w:rsidRPr="00EC433B" w:rsidRDefault="00225952" w:rsidP="00C86195">
            <w:pPr>
              <w:spacing w:after="0"/>
            </w:pPr>
            <w:r w:rsidRPr="00EC433B">
              <w:t>Development and administration of cost-sharing mitigation plans can be complicated by:</w:t>
            </w:r>
          </w:p>
          <w:p w:rsidR="00225952" w:rsidRPr="00EC433B" w:rsidRDefault="00225952" w:rsidP="00AD2D7A">
            <w:pPr>
              <w:pStyle w:val="TIHBullet"/>
              <w:numPr>
                <w:ilvl w:val="0"/>
                <w:numId w:val="63"/>
              </w:numPr>
              <w:spacing w:after="60" w:line="276" w:lineRule="auto"/>
              <w:rPr>
                <w:rFonts w:ascii="Calibri" w:hAnsi="Calibri"/>
                <w:sz w:val="23"/>
                <w:szCs w:val="23"/>
              </w:rPr>
            </w:pPr>
            <w:r w:rsidRPr="00EC433B">
              <w:rPr>
                <w:rFonts w:ascii="Calibri" w:hAnsi="Calibri"/>
                <w:sz w:val="23"/>
                <w:szCs w:val="23"/>
              </w:rPr>
              <w:t>Cost uncertainties such as:</w:t>
            </w:r>
          </w:p>
          <w:p w:rsidR="00225952" w:rsidRPr="00EC433B" w:rsidRDefault="00225952" w:rsidP="00AD2D7A">
            <w:pPr>
              <w:pStyle w:val="TIHBullet2"/>
              <w:numPr>
                <w:ilvl w:val="0"/>
                <w:numId w:val="64"/>
              </w:numPr>
              <w:spacing w:after="60"/>
              <w:rPr>
                <w:rFonts w:ascii="Calibri" w:hAnsi="Calibri"/>
                <w:sz w:val="23"/>
                <w:szCs w:val="23"/>
              </w:rPr>
            </w:pPr>
            <w:r w:rsidRPr="00EC433B">
              <w:rPr>
                <w:rFonts w:ascii="Calibri" w:hAnsi="Calibri"/>
                <w:sz w:val="23"/>
                <w:szCs w:val="23"/>
              </w:rPr>
              <w:t>Lack of detailed design or cost estimates for future improvements</w:t>
            </w:r>
          </w:p>
          <w:p w:rsidR="00225952" w:rsidRPr="00EC433B" w:rsidRDefault="00225952" w:rsidP="00AD2D7A">
            <w:pPr>
              <w:pStyle w:val="TIHBullet2"/>
              <w:numPr>
                <w:ilvl w:val="0"/>
                <w:numId w:val="64"/>
              </w:numPr>
              <w:spacing w:after="60"/>
              <w:jc w:val="left"/>
              <w:rPr>
                <w:rFonts w:ascii="Calibri" w:hAnsi="Calibri"/>
                <w:sz w:val="23"/>
                <w:szCs w:val="23"/>
              </w:rPr>
            </w:pPr>
            <w:r w:rsidRPr="00EC433B">
              <w:rPr>
                <w:rFonts w:ascii="Calibri" w:hAnsi="Calibri"/>
                <w:sz w:val="23"/>
                <w:szCs w:val="23"/>
              </w:rPr>
              <w:t>Right of way acquisition costs</w:t>
            </w:r>
          </w:p>
          <w:p w:rsidR="00225952" w:rsidRPr="00EC433B" w:rsidRDefault="00225952" w:rsidP="00AD2D7A">
            <w:pPr>
              <w:pStyle w:val="TIHBullet2"/>
              <w:numPr>
                <w:ilvl w:val="0"/>
                <w:numId w:val="64"/>
              </w:numPr>
              <w:spacing w:after="60"/>
              <w:jc w:val="left"/>
              <w:rPr>
                <w:rFonts w:ascii="Calibri" w:hAnsi="Calibri"/>
                <w:sz w:val="23"/>
                <w:szCs w:val="23"/>
              </w:rPr>
            </w:pPr>
            <w:r w:rsidRPr="00EC433B">
              <w:rPr>
                <w:rFonts w:ascii="Calibri" w:hAnsi="Calibri"/>
                <w:sz w:val="23"/>
                <w:szCs w:val="23"/>
              </w:rPr>
              <w:t>Potential for large fluctuations in construction costs due to unanticipated changes in material availability (particularly shortages), fuel costs, and other inflationary considerations</w:t>
            </w:r>
          </w:p>
          <w:p w:rsidR="00225952" w:rsidRPr="00EC433B" w:rsidRDefault="00225952" w:rsidP="00AD2D7A">
            <w:pPr>
              <w:pStyle w:val="TIHBullet"/>
              <w:numPr>
                <w:ilvl w:val="0"/>
                <w:numId w:val="65"/>
              </w:numPr>
              <w:spacing w:after="60" w:line="276" w:lineRule="auto"/>
              <w:jc w:val="left"/>
              <w:rPr>
                <w:rFonts w:ascii="Calibri" w:hAnsi="Calibri"/>
                <w:sz w:val="23"/>
                <w:szCs w:val="23"/>
              </w:rPr>
            </w:pPr>
            <w:r w:rsidRPr="00EC433B">
              <w:rPr>
                <w:rFonts w:ascii="Calibri" w:hAnsi="Calibri"/>
                <w:sz w:val="23"/>
                <w:szCs w:val="23"/>
              </w:rPr>
              <w:lastRenderedPageBreak/>
              <w:t>Developments that are obligated to contribute but do not because the development is unable to move forward (no development = no contribution)</w:t>
            </w:r>
          </w:p>
          <w:p w:rsidR="00225952" w:rsidRPr="00EC433B" w:rsidRDefault="00225952" w:rsidP="00AD2D7A">
            <w:pPr>
              <w:pStyle w:val="TIHBullet"/>
              <w:numPr>
                <w:ilvl w:val="0"/>
                <w:numId w:val="65"/>
              </w:numPr>
              <w:spacing w:after="60" w:line="276" w:lineRule="auto"/>
              <w:jc w:val="left"/>
              <w:rPr>
                <w:rFonts w:ascii="Calibri" w:hAnsi="Calibri"/>
                <w:sz w:val="23"/>
                <w:szCs w:val="23"/>
              </w:rPr>
            </w:pPr>
            <w:r w:rsidRPr="00EC433B">
              <w:rPr>
                <w:rFonts w:ascii="Calibri" w:hAnsi="Calibri"/>
                <w:sz w:val="23"/>
                <w:szCs w:val="23"/>
              </w:rPr>
              <w:t>Potential lack of consistency between a project identified for proportionate share and other adopted planning documents (that may not include the project needed)</w:t>
            </w:r>
          </w:p>
          <w:p w:rsidR="00225952" w:rsidRPr="00EC433B" w:rsidRDefault="00225952" w:rsidP="00AD2D7A">
            <w:pPr>
              <w:pStyle w:val="TIHBullet"/>
              <w:numPr>
                <w:ilvl w:val="0"/>
                <w:numId w:val="65"/>
              </w:numPr>
              <w:spacing w:line="276" w:lineRule="auto"/>
              <w:jc w:val="left"/>
              <w:rPr>
                <w:rFonts w:ascii="Calibri" w:hAnsi="Calibri"/>
                <w:sz w:val="23"/>
                <w:szCs w:val="23"/>
              </w:rPr>
            </w:pPr>
            <w:r w:rsidRPr="00EC433B">
              <w:rPr>
                <w:rFonts w:ascii="Calibri" w:hAnsi="Calibri"/>
                <w:sz w:val="23"/>
                <w:szCs w:val="23"/>
              </w:rPr>
              <w:t>Funding shortfalls if insufficient funds are collected to fully pay for a given proportional share mitigation project</w:t>
            </w:r>
          </w:p>
        </w:tc>
      </w:tr>
      <w:tr w:rsidR="00225952" w:rsidRPr="00D16D56" w:rsidTr="00225952">
        <w:tc>
          <w:tcPr>
            <w:tcW w:w="2455" w:type="dxa"/>
          </w:tcPr>
          <w:p w:rsidR="00225952" w:rsidRPr="00D16D56" w:rsidRDefault="007920DE" w:rsidP="00225952">
            <w:pPr>
              <w:pStyle w:val="Heading4"/>
              <w:rPr>
                <w:highlight w:val="yellow"/>
              </w:rPr>
            </w:pPr>
            <w:r>
              <w:rPr>
                <w:b w:val="0"/>
                <w:bCs w:val="0"/>
              </w:rPr>
              <w:lastRenderedPageBreak/>
              <w:br w:type="page"/>
            </w:r>
          </w:p>
        </w:tc>
        <w:tc>
          <w:tcPr>
            <w:tcW w:w="7920" w:type="dxa"/>
          </w:tcPr>
          <w:p w:rsidR="00225952" w:rsidRPr="00EC433B" w:rsidRDefault="00225952" w:rsidP="00225952">
            <w:r w:rsidRPr="00EC433B">
              <w:t>It should be noted that cost-sharing contributions may be in the form of funds, right of way, or the construction of improvements. The FDOT should concur with projects that involve the SIS in order to ensure impacts on these facilities are addressed.</w:t>
            </w:r>
          </w:p>
          <w:p w:rsidR="00225952" w:rsidRPr="00D16D56" w:rsidRDefault="00225952" w:rsidP="00225952">
            <w:pPr>
              <w:rPr>
                <w:highlight w:val="yellow"/>
              </w:rPr>
            </w:pPr>
            <w:r w:rsidRPr="00EC433B">
              <w:t>The next two sections provide an overview of proportionate share (DRI) and proportionate fair-share mitigation.</w:t>
            </w:r>
          </w:p>
        </w:tc>
      </w:tr>
      <w:tr w:rsidR="00D62552" w:rsidRPr="00D16D56" w:rsidTr="00EA7E64">
        <w:tc>
          <w:tcPr>
            <w:tcW w:w="10375" w:type="dxa"/>
            <w:gridSpan w:val="2"/>
          </w:tcPr>
          <w:p w:rsidR="00D62552" w:rsidRPr="00EC433B" w:rsidRDefault="00F77AF3" w:rsidP="00D62552">
            <w:pPr>
              <w:pStyle w:val="Heading3"/>
            </w:pPr>
            <w:bookmarkStart w:id="346" w:name="_Toc232912695"/>
            <w:bookmarkStart w:id="347" w:name="_Toc264274186"/>
            <w:r>
              <w:t>5.4</w:t>
            </w:r>
            <w:r w:rsidR="00D62552">
              <w:t xml:space="preserve">.4  </w:t>
            </w:r>
            <w:r w:rsidR="00D62552" w:rsidRPr="003E2335">
              <w:t>Proportionate Share (DRI) Mitigation</w:t>
            </w:r>
            <w:bookmarkEnd w:id="346"/>
            <w:bookmarkEnd w:id="347"/>
          </w:p>
        </w:tc>
      </w:tr>
      <w:tr w:rsidR="00225952" w:rsidRPr="00D16D56" w:rsidTr="00225952">
        <w:tc>
          <w:tcPr>
            <w:tcW w:w="2455" w:type="dxa"/>
          </w:tcPr>
          <w:p w:rsidR="00225952" w:rsidRPr="00D16D56" w:rsidRDefault="00225952" w:rsidP="00225952">
            <w:pPr>
              <w:pStyle w:val="Heading3"/>
              <w:rPr>
                <w:highlight w:val="yellow"/>
              </w:rPr>
            </w:pPr>
          </w:p>
        </w:tc>
        <w:tc>
          <w:tcPr>
            <w:tcW w:w="7920" w:type="dxa"/>
          </w:tcPr>
          <w:p w:rsidR="00225952" w:rsidRPr="00082D8A" w:rsidRDefault="00225952" w:rsidP="00225952">
            <w:r w:rsidRPr="00082D8A">
              <w:t xml:space="preserve">Proportionate share is a commonly exercised option to mitigate project impacts associated with DRIs. </w:t>
            </w:r>
            <w:hyperlink r:id="rId388" w:history="1">
              <w:r w:rsidRPr="00082D8A">
                <w:rPr>
                  <w:rStyle w:val="Hyperlink"/>
                </w:rPr>
                <w:t>Section 163.3180(11), F.S.</w:t>
              </w:r>
            </w:hyperlink>
            <w:r w:rsidRPr="00082D8A">
              <w:t xml:space="preserve"> identifies the parameters under which a proportionate share assessment can be offered as mitigation for the transportation impacts of a DRI. These parameters include:</w:t>
            </w:r>
          </w:p>
          <w:p w:rsidR="00225952" w:rsidRPr="00082D8A" w:rsidRDefault="00225952" w:rsidP="00AD2D7A">
            <w:pPr>
              <w:pStyle w:val="BulletA"/>
              <w:numPr>
                <w:ilvl w:val="0"/>
                <w:numId w:val="152"/>
              </w:numPr>
            </w:pPr>
            <w:r w:rsidRPr="00082D8A">
              <w:t>The local government with jurisdiction over the property has adopted a local comprehensive plan that is in compliance</w:t>
            </w:r>
          </w:p>
          <w:p w:rsidR="00225952" w:rsidRPr="00082D8A" w:rsidRDefault="00225952" w:rsidP="00AD2D7A">
            <w:pPr>
              <w:pStyle w:val="BulletA"/>
              <w:numPr>
                <w:ilvl w:val="0"/>
                <w:numId w:val="152"/>
              </w:numPr>
            </w:pPr>
            <w:r w:rsidRPr="00082D8A">
              <w:t>The proposed development would be consistent with the future land use designation for the specific property and with pertinent portions of the adopted local plan, as determined by the local government</w:t>
            </w:r>
          </w:p>
          <w:p w:rsidR="00225952" w:rsidRPr="00082D8A" w:rsidRDefault="00225952" w:rsidP="00AD2D7A">
            <w:pPr>
              <w:pStyle w:val="BulletA"/>
              <w:numPr>
                <w:ilvl w:val="0"/>
                <w:numId w:val="152"/>
              </w:numPr>
            </w:pPr>
            <w:r w:rsidRPr="00082D8A">
              <w:t>The local plan includes a financially feasible capital improvements element that provides for transportation facilities adequate to serve the proposed development, and the local government has not implemented that element</w:t>
            </w:r>
          </w:p>
          <w:p w:rsidR="00225952" w:rsidRPr="00082D8A" w:rsidRDefault="00225952" w:rsidP="00AD2D7A">
            <w:pPr>
              <w:pStyle w:val="BulletA"/>
              <w:numPr>
                <w:ilvl w:val="0"/>
                <w:numId w:val="152"/>
              </w:numPr>
            </w:pPr>
            <w:r w:rsidRPr="00082D8A">
              <w:t>The local government has provided a means by which the landowner will be assessed a fair share of the cost of providing the transportation facilities necessary to serve the proposed development</w:t>
            </w:r>
          </w:p>
          <w:p w:rsidR="00225952" w:rsidRPr="00082D8A" w:rsidRDefault="00225952" w:rsidP="00AD2D7A">
            <w:pPr>
              <w:pStyle w:val="BulletA"/>
              <w:numPr>
                <w:ilvl w:val="0"/>
                <w:numId w:val="152"/>
              </w:numPr>
            </w:pPr>
            <w:r w:rsidRPr="00082D8A">
              <w:t>The landowner has made a binding commitment to the local government to pay the fair share of the cost of providing the transportation facilities to serve the proposed development</w:t>
            </w:r>
          </w:p>
          <w:p w:rsidR="00225952" w:rsidRPr="001D7073" w:rsidRDefault="00225952" w:rsidP="00225952">
            <w:pPr>
              <w:rPr>
                <w:szCs w:val="23"/>
              </w:rPr>
            </w:pPr>
            <w:r w:rsidRPr="001D7073">
              <w:rPr>
                <w:szCs w:val="23"/>
              </w:rPr>
              <w:t xml:space="preserve">With respect to DRIs, </w:t>
            </w:r>
            <w:hyperlink r:id="rId389" w:history="1">
              <w:r w:rsidRPr="001D7073">
                <w:rPr>
                  <w:rStyle w:val="Hyperlink"/>
                  <w:szCs w:val="23"/>
                </w:rPr>
                <w:t>Section 163.3180(12), F.S.</w:t>
              </w:r>
            </w:hyperlink>
            <w:r w:rsidRPr="001D7073">
              <w:rPr>
                <w:szCs w:val="23"/>
              </w:rPr>
              <w:t xml:space="preserve"> states:</w:t>
            </w:r>
          </w:p>
          <w:p w:rsidR="00225952" w:rsidRPr="001D7073" w:rsidRDefault="00225952" w:rsidP="00225952">
            <w:pPr>
              <w:spacing w:after="120"/>
            </w:pPr>
            <w:r w:rsidRPr="001D7073">
              <w:t xml:space="preserve">“A development of regional impact may satisfy the transportation concurrency requirements of the local comprehensive plan, the local government's </w:t>
            </w:r>
            <w:r w:rsidRPr="001D7073">
              <w:lastRenderedPageBreak/>
              <w:t xml:space="preserve">concurrency management system, and </w:t>
            </w:r>
            <w:hyperlink r:id="rId390" w:history="1">
              <w:r w:rsidRPr="001D7073">
                <w:rPr>
                  <w:rStyle w:val="Hyperlink"/>
                </w:rPr>
                <w:t>s. 380.06, F.S.</w:t>
              </w:r>
            </w:hyperlink>
            <w:r w:rsidRPr="001D7073">
              <w:t xml:space="preserve">, by payment of a proportionate-share contribution for local and regionally significant traffic impacts, if: </w:t>
            </w:r>
          </w:p>
          <w:p w:rsidR="00225952" w:rsidRDefault="00225952" w:rsidP="00AD2D7A">
            <w:pPr>
              <w:pStyle w:val="BulletA"/>
              <w:numPr>
                <w:ilvl w:val="0"/>
                <w:numId w:val="153"/>
              </w:numPr>
            </w:pPr>
            <w:r w:rsidRPr="001D7073">
              <w:t xml:space="preserve">The development of regional impact which, based on its location or mix of land uses, is designed to encourage pedestrian or other non-automotive modes of transportation; </w:t>
            </w:r>
          </w:p>
          <w:p w:rsidR="00225952" w:rsidRDefault="00225952" w:rsidP="00AD2D7A">
            <w:pPr>
              <w:pStyle w:val="BulletA"/>
              <w:numPr>
                <w:ilvl w:val="0"/>
                <w:numId w:val="153"/>
              </w:numPr>
            </w:pPr>
            <w:r w:rsidRPr="001D7073">
              <w:t xml:space="preserve">The proportionate-share contribution for local and regionally significant traffic impacts is sufficient to pay for one or more required mobility improvements that will benefit a regionally significant transportation facility; </w:t>
            </w:r>
          </w:p>
          <w:p w:rsidR="00225952" w:rsidRDefault="00225952" w:rsidP="00AD2D7A">
            <w:pPr>
              <w:pStyle w:val="BulletA"/>
              <w:numPr>
                <w:ilvl w:val="0"/>
                <w:numId w:val="153"/>
              </w:numPr>
            </w:pPr>
            <w:r w:rsidRPr="001D7073">
              <w:t xml:space="preserve">The owner and developer of the development of regional impact pays or assures payment of the proportionate-share contribution; and </w:t>
            </w:r>
          </w:p>
          <w:p w:rsidR="00225952" w:rsidRDefault="00225952" w:rsidP="00AD2D7A">
            <w:pPr>
              <w:pStyle w:val="BulletA"/>
              <w:numPr>
                <w:ilvl w:val="0"/>
                <w:numId w:val="153"/>
              </w:numPr>
            </w:pPr>
            <w:r w:rsidRPr="001D7073">
              <w:t xml:space="preserve">If the regionally significant transportation facility to be constructed or improved is under the maintenance authority of a governmental entity, as defined by </w:t>
            </w:r>
            <w:hyperlink r:id="rId391" w:history="1">
              <w:r w:rsidRPr="00C5453C">
                <w:rPr>
                  <w:rStyle w:val="Hyperlink"/>
                  <w:szCs w:val="23"/>
                </w:rPr>
                <w:t>s. 334.03(12), F.S.</w:t>
              </w:r>
            </w:hyperlink>
            <w:r w:rsidRPr="001D7073">
              <w:t>, other than the local government with jurisdiction over the development of regional impact, the developer is required to enter into a binding and legally enforceable commitment to transfer funds to the governmental entity having maintenance authority or to otherwise assure construction or improvement of the facility.</w:t>
            </w:r>
            <w:r w:rsidR="00E7413B">
              <w:t>"</w:t>
            </w:r>
          </w:p>
        </w:tc>
      </w:tr>
      <w:tr w:rsidR="00225952" w:rsidRPr="00D16D56" w:rsidTr="00225952">
        <w:tc>
          <w:tcPr>
            <w:tcW w:w="2455" w:type="dxa"/>
          </w:tcPr>
          <w:p w:rsidR="00225952" w:rsidRPr="00D16D56" w:rsidRDefault="00225952" w:rsidP="00225952">
            <w:pPr>
              <w:pStyle w:val="Heading4"/>
              <w:rPr>
                <w:highlight w:val="yellow"/>
              </w:rPr>
            </w:pPr>
          </w:p>
        </w:tc>
        <w:tc>
          <w:tcPr>
            <w:tcW w:w="7920" w:type="dxa"/>
          </w:tcPr>
          <w:p w:rsidR="00225952" w:rsidRPr="00B6478D" w:rsidRDefault="00225952" w:rsidP="00225952">
            <w:r>
              <w:t xml:space="preserve">Both the Florida Statutes </w:t>
            </w:r>
            <w:hyperlink r:id="rId392" w:history="1">
              <w:r w:rsidRPr="000650CB">
                <w:rPr>
                  <w:rStyle w:val="Hyperlink"/>
                </w:rPr>
                <w:t>(s. 163.3180(12)(a)4), F.S.</w:t>
              </w:r>
            </w:hyperlink>
            <w:r>
              <w:t xml:space="preserve">,  and Florida administrative code provide a definition of the proportionate share formula.  </w:t>
            </w:r>
            <w:r w:rsidRPr="00B6478D">
              <w:t xml:space="preserve">Per Florida Administrative Code </w:t>
            </w:r>
            <w:hyperlink r:id="rId393" w:history="1">
              <w:r w:rsidRPr="000650CB">
                <w:rPr>
                  <w:rStyle w:val="Hyperlink"/>
                </w:rPr>
                <w:t>9J-2.045(2)(h)</w:t>
              </w:r>
            </w:hyperlink>
            <w:r w:rsidRPr="00B6478D">
              <w:t>: “Proportionate share contribution means, only in the context of this rule, a contribution from a developer or owner of a DRI to the local government or government agency having maintenance responsibilities for those facilities, which make adequate financial provision for the public transportation facilities needed to accommodate the impacts of the proposed development on roadways outside the local government of jurisdiction’s Concurrency Management System area. The proportionate share contribution shall be deemed to make adequate financial provision for such facilities if it is equal to or greater than the sum of the costs of improvements attributable to the proposed development derived from the application of the formula below. The costs of improvements attributable to the proposed development are based upon the sum of the cost of improving each significantly impacted state and regional roadway which will operate at worse than the level of service standard in the local government’s approved comprehensive plan or the FDOT level of service standards for roads on the Florida Intrastate Highway System at each project stage or project phase and at project build out. The proportionate share of the cost of improvements of each such roadway is calculated according to the following formula:</w:t>
            </w:r>
          </w:p>
        </w:tc>
      </w:tr>
    </w:tbl>
    <w:p w:rsidR="00D62552" w:rsidRDefault="00D62552">
      <w:r>
        <w:br w:type="page"/>
      </w:r>
    </w:p>
    <w:tbl>
      <w:tblPr>
        <w:tblW w:w="10375" w:type="dxa"/>
        <w:tblLayout w:type="fixed"/>
        <w:tblLook w:val="0000"/>
      </w:tblPr>
      <w:tblGrid>
        <w:gridCol w:w="2455"/>
        <w:gridCol w:w="1613"/>
        <w:gridCol w:w="6307"/>
      </w:tblGrid>
      <w:tr w:rsidR="00225952" w:rsidRPr="00D16D56" w:rsidTr="00225952">
        <w:tc>
          <w:tcPr>
            <w:tcW w:w="10375" w:type="dxa"/>
            <w:gridSpan w:val="3"/>
            <w:vAlign w:val="center"/>
          </w:tcPr>
          <w:p w:rsidR="00225952" w:rsidRPr="00B6478D" w:rsidRDefault="00225952" w:rsidP="00225952">
            <w:pPr>
              <w:spacing w:after="120"/>
              <w:jc w:val="center"/>
              <w:rPr>
                <w:szCs w:val="23"/>
              </w:rPr>
            </w:pPr>
            <m:oMathPara>
              <m:oMathParaPr>
                <m:jc m:val="center"/>
              </m:oMathParaPr>
              <m:oMath>
                <m:r>
                  <m:rPr>
                    <m:sty m:val="p"/>
                  </m:rPr>
                  <w:rPr>
                    <w:rFonts w:ascii="Cambria Math" w:hAnsi="Cambria Math" w:cs="Tahoma"/>
                    <w:sz w:val="32"/>
                    <w:szCs w:val="23"/>
                  </w:rPr>
                  <w:lastRenderedPageBreak/>
                  <m:t>Proportionate</m:t>
                </m:r>
                <m:r>
                  <m:rPr>
                    <m:sty m:val="p"/>
                  </m:rPr>
                  <w:rPr>
                    <w:rFonts w:ascii="Cambria Math" w:cs="Tahoma"/>
                    <w:sz w:val="32"/>
                    <w:szCs w:val="23"/>
                  </w:rPr>
                  <m:t xml:space="preserve"> </m:t>
                </m:r>
                <m:r>
                  <m:rPr>
                    <m:sty m:val="p"/>
                  </m:rPr>
                  <w:rPr>
                    <w:rFonts w:ascii="Cambria Math" w:hAnsi="Cambria Math" w:cs="Tahoma"/>
                    <w:sz w:val="32"/>
                    <w:szCs w:val="23"/>
                  </w:rPr>
                  <m:t>Share</m:t>
                </m:r>
                <m:r>
                  <m:rPr>
                    <m:sty m:val="p"/>
                  </m:rPr>
                  <w:rPr>
                    <w:rFonts w:ascii="Cambria Math" w:cs="Tahoma"/>
                    <w:sz w:val="32"/>
                    <w:szCs w:val="23"/>
                  </w:rPr>
                  <m:t>=</m:t>
                </m:r>
                <m:d>
                  <m:dPr>
                    <m:ctrlPr>
                      <w:rPr>
                        <w:rFonts w:ascii="Cambria Math" w:hAnsi="Cambria Math" w:cs="Tahoma"/>
                        <w:sz w:val="32"/>
                        <w:szCs w:val="23"/>
                      </w:rPr>
                    </m:ctrlPr>
                  </m:dPr>
                  <m:e>
                    <m:f>
                      <m:fPr>
                        <m:ctrlPr>
                          <w:rPr>
                            <w:rFonts w:ascii="Cambria Math" w:hAnsi="Cambria Math" w:cs="Tahoma"/>
                            <w:sz w:val="32"/>
                            <w:szCs w:val="23"/>
                          </w:rPr>
                        </m:ctrlPr>
                      </m:fPr>
                      <m:num>
                        <m:r>
                          <m:rPr>
                            <m:sty m:val="p"/>
                          </m:rPr>
                          <w:rPr>
                            <w:rFonts w:ascii="Cambria Math" w:hAnsi="Cambria Math" w:cs="Tahoma"/>
                            <w:sz w:val="32"/>
                            <w:szCs w:val="23"/>
                          </w:rPr>
                          <m:t>DRI</m:t>
                        </m:r>
                        <m:r>
                          <m:rPr>
                            <m:sty m:val="p"/>
                          </m:rPr>
                          <w:rPr>
                            <w:rFonts w:ascii="Cambria Math" w:cs="Tahoma"/>
                            <w:sz w:val="32"/>
                            <w:szCs w:val="23"/>
                          </w:rPr>
                          <m:t xml:space="preserve"> </m:t>
                        </m:r>
                        <m:r>
                          <m:rPr>
                            <m:sty m:val="p"/>
                          </m:rPr>
                          <w:rPr>
                            <w:rFonts w:ascii="Cambria Math" w:hAnsi="Cambria Math" w:cs="Tahoma"/>
                            <w:sz w:val="32"/>
                            <w:szCs w:val="23"/>
                          </w:rPr>
                          <m:t>Trips</m:t>
                        </m:r>
                      </m:num>
                      <m:den>
                        <m:r>
                          <m:rPr>
                            <m:sty m:val="p"/>
                          </m:rPr>
                          <w:rPr>
                            <w:rFonts w:ascii="Cambria Math" w:hAnsi="Cambria Math" w:cs="Tahoma"/>
                            <w:sz w:val="32"/>
                            <w:szCs w:val="23"/>
                          </w:rPr>
                          <m:t>SV Increase</m:t>
                        </m:r>
                      </m:den>
                    </m:f>
                  </m:e>
                </m:d>
                <m:r>
                  <m:rPr>
                    <m:sty m:val="p"/>
                  </m:rPr>
                  <w:rPr>
                    <w:rFonts w:ascii="Cambria Math" w:hAnsi="Cambria Math" w:cs="Tahoma"/>
                    <w:sz w:val="32"/>
                    <w:szCs w:val="23"/>
                  </w:rPr>
                  <m:t>*Cost</m:t>
                </m:r>
              </m:oMath>
            </m:oMathPara>
          </w:p>
        </w:tc>
      </w:tr>
      <w:tr w:rsidR="00225952" w:rsidRPr="00D16D56" w:rsidTr="00225952">
        <w:tc>
          <w:tcPr>
            <w:tcW w:w="2455" w:type="dxa"/>
          </w:tcPr>
          <w:p w:rsidR="00225952" w:rsidRPr="00C86195" w:rsidRDefault="00225952" w:rsidP="00225952">
            <w:pPr>
              <w:spacing w:after="120"/>
              <w:jc w:val="right"/>
              <w:rPr>
                <w:i/>
                <w:szCs w:val="23"/>
                <w:highlight w:val="yellow"/>
              </w:rPr>
            </w:pPr>
            <w:r w:rsidRPr="00C86195">
              <w:rPr>
                <w:i/>
                <w:szCs w:val="23"/>
              </w:rPr>
              <w:t>Where:</w:t>
            </w:r>
          </w:p>
        </w:tc>
        <w:tc>
          <w:tcPr>
            <w:tcW w:w="1613" w:type="dxa"/>
          </w:tcPr>
          <w:p w:rsidR="00225952" w:rsidRPr="00D16D56" w:rsidRDefault="00225952" w:rsidP="00225952">
            <w:pPr>
              <w:spacing w:after="120"/>
              <w:jc w:val="right"/>
              <w:rPr>
                <w:szCs w:val="23"/>
                <w:highlight w:val="yellow"/>
              </w:rPr>
            </w:pPr>
            <w:r w:rsidRPr="00B6478D">
              <w:rPr>
                <w:szCs w:val="23"/>
              </w:rPr>
              <w:t>DRI Trips:</w:t>
            </w:r>
          </w:p>
        </w:tc>
        <w:tc>
          <w:tcPr>
            <w:tcW w:w="6307" w:type="dxa"/>
          </w:tcPr>
          <w:p w:rsidR="00225952" w:rsidRPr="00B6478D" w:rsidRDefault="00225952" w:rsidP="00225952">
            <w:pPr>
              <w:spacing w:after="60"/>
            </w:pPr>
            <w:r w:rsidRPr="00B6478D">
              <w:t xml:space="preserve">cumulative number of the trips from the proposed development expected to reach the roadway during the peak hour from the complete build out of a stage or phase being approved </w:t>
            </w:r>
          </w:p>
        </w:tc>
      </w:tr>
      <w:tr w:rsidR="00225952" w:rsidRPr="00D16D56" w:rsidTr="00225952">
        <w:tc>
          <w:tcPr>
            <w:tcW w:w="2455" w:type="dxa"/>
          </w:tcPr>
          <w:p w:rsidR="00225952" w:rsidRPr="00D16D56" w:rsidRDefault="00225952" w:rsidP="00225952">
            <w:pPr>
              <w:spacing w:after="120"/>
              <w:rPr>
                <w:szCs w:val="23"/>
                <w:highlight w:val="yellow"/>
              </w:rPr>
            </w:pPr>
          </w:p>
        </w:tc>
        <w:tc>
          <w:tcPr>
            <w:tcW w:w="1613" w:type="dxa"/>
          </w:tcPr>
          <w:p w:rsidR="00225952" w:rsidRPr="00D16D56" w:rsidRDefault="00225952" w:rsidP="00225952">
            <w:pPr>
              <w:spacing w:after="120"/>
              <w:jc w:val="right"/>
              <w:rPr>
                <w:szCs w:val="23"/>
                <w:highlight w:val="yellow"/>
              </w:rPr>
            </w:pPr>
            <w:r w:rsidRPr="00B6478D">
              <w:rPr>
                <w:szCs w:val="23"/>
              </w:rPr>
              <w:t>SV Increase:</w:t>
            </w:r>
          </w:p>
        </w:tc>
        <w:tc>
          <w:tcPr>
            <w:tcW w:w="6307" w:type="dxa"/>
          </w:tcPr>
          <w:p w:rsidR="00225952" w:rsidRPr="00B6478D" w:rsidRDefault="00225952" w:rsidP="00225952">
            <w:pPr>
              <w:spacing w:after="60"/>
            </w:pPr>
            <w:r w:rsidRPr="00B6478D">
              <w:t xml:space="preserve">the change in peak-hour maximum service volume of the roadway resulting from construction of the improvement necessary to maintain the adopted level of service </w:t>
            </w:r>
          </w:p>
        </w:tc>
      </w:tr>
      <w:tr w:rsidR="00225952" w:rsidRPr="00D16D56" w:rsidTr="00225952">
        <w:tc>
          <w:tcPr>
            <w:tcW w:w="2455" w:type="dxa"/>
          </w:tcPr>
          <w:p w:rsidR="00225952" w:rsidRPr="00D16D56" w:rsidRDefault="00225952" w:rsidP="00225952">
            <w:pPr>
              <w:spacing w:after="120"/>
              <w:rPr>
                <w:szCs w:val="23"/>
                <w:highlight w:val="yellow"/>
              </w:rPr>
            </w:pPr>
          </w:p>
        </w:tc>
        <w:tc>
          <w:tcPr>
            <w:tcW w:w="1613" w:type="dxa"/>
          </w:tcPr>
          <w:p w:rsidR="00225952" w:rsidRPr="00D16D56" w:rsidRDefault="00225952" w:rsidP="00225952">
            <w:pPr>
              <w:spacing w:after="120"/>
              <w:jc w:val="right"/>
              <w:rPr>
                <w:szCs w:val="23"/>
                <w:highlight w:val="yellow"/>
              </w:rPr>
            </w:pPr>
            <w:r w:rsidRPr="00B6478D">
              <w:rPr>
                <w:szCs w:val="23"/>
              </w:rPr>
              <w:t>Cost:</w:t>
            </w:r>
          </w:p>
        </w:tc>
        <w:tc>
          <w:tcPr>
            <w:tcW w:w="6307" w:type="dxa"/>
          </w:tcPr>
          <w:p w:rsidR="00225952" w:rsidRPr="00B6478D" w:rsidRDefault="00225952" w:rsidP="00225952">
            <w:pPr>
              <w:spacing w:after="60"/>
            </w:pPr>
            <w:r w:rsidRPr="00B6478D">
              <w:t xml:space="preserve">Cost of construction at the time of developer payment of an improvement necessary to maintain the adopted level of service. Construction cost includes all improvement associated costs, including engineering design, right of way acquisition, planning, </w:t>
            </w:r>
            <w:r w:rsidRPr="00EF0043">
              <w:rPr>
                <w:spacing w:val="-4"/>
              </w:rPr>
              <w:t>engineering, inspection and other associated physical development costs directly required and associated with the construction of the improvement, as determined by the governmental agency having maintenance authority over the roadway.</w:t>
            </w:r>
          </w:p>
        </w:tc>
      </w:tr>
      <w:tr w:rsidR="00225952" w:rsidRPr="0071427E" w:rsidTr="00225952">
        <w:tc>
          <w:tcPr>
            <w:tcW w:w="2455" w:type="dxa"/>
          </w:tcPr>
          <w:p w:rsidR="00225952" w:rsidRPr="0071427E" w:rsidRDefault="00225952" w:rsidP="00225952">
            <w:pPr>
              <w:pStyle w:val="Heading4"/>
            </w:pPr>
            <w:r w:rsidRPr="0071427E">
              <w:t>Considerations</w:t>
            </w:r>
          </w:p>
        </w:tc>
        <w:tc>
          <w:tcPr>
            <w:tcW w:w="7920" w:type="dxa"/>
            <w:gridSpan w:val="2"/>
          </w:tcPr>
          <w:p w:rsidR="00225952" w:rsidRPr="0071427E" w:rsidRDefault="00225952" w:rsidP="00225952">
            <w:pPr>
              <w:spacing w:after="120"/>
            </w:pPr>
            <w:r w:rsidRPr="0071427E">
              <w:t>Both the number of DRI trips and the SV increase are typically determined through a traffic study. Care should be taken to ensure the correct application of trip generation and trip distribution estimates within the traffic study to properly assess the number of DRI trips. Similarly, correct application of highway capacity and LOS analysis is needed to estimate the SV increase using analysis tools such as the Generalized Tables, ARTPLAN, or HCS.</w:t>
            </w:r>
          </w:p>
          <w:p w:rsidR="00225952" w:rsidRPr="0071427E" w:rsidRDefault="00225952" w:rsidP="00225952">
            <w:pPr>
              <w:spacing w:after="120"/>
            </w:pPr>
            <w:r w:rsidRPr="0071427E">
              <w:t>Cost is a critical factor and should be determined through coordination with the maintaining agency responsible for the facility to be mitigated. Because proportionate share funding may play a key role in the overall project funding plan, it is essential that project cost estimates be as accurate as possible. Underestimation of improvement costs will result in a project funding shortfall that will need to be made up when the project gets delivered.</w:t>
            </w:r>
          </w:p>
          <w:p w:rsidR="00225952" w:rsidRPr="0071427E" w:rsidRDefault="00225952" w:rsidP="00225952">
            <w:pPr>
              <w:spacing w:after="120"/>
            </w:pPr>
            <w:r w:rsidRPr="0071427E">
              <w:t xml:space="preserve">Proportionate share payments are based on costs at the time of developer payment. As a result, the payment timing can significantly influence the actual amount of payment required. If payment will be made in the near term, current cost estimates and inflation factors can be used. If future payment is desired by the applicant, then the proportionate share should be determined as a percentage of overall project cost and the actual cost to the applicant will be determined at the time of payment. Given the time value of money and the potential for significant cost increases over time, it is important that applicants understand the potential for cost escalations associated with future payment. </w:t>
            </w:r>
          </w:p>
          <w:p w:rsidR="00225952" w:rsidRPr="0071427E" w:rsidRDefault="00225952" w:rsidP="00225952">
            <w:pPr>
              <w:spacing w:after="120"/>
            </w:pPr>
            <w:r w:rsidRPr="0071427E">
              <w:lastRenderedPageBreak/>
              <w:t xml:space="preserve">It is essential that the language included in the project Development Order is clear in stating that project costs are at the time of payment. Due to the many factors that influence the timing of a development program, Development Order language should avoid binding an agency to a present day project cost for a future year improvement. </w:t>
            </w:r>
          </w:p>
          <w:p w:rsidR="00225952" w:rsidRPr="0071427E" w:rsidRDefault="00225952" w:rsidP="00225952">
            <w:r w:rsidRPr="0071427E">
              <w:t xml:space="preserve">A developer may be presented with options by the FDOT for the payment of the proportionate share determined using the DRI formula or other accepted methodology. The options for payment could include other transfer payments such as right of way donation, in addition to or in combination with options such as having the developer construct the actual improvement. </w:t>
            </w:r>
          </w:p>
        </w:tc>
      </w:tr>
      <w:tr w:rsidR="00225952" w:rsidRPr="00D16D56" w:rsidTr="00225952">
        <w:tc>
          <w:tcPr>
            <w:tcW w:w="10375" w:type="dxa"/>
            <w:gridSpan w:val="3"/>
          </w:tcPr>
          <w:p w:rsidR="00225952" w:rsidRPr="00D46DE0" w:rsidRDefault="00F77AF3" w:rsidP="00225952">
            <w:pPr>
              <w:pStyle w:val="Heading3"/>
              <w:rPr>
                <w:szCs w:val="23"/>
              </w:rPr>
            </w:pPr>
            <w:bookmarkStart w:id="348" w:name="_Toc232912696"/>
            <w:bookmarkStart w:id="349" w:name="_Toc264274187"/>
            <w:r>
              <w:lastRenderedPageBreak/>
              <w:t>5.4</w:t>
            </w:r>
            <w:r w:rsidR="00D62552">
              <w:t xml:space="preserve">.5  </w:t>
            </w:r>
            <w:r w:rsidR="00225952" w:rsidRPr="00D46DE0">
              <w:t>Example Proportionate Share (DRI) Calculations</w:t>
            </w:r>
            <w:bookmarkEnd w:id="348"/>
            <w:bookmarkEnd w:id="349"/>
          </w:p>
        </w:tc>
      </w:tr>
      <w:tr w:rsidR="00225952" w:rsidRPr="00D16D56" w:rsidTr="00225952">
        <w:tc>
          <w:tcPr>
            <w:tcW w:w="2455" w:type="dxa"/>
          </w:tcPr>
          <w:p w:rsidR="00225952" w:rsidRPr="00D46DE0" w:rsidRDefault="00225952" w:rsidP="00225952">
            <w:pPr>
              <w:pStyle w:val="Heading3"/>
            </w:pPr>
          </w:p>
        </w:tc>
        <w:tc>
          <w:tcPr>
            <w:tcW w:w="7920" w:type="dxa"/>
            <w:gridSpan w:val="2"/>
          </w:tcPr>
          <w:p w:rsidR="00225952" w:rsidRPr="00D46DE0" w:rsidRDefault="00225952" w:rsidP="00225952">
            <w:r w:rsidRPr="00D46DE0">
              <w:t>Three examples are provided below to highlight proportionate share calculations for a range of circumstances.</w:t>
            </w:r>
          </w:p>
        </w:tc>
      </w:tr>
      <w:tr w:rsidR="00225952" w:rsidRPr="00D16D56" w:rsidTr="00225952">
        <w:tc>
          <w:tcPr>
            <w:tcW w:w="2455" w:type="dxa"/>
          </w:tcPr>
          <w:p w:rsidR="00225952" w:rsidRPr="00D46DE0" w:rsidRDefault="00225952" w:rsidP="00225952">
            <w:pPr>
              <w:pStyle w:val="Heading4"/>
            </w:pPr>
            <w:r w:rsidRPr="00D46DE0">
              <w:t xml:space="preserve">Example #1: </w:t>
            </w:r>
            <w:r w:rsidRPr="003545C4">
              <w:rPr>
                <w:b w:val="0"/>
              </w:rPr>
              <w:t>Fictional Highway Widening Situation</w:t>
            </w:r>
          </w:p>
          <w:p w:rsidR="00225952" w:rsidRPr="00D46DE0" w:rsidRDefault="00225952" w:rsidP="00225952">
            <w:pPr>
              <w:spacing w:after="120"/>
              <w:rPr>
                <w:szCs w:val="23"/>
              </w:rPr>
            </w:pPr>
          </w:p>
        </w:tc>
        <w:tc>
          <w:tcPr>
            <w:tcW w:w="7920" w:type="dxa"/>
            <w:gridSpan w:val="2"/>
          </w:tcPr>
          <w:p w:rsidR="00225952" w:rsidRPr="00D46DE0" w:rsidRDefault="00225952" w:rsidP="00225952">
            <w:r w:rsidRPr="00D46DE0">
              <w:t>A proposed development will significantly impact an existing two-lane roadway by adding 750 peak-hour directional trips. The background traffic on this roadway is 710 directional vehicles per hour during the peak. The MSV at the LOS standard of C for this facility (Class la1, divided with bays) is 790 directional vehicles per hour. As a result of the proposed development, the proposed mitigation improvement for this roadway will be to widen the facility to a four-lane roadway with a median and turn bays at a cost of $1,366,000. The MSV for the proposed facility (Class Ia1 divided with bays) is 1,610 directional vehicles per hour, an increase of 820 directional vehicles per hour. Applying the DRI proportionate share formula, the developer will be responsible for the following costs:</w:t>
            </w:r>
          </w:p>
          <w:p w:rsidR="00225952" w:rsidRPr="007920DE" w:rsidRDefault="00225952" w:rsidP="00225952">
            <w:pPr>
              <w:rPr>
                <w:rFonts w:ascii="Cambria" w:hAnsi="Cambria"/>
                <w:sz w:val="24"/>
                <w:szCs w:val="23"/>
              </w:rPr>
            </w:pPr>
            <w:r w:rsidRPr="00D46DE0">
              <w:rPr>
                <w:szCs w:val="23"/>
              </w:rPr>
              <w:tab/>
            </w:r>
            <w:r w:rsidRPr="007920DE">
              <w:rPr>
                <w:rFonts w:ascii="Cambria" w:hAnsi="Cambria"/>
                <w:sz w:val="24"/>
                <w:szCs w:val="23"/>
              </w:rPr>
              <w:t>Proportionate Share =   750/820 *  $1,366,000</w:t>
            </w:r>
          </w:p>
          <w:p w:rsidR="00225952" w:rsidRPr="007920DE" w:rsidRDefault="007920DE" w:rsidP="00225952">
            <w:pPr>
              <w:ind w:firstLine="360"/>
              <w:rPr>
                <w:rFonts w:asciiTheme="majorHAnsi" w:hAnsiTheme="majorHAnsi"/>
                <w:sz w:val="24"/>
                <w:szCs w:val="23"/>
              </w:rPr>
            </w:pPr>
            <w:r w:rsidRPr="007920DE">
              <w:rPr>
                <w:rFonts w:asciiTheme="majorHAnsi" w:hAnsiTheme="majorHAnsi"/>
                <w:sz w:val="24"/>
                <w:szCs w:val="23"/>
              </w:rPr>
              <w:tab/>
            </w:r>
            <w:r w:rsidR="00225952" w:rsidRPr="007920DE">
              <w:rPr>
                <w:rFonts w:asciiTheme="majorHAnsi" w:hAnsiTheme="majorHAnsi"/>
                <w:sz w:val="24"/>
                <w:szCs w:val="23"/>
              </w:rPr>
              <w:t>Resulting in a cost of $1,249,290 to the developer.</w:t>
            </w:r>
          </w:p>
          <w:p w:rsidR="00C86195" w:rsidRDefault="00C86195" w:rsidP="00225952">
            <w:pPr>
              <w:ind w:firstLine="360"/>
              <w:rPr>
                <w:szCs w:val="23"/>
              </w:rPr>
            </w:pPr>
          </w:p>
          <w:p w:rsidR="00C86195" w:rsidRPr="00D46DE0" w:rsidRDefault="00C86195" w:rsidP="00225952">
            <w:pPr>
              <w:ind w:firstLine="360"/>
              <w:rPr>
                <w:szCs w:val="23"/>
              </w:rPr>
            </w:pPr>
          </w:p>
        </w:tc>
      </w:tr>
    </w:tbl>
    <w:p w:rsidR="007920DE" w:rsidRDefault="007920DE">
      <w:r>
        <w:rPr>
          <w:b/>
          <w:bCs/>
        </w:rPr>
        <w:br w:type="page"/>
      </w:r>
    </w:p>
    <w:tbl>
      <w:tblPr>
        <w:tblW w:w="10375" w:type="dxa"/>
        <w:tblLayout w:type="fixed"/>
        <w:tblLook w:val="0000"/>
      </w:tblPr>
      <w:tblGrid>
        <w:gridCol w:w="2455"/>
        <w:gridCol w:w="7920"/>
      </w:tblGrid>
      <w:tr w:rsidR="00225952" w:rsidRPr="00D16D56" w:rsidTr="00225952">
        <w:tc>
          <w:tcPr>
            <w:tcW w:w="2455" w:type="dxa"/>
          </w:tcPr>
          <w:p w:rsidR="00225952" w:rsidRPr="006A57F4" w:rsidRDefault="00225952" w:rsidP="00225952">
            <w:pPr>
              <w:pStyle w:val="Heading4"/>
              <w:rPr>
                <w:rFonts w:cs="Tahoma"/>
              </w:rPr>
            </w:pPr>
            <w:r w:rsidRPr="0000471A">
              <w:rPr>
                <w:highlight w:val="yellow"/>
              </w:rPr>
              <w:lastRenderedPageBreak/>
              <w:br w:type="page"/>
            </w:r>
            <w:r w:rsidRPr="002D4635">
              <w:t>Example #2:</w:t>
            </w:r>
            <w:r w:rsidRPr="006A57F4">
              <w:t xml:space="preserve"> </w:t>
            </w:r>
            <w:r w:rsidRPr="003545C4">
              <w:rPr>
                <w:b w:val="0"/>
              </w:rPr>
              <w:t xml:space="preserve">Fowler’s Grove </w:t>
            </w:r>
            <w:r w:rsidRPr="003545C4">
              <w:rPr>
                <w:rFonts w:cs="Tahoma"/>
                <w:b w:val="0"/>
              </w:rPr>
              <w:t>DRI</w:t>
            </w:r>
            <w:r w:rsidRPr="006A57F4">
              <w:rPr>
                <w:rFonts w:cs="Tahoma"/>
              </w:rPr>
              <w:t xml:space="preserve"> </w:t>
            </w:r>
          </w:p>
        </w:tc>
        <w:tc>
          <w:tcPr>
            <w:tcW w:w="7920" w:type="dxa"/>
          </w:tcPr>
          <w:p w:rsidR="00225952" w:rsidRPr="006A57F4" w:rsidRDefault="00225952" w:rsidP="00225952">
            <w:pPr>
              <w:spacing w:after="120"/>
              <w:rPr>
                <w:szCs w:val="23"/>
              </w:rPr>
            </w:pPr>
            <w:r w:rsidRPr="006A57F4">
              <w:rPr>
                <w:szCs w:val="23"/>
              </w:rPr>
              <w:t xml:space="preserve">Fowler’s Grove is located in the City of </w:t>
            </w:r>
            <w:smartTag w:uri="urn:schemas-microsoft-com:office:smarttags" w:element="place">
              <w:smartTag w:uri="urn:schemas-microsoft-com:office:smarttags" w:element="City">
                <w:r w:rsidRPr="006A57F4">
                  <w:rPr>
                    <w:szCs w:val="23"/>
                  </w:rPr>
                  <w:t>Winter Garden</w:t>
                </w:r>
              </w:smartTag>
            </w:smartTag>
            <w:r w:rsidRPr="006A57F4">
              <w:rPr>
                <w:szCs w:val="23"/>
              </w:rPr>
              <w:t xml:space="preserve">. The project proposal involved a single phase DRI supporting 60,000 square feet of office space and 100 multi-family residential units. The DRI determined the project would have a significant and adverse impact on a 5.3-mile segment of SR 50 impacting </w:t>
            </w:r>
            <w:smartTag w:uri="urn:schemas-microsoft-com:office:smarttags" w:element="place">
              <w:smartTag w:uri="urn:schemas-microsoft-com:office:smarttags" w:element="PlaceName">
                <w:r w:rsidRPr="006A57F4">
                  <w:rPr>
                    <w:szCs w:val="23"/>
                  </w:rPr>
                  <w:t>Orange</w:t>
                </w:r>
              </w:smartTag>
              <w:r w:rsidRPr="006A57F4">
                <w:rPr>
                  <w:szCs w:val="23"/>
                </w:rPr>
                <w:t xml:space="preserve"> </w:t>
              </w:r>
              <w:smartTag w:uri="urn:schemas-microsoft-com:office:smarttags" w:element="PlaceType">
                <w:r w:rsidRPr="006A57F4">
                  <w:rPr>
                    <w:szCs w:val="23"/>
                  </w:rPr>
                  <w:t>County</w:t>
                </w:r>
              </w:smartTag>
            </w:smartTag>
            <w:r w:rsidRPr="006A57F4">
              <w:rPr>
                <w:szCs w:val="23"/>
              </w:rPr>
              <w:t xml:space="preserve"> and the Cities of Winter Garden and Ocoee</w:t>
            </w:r>
          </w:p>
        </w:tc>
      </w:tr>
      <w:tr w:rsidR="00225952" w:rsidRPr="00D16D56" w:rsidTr="00C86195">
        <w:tc>
          <w:tcPr>
            <w:tcW w:w="2455" w:type="dxa"/>
          </w:tcPr>
          <w:p w:rsidR="00225952" w:rsidRDefault="00C86195" w:rsidP="00C86195">
            <w:pPr>
              <w:pStyle w:val="Exhibit"/>
              <w:tabs>
                <w:tab w:val="left" w:pos="561"/>
                <w:tab w:val="center" w:pos="1119"/>
              </w:tabs>
              <w:jc w:val="left"/>
            </w:pPr>
            <w:r>
              <w:br w:type="page"/>
            </w:r>
            <w:r>
              <w:tab/>
            </w:r>
            <w:r>
              <w:tab/>
            </w:r>
            <w:r w:rsidR="00784F8A">
              <w:t>Exhibit 27</w:t>
            </w:r>
          </w:p>
          <w:p w:rsidR="00784F8A" w:rsidRPr="006A57F4" w:rsidRDefault="00784F8A" w:rsidP="00784F8A">
            <w:pPr>
              <w:pStyle w:val="ExhibitTitle"/>
            </w:pPr>
            <w:r>
              <w:t>Prop Share Calculation</w:t>
            </w:r>
          </w:p>
        </w:tc>
        <w:tc>
          <w:tcPr>
            <w:tcW w:w="7920" w:type="dxa"/>
            <w:vAlign w:val="bottom"/>
          </w:tcPr>
          <w:p w:rsidR="00225952" w:rsidRPr="006A57F4" w:rsidRDefault="00225952" w:rsidP="00C86195">
            <w:pPr>
              <w:spacing w:after="0"/>
            </w:pPr>
            <w:r w:rsidRPr="006A57F4">
              <w:rPr>
                <w:b/>
              </w:rPr>
              <w:t xml:space="preserve">Exhibit </w:t>
            </w:r>
            <w:r w:rsidR="00784F8A">
              <w:rPr>
                <w:b/>
              </w:rPr>
              <w:t>27</w:t>
            </w:r>
            <w:r w:rsidRPr="006A57F4">
              <w:t xml:space="preserve"> below illustrates the proportional share calculations prepared for Fowlers Grove.</w:t>
            </w:r>
          </w:p>
        </w:tc>
      </w:tr>
      <w:tr w:rsidR="00225952" w:rsidRPr="00D16D56" w:rsidTr="00225952">
        <w:tc>
          <w:tcPr>
            <w:tcW w:w="10375" w:type="dxa"/>
            <w:gridSpan w:val="2"/>
          </w:tcPr>
          <w:p w:rsidR="00225952" w:rsidRPr="006A57F4" w:rsidRDefault="00225952" w:rsidP="00E7413B">
            <w:pPr>
              <w:spacing w:after="0"/>
              <w:jc w:val="right"/>
              <w:rPr>
                <w:szCs w:val="23"/>
              </w:rPr>
            </w:pPr>
            <w:r w:rsidRPr="006A57F4">
              <w:rPr>
                <w:noProof/>
                <w:szCs w:val="23"/>
              </w:rPr>
              <w:drawing>
                <wp:inline distT="0" distB="0" distL="0" distR="0">
                  <wp:extent cx="6515100" cy="2533650"/>
                  <wp:effectExtent l="19050" t="0" r="0" b="0"/>
                  <wp:docPr id="53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4" cstate="print"/>
                          <a:srcRect l="4544" t="12292" r="6654" b="43001"/>
                          <a:stretch>
                            <a:fillRect/>
                          </a:stretch>
                        </pic:blipFill>
                        <pic:spPr bwMode="auto">
                          <a:xfrm>
                            <a:off x="0" y="0"/>
                            <a:ext cx="6515100" cy="2533650"/>
                          </a:xfrm>
                          <a:prstGeom prst="rect">
                            <a:avLst/>
                          </a:prstGeom>
                          <a:noFill/>
                          <a:ln w="9525">
                            <a:noFill/>
                            <a:miter lim="800000"/>
                            <a:headEnd/>
                            <a:tailEnd/>
                          </a:ln>
                        </pic:spPr>
                      </pic:pic>
                    </a:graphicData>
                  </a:graphic>
                </wp:inline>
              </w:drawing>
            </w:r>
          </w:p>
        </w:tc>
      </w:tr>
      <w:tr w:rsidR="00D62552" w:rsidRPr="00D16D56" w:rsidTr="00225952">
        <w:tc>
          <w:tcPr>
            <w:tcW w:w="10375" w:type="dxa"/>
            <w:gridSpan w:val="2"/>
          </w:tcPr>
          <w:p w:rsidR="00D62552" w:rsidRPr="006A57F4" w:rsidRDefault="00F77AF3" w:rsidP="00D62552">
            <w:pPr>
              <w:pStyle w:val="Heading3"/>
              <w:rPr>
                <w:noProof/>
              </w:rPr>
            </w:pPr>
            <w:bookmarkStart w:id="350" w:name="_Toc232912697"/>
            <w:bookmarkStart w:id="351" w:name="_Toc264274188"/>
            <w:r>
              <w:t>5.4</w:t>
            </w:r>
            <w:r w:rsidR="00D62552">
              <w:t xml:space="preserve">.6  </w:t>
            </w:r>
            <w:r w:rsidR="00D62552" w:rsidRPr="00BC74D4">
              <w:t>Proportionate Fair Share (Sub-DRI) Mitigation</w:t>
            </w:r>
            <w:bookmarkEnd w:id="350"/>
            <w:bookmarkEnd w:id="351"/>
          </w:p>
        </w:tc>
      </w:tr>
      <w:tr w:rsidR="00225952" w:rsidRPr="00D16D56" w:rsidTr="00225952">
        <w:tc>
          <w:tcPr>
            <w:tcW w:w="2455" w:type="dxa"/>
          </w:tcPr>
          <w:p w:rsidR="00225952" w:rsidRPr="00BC74D4" w:rsidRDefault="00225952" w:rsidP="00225952">
            <w:pPr>
              <w:pStyle w:val="Heading3"/>
            </w:pPr>
          </w:p>
        </w:tc>
        <w:tc>
          <w:tcPr>
            <w:tcW w:w="7920" w:type="dxa"/>
          </w:tcPr>
          <w:p w:rsidR="00225952" w:rsidRPr="00BC74D4" w:rsidRDefault="00225952" w:rsidP="00C86195">
            <w:pPr>
              <w:spacing w:after="120"/>
            </w:pPr>
            <w:r w:rsidRPr="00BC74D4">
              <w:t xml:space="preserve">Proportionate fair share mitigation is also defined by </w:t>
            </w:r>
            <w:hyperlink r:id="rId395" w:history="1">
              <w:r w:rsidRPr="00BC74D4">
                <w:rPr>
                  <w:rStyle w:val="Hyperlink"/>
                </w:rPr>
                <w:t>Section 163.3180(16), F.S.</w:t>
              </w:r>
            </w:hyperlink>
            <w:r w:rsidRPr="00BC74D4">
              <w:t xml:space="preserve"> and applies to smaller, sub-DRI level developments. As in proportionate share for DRIs, proportionate fair share provides options to mitigate development impacts through cooperative efforts between the public and private sector. This option provides a way for developers to satisfy transportation concurrency requirements by funding a </w:t>
            </w:r>
            <w:r w:rsidRPr="00BC74D4">
              <w:rPr>
                <w:i/>
              </w:rPr>
              <w:t>specific</w:t>
            </w:r>
            <w:r w:rsidRPr="00BC74D4">
              <w:t xml:space="preserve"> road segment or segments falling below LOS standards set for in </w:t>
            </w:r>
            <w:hyperlink r:id="rId396" w:history="1">
              <w:r w:rsidRPr="00BC74D4">
                <w:rPr>
                  <w:rStyle w:val="Hyperlink"/>
                </w:rPr>
                <w:t>Rule 14-94, F.A.C.</w:t>
              </w:r>
            </w:hyperlink>
            <w:r w:rsidRPr="00BC74D4">
              <w:t xml:space="preserve"> Examples of proportionate fair-share mitigation may include the contribution of private funds, contributions of land, and/or construction and contribution of facilities. Proportionate Fair-Share may be employed when a roadway fails to meet concurrency standards, for small scale developments (non-DRI), and where adequate funding exists to build the entire project. </w:t>
            </w:r>
          </w:p>
        </w:tc>
      </w:tr>
    </w:tbl>
    <w:p w:rsidR="00E7413B" w:rsidRDefault="00E7413B">
      <w:r>
        <w:br w:type="page"/>
      </w:r>
    </w:p>
    <w:tbl>
      <w:tblPr>
        <w:tblW w:w="10375" w:type="dxa"/>
        <w:tblLayout w:type="fixed"/>
        <w:tblLook w:val="0000"/>
      </w:tblPr>
      <w:tblGrid>
        <w:gridCol w:w="2455"/>
        <w:gridCol w:w="7920"/>
      </w:tblGrid>
      <w:tr w:rsidR="00225952" w:rsidRPr="00D16D56" w:rsidTr="00225952">
        <w:tc>
          <w:tcPr>
            <w:tcW w:w="2455" w:type="dxa"/>
          </w:tcPr>
          <w:p w:rsidR="00225952" w:rsidRPr="00D16D56" w:rsidRDefault="00225952" w:rsidP="00225952">
            <w:pPr>
              <w:spacing w:after="120"/>
              <w:rPr>
                <w:szCs w:val="23"/>
                <w:highlight w:val="yellow"/>
              </w:rPr>
            </w:pPr>
          </w:p>
        </w:tc>
        <w:tc>
          <w:tcPr>
            <w:tcW w:w="7920" w:type="dxa"/>
          </w:tcPr>
          <w:p w:rsidR="00225952" w:rsidRPr="00BC74D4" w:rsidRDefault="00225952" w:rsidP="00C86195">
            <w:pPr>
              <w:spacing w:after="120"/>
            </w:pPr>
            <w:r w:rsidRPr="00BC74D4">
              <w:t xml:space="preserve">By statute, proportionate fair share mitigation is limited for use in assuring that development pays for its share of transportation impact costs, and may not be used to reduce or eliminate concurrency backlogs, as defined in </w:t>
            </w:r>
            <w:hyperlink r:id="rId397" w:history="1">
              <w:r w:rsidRPr="00BC74D4">
                <w:rPr>
                  <w:rStyle w:val="Hyperlink"/>
                </w:rPr>
                <w:t>Section163.3182(d), F.S.</w:t>
              </w:r>
            </w:hyperlink>
            <w:r w:rsidRPr="00BC74D4">
              <w:t xml:space="preserve"> Developers have the option of paying into a fund, and in such cases the local government is responsible for addressing backlogs. </w:t>
            </w:r>
          </w:p>
          <w:p w:rsidR="00225952" w:rsidRPr="00D16D56" w:rsidRDefault="00225952" w:rsidP="00C86195">
            <w:pPr>
              <w:spacing w:after="120"/>
              <w:rPr>
                <w:highlight w:val="yellow"/>
              </w:rPr>
            </w:pPr>
            <w:r w:rsidRPr="00BC74D4">
              <w:t xml:space="preserve">If a roadway that requires concurrency mitigation is on the SIS, the FDOT should concur with, and be a party to, the agreement. The FDOT may also be party to other proportionate share mitigation agreements impacting the SIS where FDOT funds will be received. By signing an agreement, FDOT is not guaranteeing the project will be under construction within 10 years, but is agreeing with the local government that sufficient funding is reasonably anticipated within that timeframe. </w:t>
            </w:r>
          </w:p>
          <w:p w:rsidR="00225952" w:rsidRPr="00FA45A0" w:rsidRDefault="00225952" w:rsidP="00C86195">
            <w:pPr>
              <w:spacing w:after="120"/>
            </w:pPr>
            <w:r w:rsidRPr="00FA45A0">
              <w:t>Projects identified for funding for proportionate fair-share contributions must: be included in the 5-year schedule of capital improvements in a local government’s Capital Improvements Element (CIE), identified in the next update of the local government’s CIE, or identified in an adopted long-term Concurrency Management System (CMS). Under the current legal requirements, local governments must have a CMS in place prior to the adoption of a proportionate fair-share ordinance (</w:t>
            </w:r>
            <w:hyperlink r:id="rId398" w:history="1">
              <w:r w:rsidRPr="00FA45A0">
                <w:rPr>
                  <w:rStyle w:val="Hyperlink"/>
                </w:rPr>
                <w:t>s. 163.3180(16)(b)1, F.S.</w:t>
              </w:r>
            </w:hyperlink>
            <w:r w:rsidRPr="00FA45A0">
              <w:t>).  If a local government adopts a long-term CMS, it must:</w:t>
            </w:r>
          </w:p>
          <w:p w:rsidR="00225952" w:rsidRPr="00FA45A0" w:rsidRDefault="00225952" w:rsidP="00AD2D7A">
            <w:pPr>
              <w:pStyle w:val="TIHBullet"/>
              <w:numPr>
                <w:ilvl w:val="0"/>
                <w:numId w:val="66"/>
              </w:numPr>
              <w:spacing w:line="276" w:lineRule="auto"/>
              <w:rPr>
                <w:rFonts w:ascii="Calibri" w:hAnsi="Calibri"/>
                <w:sz w:val="23"/>
                <w:szCs w:val="23"/>
              </w:rPr>
            </w:pPr>
            <w:r w:rsidRPr="00FA45A0">
              <w:rPr>
                <w:rFonts w:ascii="Calibri" w:hAnsi="Calibri"/>
                <w:sz w:val="23"/>
                <w:szCs w:val="23"/>
              </w:rPr>
              <w:t>Concurrently adopt a long-term CIE covering up to a 10 or 15-year period</w:t>
            </w:r>
          </w:p>
          <w:p w:rsidR="00225952" w:rsidRPr="00FA45A0" w:rsidRDefault="00225952" w:rsidP="00AD2D7A">
            <w:pPr>
              <w:pStyle w:val="TIHBullet"/>
              <w:numPr>
                <w:ilvl w:val="0"/>
                <w:numId w:val="66"/>
              </w:numPr>
              <w:spacing w:line="276" w:lineRule="auto"/>
              <w:rPr>
                <w:rFonts w:ascii="Calibri" w:hAnsi="Calibri"/>
                <w:sz w:val="23"/>
                <w:szCs w:val="23"/>
              </w:rPr>
            </w:pPr>
            <w:r w:rsidRPr="00FA45A0">
              <w:rPr>
                <w:rFonts w:ascii="Calibri" w:hAnsi="Calibri"/>
                <w:sz w:val="23"/>
                <w:szCs w:val="23"/>
              </w:rPr>
              <w:t>Update the long-term capital schedule annually</w:t>
            </w:r>
          </w:p>
          <w:p w:rsidR="00225952" w:rsidRPr="00FA45A0" w:rsidRDefault="00225952" w:rsidP="00AD2D7A">
            <w:pPr>
              <w:pStyle w:val="TIHBullet"/>
              <w:numPr>
                <w:ilvl w:val="0"/>
                <w:numId w:val="66"/>
              </w:numPr>
              <w:spacing w:line="276" w:lineRule="auto"/>
              <w:rPr>
                <w:rFonts w:ascii="Calibri" w:hAnsi="Calibri"/>
                <w:sz w:val="23"/>
                <w:szCs w:val="23"/>
              </w:rPr>
            </w:pPr>
            <w:r w:rsidRPr="00FA45A0">
              <w:rPr>
                <w:rFonts w:ascii="Calibri" w:hAnsi="Calibri"/>
                <w:sz w:val="23"/>
                <w:szCs w:val="23"/>
              </w:rPr>
              <w:t>Demonstrate that progress to achieve concurrency is being made over the course of the long-range planning period.</w:t>
            </w:r>
          </w:p>
          <w:p w:rsidR="00225952" w:rsidRPr="00D16D56" w:rsidRDefault="00225952" w:rsidP="00C86195">
            <w:pPr>
              <w:spacing w:after="120"/>
              <w:rPr>
                <w:highlight w:val="yellow"/>
              </w:rPr>
            </w:pPr>
            <w:r w:rsidRPr="00FA45A0">
              <w:t>If shortfalls in federal or state funding outlined in the long-term CIE exist, the circumstances of the funding shortfall should be documented and vested development is allowed to proceed. Where shortfalls to improvements are expected outside of the first 3-year period, the local government should do one of the following: cease issuance of development orders, identify other funding sources, or otherwise amend the comprehensive plan to ensure financial feasibility.</w:t>
            </w:r>
          </w:p>
        </w:tc>
      </w:tr>
    </w:tbl>
    <w:p w:rsidR="00E7413B" w:rsidRDefault="00E7413B">
      <w:r>
        <w:br w:type="page"/>
      </w:r>
    </w:p>
    <w:tbl>
      <w:tblPr>
        <w:tblW w:w="10375" w:type="dxa"/>
        <w:tblLayout w:type="fixed"/>
        <w:tblLook w:val="0000"/>
      </w:tblPr>
      <w:tblGrid>
        <w:gridCol w:w="2455"/>
        <w:gridCol w:w="1703"/>
        <w:gridCol w:w="6217"/>
      </w:tblGrid>
      <w:tr w:rsidR="00225952" w:rsidRPr="00D16D56" w:rsidTr="00225952">
        <w:tc>
          <w:tcPr>
            <w:tcW w:w="2455" w:type="dxa"/>
          </w:tcPr>
          <w:p w:rsidR="0020724F" w:rsidRDefault="0020724F" w:rsidP="00225952">
            <w:pPr>
              <w:spacing w:after="120"/>
              <w:rPr>
                <w:szCs w:val="23"/>
              </w:rPr>
            </w:pPr>
          </w:p>
          <w:p w:rsidR="00225952" w:rsidRDefault="0020724F" w:rsidP="0020724F">
            <w:pPr>
              <w:spacing w:after="0"/>
              <w:rPr>
                <w:szCs w:val="23"/>
                <w:highlight w:val="yellow"/>
              </w:rPr>
            </w:pPr>
            <w:r>
              <w:rPr>
                <w:noProof/>
                <w:szCs w:val="23"/>
              </w:rPr>
              <w:drawing>
                <wp:inline distT="0" distB="0" distL="0" distR="0">
                  <wp:extent cx="1421765" cy="554990"/>
                  <wp:effectExtent l="0" t="0" r="0" b="0"/>
                  <wp:docPr id="560" name="Picture 559" descr="button_PDFlink.png">
                    <a:hlinkClick xmlns:a="http://schemas.openxmlformats.org/drawingml/2006/main" r:id="rId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tton_PDFlink.png"/>
                          <pic:cNvPicPr/>
                        </pic:nvPicPr>
                        <pic:blipFill>
                          <a:blip r:embed="rId15" cstate="print"/>
                          <a:stretch>
                            <a:fillRect/>
                          </a:stretch>
                        </pic:blipFill>
                        <pic:spPr>
                          <a:xfrm>
                            <a:off x="0" y="0"/>
                            <a:ext cx="1421765" cy="554990"/>
                          </a:xfrm>
                          <a:prstGeom prst="rect">
                            <a:avLst/>
                          </a:prstGeom>
                        </pic:spPr>
                      </pic:pic>
                    </a:graphicData>
                  </a:graphic>
                </wp:inline>
              </w:drawing>
            </w:r>
          </w:p>
          <w:p w:rsidR="0020724F" w:rsidRPr="00D16D56" w:rsidRDefault="0020724F" w:rsidP="0020724F">
            <w:pPr>
              <w:pStyle w:val="HeadSide20"/>
              <w:jc w:val="center"/>
              <w:rPr>
                <w:highlight w:val="yellow"/>
              </w:rPr>
            </w:pPr>
            <w:r w:rsidRPr="0020724F">
              <w:t>Working with Prop Fair-Share</w:t>
            </w:r>
          </w:p>
        </w:tc>
        <w:tc>
          <w:tcPr>
            <w:tcW w:w="7920" w:type="dxa"/>
            <w:gridSpan w:val="2"/>
          </w:tcPr>
          <w:p w:rsidR="00225952" w:rsidRPr="00D16D56" w:rsidRDefault="00225952" w:rsidP="00225952">
            <w:pPr>
              <w:rPr>
                <w:highlight w:val="yellow"/>
              </w:rPr>
            </w:pPr>
            <w:r w:rsidRPr="00FA45A0">
              <w:t>Proportionate fair-share mitigation may be based on multimodal projects as long as the local government has adopted multimodal strategies and improvements into its comprehensive plan for alleviating concurrency issues, and a financial plan that is adopted in the CIE</w:t>
            </w:r>
            <w:r>
              <w:t xml:space="preserve"> (</w:t>
            </w:r>
            <w:hyperlink r:id="rId400" w:history="1">
              <w:r w:rsidRPr="009E0327">
                <w:rPr>
                  <w:rStyle w:val="Hyperlink"/>
                </w:rPr>
                <w:t>s. Ch 163.3180(16)(c), F.S.</w:t>
              </w:r>
            </w:hyperlink>
            <w:r>
              <w:t>)</w:t>
            </w:r>
            <w:r w:rsidRPr="00FA45A0">
              <w:t xml:space="preserve">. Each proportionate fair-share agreement will differ depending upon the variables involved; however, FDOT’s </w:t>
            </w:r>
            <w:hyperlink r:id="rId401" w:history="1">
              <w:r w:rsidRPr="00FA45A0">
                <w:rPr>
                  <w:rStyle w:val="Hyperlink"/>
                  <w:szCs w:val="23"/>
                </w:rPr>
                <w:t xml:space="preserve">Working with Proportionate Fair-Share </w:t>
              </w:r>
            </w:hyperlink>
            <w:r w:rsidRPr="00FA45A0">
              <w:t>outlines the key components each agreement should include:</w:t>
            </w:r>
          </w:p>
        </w:tc>
      </w:tr>
      <w:tr w:rsidR="00225952" w:rsidRPr="00D16D56" w:rsidTr="00225952">
        <w:tc>
          <w:tcPr>
            <w:tcW w:w="2455" w:type="dxa"/>
          </w:tcPr>
          <w:p w:rsidR="00225952" w:rsidRPr="00D16D56" w:rsidRDefault="00225952" w:rsidP="00225952">
            <w:pPr>
              <w:spacing w:after="120"/>
              <w:rPr>
                <w:szCs w:val="23"/>
                <w:highlight w:val="yellow"/>
              </w:rPr>
            </w:pPr>
          </w:p>
        </w:tc>
        <w:tc>
          <w:tcPr>
            <w:tcW w:w="7920" w:type="dxa"/>
            <w:gridSpan w:val="2"/>
          </w:tcPr>
          <w:p w:rsidR="00225952" w:rsidRPr="009E0327" w:rsidRDefault="00225952" w:rsidP="00AD2D7A">
            <w:pPr>
              <w:pStyle w:val="TIHBullet"/>
              <w:numPr>
                <w:ilvl w:val="0"/>
                <w:numId w:val="67"/>
              </w:numPr>
              <w:spacing w:line="276" w:lineRule="auto"/>
              <w:jc w:val="left"/>
              <w:rPr>
                <w:rFonts w:ascii="Calibri" w:hAnsi="Calibri"/>
                <w:sz w:val="23"/>
                <w:szCs w:val="23"/>
              </w:rPr>
            </w:pPr>
            <w:r w:rsidRPr="009E0327">
              <w:rPr>
                <w:rFonts w:ascii="Calibri" w:hAnsi="Calibri"/>
                <w:b/>
                <w:sz w:val="23"/>
                <w:szCs w:val="23"/>
              </w:rPr>
              <w:t>Description of Project and Need</w:t>
            </w:r>
            <w:r w:rsidRPr="009E0327">
              <w:rPr>
                <w:rFonts w:ascii="Calibri" w:hAnsi="Calibri"/>
                <w:sz w:val="23"/>
                <w:szCs w:val="23"/>
              </w:rPr>
              <w:t xml:space="preserve"> – Each proportionate fair-share agreement should have a detailed description of the project toward which subsequent funds will be applied. The transportation improvement itself should be coordinated with future land use through a corridor management or build-out plan. The corridor plan will allow the local government to calculate costs for the transportation improvement and form a basis for distributing those costs to future developers who wish to access the capacity created by the transportation improvement. The corridor plan will also assist the local government in determining financial feasibility for the transportation improvement by estimating funds resulting from future proportionate fair-share development agreements within the corridor. Finally, the corridor plan will act as a framework to balance and allocate trips to the land uses planned along the corridor.</w:t>
            </w:r>
          </w:p>
          <w:p w:rsidR="00225952" w:rsidRPr="009E0327" w:rsidRDefault="00225952" w:rsidP="00AD2D7A">
            <w:pPr>
              <w:pStyle w:val="TIHBullet"/>
              <w:numPr>
                <w:ilvl w:val="0"/>
                <w:numId w:val="67"/>
              </w:numPr>
              <w:spacing w:line="276" w:lineRule="auto"/>
              <w:jc w:val="left"/>
              <w:rPr>
                <w:rFonts w:ascii="Calibri" w:hAnsi="Calibri"/>
                <w:sz w:val="23"/>
                <w:szCs w:val="23"/>
              </w:rPr>
            </w:pPr>
            <w:r w:rsidRPr="009E0327">
              <w:rPr>
                <w:rFonts w:ascii="Calibri" w:hAnsi="Calibri"/>
                <w:b/>
                <w:sz w:val="23"/>
                <w:szCs w:val="23"/>
              </w:rPr>
              <w:t>Identification of Future Funding Partners</w:t>
            </w:r>
            <w:r w:rsidRPr="009E0327">
              <w:rPr>
                <w:rFonts w:ascii="Calibri" w:hAnsi="Calibri"/>
                <w:sz w:val="23"/>
                <w:szCs w:val="23"/>
              </w:rPr>
              <w:t xml:space="preserve"> – Each proportionate fair-share agreement should specifically obligate the local government to require that subsequent developments within the corridor participate in the funding of the transportation improvement by signing a separate proportionate fair share agreement. In this manner, FDOT will have some assurance that there will be additional funds available to complete the project as the development is permitted by the local government. The corridor management plan should provide an indication of what level of funds a local government can be expected to provide. This should provide FDOT with a greater level of certainty and confidence in relation to entering into development agreements with local governments.</w:t>
            </w:r>
          </w:p>
          <w:p w:rsidR="00225952" w:rsidRPr="009E0327" w:rsidRDefault="00225952" w:rsidP="00AD2D7A">
            <w:pPr>
              <w:pStyle w:val="TIHBullet"/>
              <w:numPr>
                <w:ilvl w:val="0"/>
                <w:numId w:val="67"/>
              </w:numPr>
              <w:spacing w:line="276" w:lineRule="auto"/>
              <w:jc w:val="left"/>
              <w:rPr>
                <w:rFonts w:ascii="Calibri" w:hAnsi="Calibri"/>
                <w:sz w:val="23"/>
                <w:szCs w:val="23"/>
              </w:rPr>
            </w:pPr>
            <w:r w:rsidRPr="009E0327">
              <w:rPr>
                <w:rFonts w:ascii="Calibri" w:hAnsi="Calibri"/>
                <w:b/>
                <w:sz w:val="23"/>
                <w:szCs w:val="23"/>
              </w:rPr>
              <w:t>Identification of Each Partner’s Commitments</w:t>
            </w:r>
            <w:r w:rsidRPr="009E0327">
              <w:rPr>
                <w:rFonts w:ascii="Calibri" w:hAnsi="Calibri"/>
                <w:sz w:val="23"/>
                <w:szCs w:val="23"/>
              </w:rPr>
              <w:t xml:space="preserve"> – Development agreements that are entered into with FDOT for proportionate fair-share purposes should be seen as a commitment by that local government to plan the corridor in a comprehensive manner. It should be noted that the option to enter into a Development Agreement for a State facility that is not in the FDOT Five-Year Work Program is at the option of FDOT and is not a mandatory action. Each agreement should specifically outline the </w:t>
            </w:r>
            <w:r w:rsidRPr="009E0327">
              <w:rPr>
                <w:rFonts w:ascii="Calibri" w:hAnsi="Calibri"/>
                <w:sz w:val="23"/>
                <w:szCs w:val="23"/>
              </w:rPr>
              <w:lastRenderedPageBreak/>
              <w:t>actions for which each partner is responsible in regards to the planning and construction of the transportation improvement. Time frames associated with specific actions should be included to ensure implementation. Contingent plans or agreements should also be addressed in case unforeseen circumstances occur.</w:t>
            </w:r>
          </w:p>
          <w:p w:rsidR="00225952" w:rsidRDefault="00225952" w:rsidP="00AD2D7A">
            <w:pPr>
              <w:pStyle w:val="TIHBullet"/>
              <w:numPr>
                <w:ilvl w:val="0"/>
                <w:numId w:val="67"/>
              </w:numPr>
              <w:spacing w:line="276" w:lineRule="auto"/>
              <w:jc w:val="left"/>
              <w:rPr>
                <w:rFonts w:ascii="Calibri" w:hAnsi="Calibri"/>
                <w:sz w:val="23"/>
                <w:szCs w:val="23"/>
              </w:rPr>
            </w:pPr>
            <w:r w:rsidRPr="009E0327">
              <w:rPr>
                <w:rFonts w:ascii="Calibri" w:hAnsi="Calibri"/>
                <w:b/>
                <w:sz w:val="23"/>
                <w:szCs w:val="23"/>
              </w:rPr>
              <w:t xml:space="preserve">Responsibility for Fiscal Management </w:t>
            </w:r>
            <w:r w:rsidRPr="009E0327">
              <w:rPr>
                <w:rFonts w:ascii="Calibri" w:hAnsi="Calibri"/>
                <w:sz w:val="23"/>
                <w:szCs w:val="23"/>
              </w:rPr>
              <w:t>– Each agreement should specifically outline which entity is responsible for managing funds resulting from present and future proportionate fair-share agreements within the corridor. At a minimum, an accounting process which delineates fund balances should be available prior to the beginning of the annual planning of the local government’s capital improvements budgeting process and the annual development of the FDOT Work Program.</w:t>
            </w:r>
          </w:p>
          <w:p w:rsidR="00225952" w:rsidRPr="00EF0043" w:rsidRDefault="00225952" w:rsidP="00AD2D7A">
            <w:pPr>
              <w:pStyle w:val="TIHBullet"/>
              <w:numPr>
                <w:ilvl w:val="0"/>
                <w:numId w:val="67"/>
              </w:numPr>
              <w:spacing w:line="276" w:lineRule="auto"/>
              <w:jc w:val="left"/>
              <w:rPr>
                <w:rFonts w:ascii="Calibri" w:hAnsi="Calibri"/>
                <w:sz w:val="23"/>
                <w:szCs w:val="23"/>
              </w:rPr>
            </w:pPr>
            <w:r w:rsidRPr="009E0327">
              <w:rPr>
                <w:rFonts w:ascii="Calibri" w:hAnsi="Calibri"/>
                <w:b/>
                <w:sz w:val="23"/>
                <w:szCs w:val="23"/>
              </w:rPr>
              <w:t xml:space="preserve">Policies for Intergovernmental Coordination </w:t>
            </w:r>
            <w:r w:rsidRPr="009E0327">
              <w:rPr>
                <w:rFonts w:ascii="Calibri" w:hAnsi="Calibri"/>
                <w:sz w:val="23"/>
                <w:szCs w:val="23"/>
              </w:rPr>
              <w:t>– Intergovernmental coordination should be addressed, especially in terms of how transportation improvements identified in the agreement will be coordinated with any long-range transportation plan of an applicable MPO. Agreements to support the prioritization of the transportation improvement within the MPO process should be included. A coordination process with other adjacent local governments should be in place as a result of the corridor planning process.</w:t>
            </w:r>
          </w:p>
        </w:tc>
      </w:tr>
      <w:tr w:rsidR="00225952" w:rsidRPr="00D16D56" w:rsidTr="00225952">
        <w:tc>
          <w:tcPr>
            <w:tcW w:w="2455" w:type="dxa"/>
          </w:tcPr>
          <w:p w:rsidR="00225952" w:rsidRPr="00D16D56" w:rsidRDefault="0020724F" w:rsidP="00225952">
            <w:pPr>
              <w:spacing w:after="120"/>
              <w:rPr>
                <w:szCs w:val="23"/>
                <w:highlight w:val="yellow"/>
              </w:rPr>
            </w:pPr>
            <w:r w:rsidRPr="0020724F">
              <w:rPr>
                <w:noProof/>
                <w:szCs w:val="23"/>
              </w:rPr>
              <w:lastRenderedPageBreak/>
              <w:drawing>
                <wp:inline distT="0" distB="0" distL="0" distR="0">
                  <wp:extent cx="1421765" cy="554990"/>
                  <wp:effectExtent l="0" t="0" r="0" b="0"/>
                  <wp:docPr id="561" name="Picture 559" descr="button_PDFlink.png">
                    <a:hlinkClick xmlns:a="http://schemas.openxmlformats.org/drawingml/2006/main" r:id="rId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tton_PDFlink.png"/>
                          <pic:cNvPicPr/>
                        </pic:nvPicPr>
                        <pic:blipFill>
                          <a:blip r:embed="rId15" cstate="print"/>
                          <a:stretch>
                            <a:fillRect/>
                          </a:stretch>
                        </pic:blipFill>
                        <pic:spPr>
                          <a:xfrm>
                            <a:off x="0" y="0"/>
                            <a:ext cx="1421765" cy="554990"/>
                          </a:xfrm>
                          <a:prstGeom prst="rect">
                            <a:avLst/>
                          </a:prstGeom>
                        </pic:spPr>
                      </pic:pic>
                    </a:graphicData>
                  </a:graphic>
                </wp:inline>
              </w:drawing>
            </w:r>
          </w:p>
        </w:tc>
        <w:tc>
          <w:tcPr>
            <w:tcW w:w="7920" w:type="dxa"/>
            <w:gridSpan w:val="2"/>
          </w:tcPr>
          <w:p w:rsidR="00225952" w:rsidRPr="00505689" w:rsidRDefault="00225952" w:rsidP="00225952">
            <w:r w:rsidRPr="00505689">
              <w:t xml:space="preserve">In addition, FDOT has also developed </w:t>
            </w:r>
            <w:hyperlink r:id="rId403" w:history="1">
              <w:r w:rsidRPr="00505689">
                <w:rPr>
                  <w:rStyle w:val="Hyperlink"/>
                  <w:szCs w:val="23"/>
                </w:rPr>
                <w:t>a Model Ordinance for Proportionate Fair-Share Mitigation of Development Impacts on Transportation Corridors</w:t>
              </w:r>
            </w:hyperlink>
            <w:r w:rsidRPr="00505689">
              <w:t xml:space="preserve"> to aid local governments in the development of these ordinances. </w:t>
            </w:r>
          </w:p>
        </w:tc>
      </w:tr>
      <w:tr w:rsidR="00225952" w:rsidRPr="00D16D56" w:rsidTr="00225952">
        <w:tc>
          <w:tcPr>
            <w:tcW w:w="2455" w:type="dxa"/>
          </w:tcPr>
          <w:p w:rsidR="00225952" w:rsidRPr="00D16D56" w:rsidRDefault="00225952" w:rsidP="00225952">
            <w:pPr>
              <w:pStyle w:val="Heading4"/>
              <w:rPr>
                <w:highlight w:val="yellow"/>
              </w:rPr>
            </w:pPr>
            <w:r w:rsidRPr="00505689">
              <w:t>Considerations</w:t>
            </w:r>
          </w:p>
        </w:tc>
        <w:tc>
          <w:tcPr>
            <w:tcW w:w="7920" w:type="dxa"/>
            <w:gridSpan w:val="2"/>
          </w:tcPr>
          <w:p w:rsidR="00225952" w:rsidRPr="00505689" w:rsidRDefault="00225952" w:rsidP="00225952">
            <w:pPr>
              <w:spacing w:after="120"/>
            </w:pPr>
            <w:r w:rsidRPr="00505689">
              <w:t xml:space="preserve">When impacts to a SIS facility necessitate the coordination of FDOT in proportionate fair-share agreements, FDOT planners and decision makers will need to review both the local government comprehensive plan and other documents to determine concurrency requirements. District 5’s </w:t>
            </w:r>
            <w:r w:rsidRPr="00505689">
              <w:rPr>
                <w:i/>
              </w:rPr>
              <w:t>Local Government Comprehensive Planning Review Guidelines</w:t>
            </w:r>
            <w:r w:rsidRPr="00505689">
              <w:t xml:space="preserve"> outlines key documents that a local government or developer will need to provide to FDOT staff. These include:</w:t>
            </w:r>
          </w:p>
        </w:tc>
      </w:tr>
      <w:tr w:rsidR="00225952" w:rsidRPr="00D16D56" w:rsidTr="00225952">
        <w:tc>
          <w:tcPr>
            <w:tcW w:w="2455" w:type="dxa"/>
          </w:tcPr>
          <w:p w:rsidR="00225952" w:rsidRPr="00D16D56" w:rsidRDefault="00225952" w:rsidP="00225952">
            <w:pPr>
              <w:spacing w:after="120"/>
              <w:rPr>
                <w:szCs w:val="23"/>
                <w:highlight w:val="yellow"/>
              </w:rPr>
            </w:pPr>
          </w:p>
        </w:tc>
        <w:tc>
          <w:tcPr>
            <w:tcW w:w="7920" w:type="dxa"/>
            <w:gridSpan w:val="2"/>
          </w:tcPr>
          <w:p w:rsidR="00225952" w:rsidRPr="00505689" w:rsidRDefault="00225952" w:rsidP="00AD2D7A">
            <w:pPr>
              <w:pStyle w:val="BulletA"/>
              <w:numPr>
                <w:ilvl w:val="0"/>
                <w:numId w:val="154"/>
              </w:numPr>
            </w:pPr>
            <w:r w:rsidRPr="00505689">
              <w:t>Local government proportionate fair-share ordinance</w:t>
            </w:r>
          </w:p>
          <w:p w:rsidR="00225952" w:rsidRPr="00505689" w:rsidRDefault="00225952" w:rsidP="00AD2D7A">
            <w:pPr>
              <w:pStyle w:val="BulletA"/>
              <w:numPr>
                <w:ilvl w:val="0"/>
                <w:numId w:val="154"/>
              </w:numPr>
            </w:pPr>
            <w:r w:rsidRPr="00505689">
              <w:t>Concurrency analysis that identified the proposed development was initially denied due to the lack of transportation concurrency</w:t>
            </w:r>
          </w:p>
          <w:p w:rsidR="00225952" w:rsidRPr="00505689" w:rsidRDefault="00225952" w:rsidP="00AD2D7A">
            <w:pPr>
              <w:pStyle w:val="BulletA"/>
              <w:numPr>
                <w:ilvl w:val="0"/>
                <w:numId w:val="154"/>
              </w:numPr>
            </w:pPr>
            <w:r w:rsidRPr="00505689">
              <w:t>Description of proposed mitigation sufficient to determine capacity added and likely cost</w:t>
            </w:r>
          </w:p>
          <w:p w:rsidR="00E7413B" w:rsidRPr="007920DE" w:rsidRDefault="00225952" w:rsidP="00E7413B">
            <w:pPr>
              <w:pStyle w:val="BulletA"/>
              <w:numPr>
                <w:ilvl w:val="0"/>
                <w:numId w:val="154"/>
              </w:numPr>
              <w:spacing w:after="240"/>
            </w:pPr>
            <w:r w:rsidRPr="00505689">
              <w:t>Draft proportionate fair-share agreement</w:t>
            </w:r>
            <w:r w:rsidR="00E7413B">
              <w:br/>
            </w:r>
          </w:p>
        </w:tc>
      </w:tr>
      <w:tr w:rsidR="00225952" w:rsidRPr="00D16D56" w:rsidTr="00225952">
        <w:tc>
          <w:tcPr>
            <w:tcW w:w="2455" w:type="dxa"/>
          </w:tcPr>
          <w:p w:rsidR="00225952" w:rsidRPr="00505689" w:rsidRDefault="00225952" w:rsidP="00225952">
            <w:pPr>
              <w:pStyle w:val="Heading4"/>
            </w:pPr>
            <w:r w:rsidRPr="00505689">
              <w:lastRenderedPageBreak/>
              <w:t>Cost Calculations</w:t>
            </w:r>
          </w:p>
        </w:tc>
        <w:tc>
          <w:tcPr>
            <w:tcW w:w="7920" w:type="dxa"/>
            <w:gridSpan w:val="2"/>
          </w:tcPr>
          <w:p w:rsidR="00225952" w:rsidRPr="00505689" w:rsidRDefault="00225952" w:rsidP="00E7413B">
            <w:pPr>
              <w:spacing w:after="120"/>
            </w:pPr>
            <w:r w:rsidRPr="00505689">
              <w:t xml:space="preserve">The calculation for proportionate fair-share must meet the same standards set forth in </w:t>
            </w:r>
            <w:hyperlink r:id="rId404" w:history="1">
              <w:r w:rsidRPr="00505689">
                <w:rPr>
                  <w:rStyle w:val="Hyperlink"/>
                </w:rPr>
                <w:t>Section 163.3180(12), F.S.</w:t>
              </w:r>
            </w:hyperlink>
            <w:r w:rsidRPr="00505689">
              <w:t xml:space="preserve"> for proportionate share (see formula in Proportionate Share Section), based on: ”the cumulative number of trips from the proposed development expected to reach roadways during the peak hour from the complete build-out of a stage or phase being approved, divided by the change in the peak hour maximum service volume of roadways resulting from construction of an improvement necessary to maintain the adopted level of service, multiplied by the construction cost, at the time of developer payment, of the improvement necessary to maintain the adopted level of service.” This formula is the same as the one employed for proportionate share (DRIs). Once the proportionate fair-share contribution is determined, agencies can determine a mix of mitigation strategies to apply these contributions. </w:t>
            </w:r>
          </w:p>
          <w:p w:rsidR="00225952" w:rsidRPr="00505689" w:rsidRDefault="00225952" w:rsidP="00E7413B">
            <w:pPr>
              <w:spacing w:after="120"/>
            </w:pPr>
            <w:r w:rsidRPr="00505689">
              <w:t>Although proportionate fair share mitigation for transportation concurrency alternative areas (e.g. TCEAs, TCMAs, MMTDs) is not directly addressed by statute, the typical formula is based on the percentage of proposed development trips divided by the total number of trips projected for the area multiplied by the cost to provide mobility improvements, or:</w:t>
            </w:r>
          </w:p>
        </w:tc>
      </w:tr>
      <w:tr w:rsidR="00225952" w:rsidRPr="00D16D56" w:rsidTr="00225952">
        <w:tc>
          <w:tcPr>
            <w:tcW w:w="10375" w:type="dxa"/>
            <w:gridSpan w:val="3"/>
          </w:tcPr>
          <w:p w:rsidR="00225952" w:rsidRDefault="00225952" w:rsidP="00225952">
            <m:oMathPara>
              <m:oMath>
                <m:r>
                  <m:rPr>
                    <m:sty m:val="p"/>
                  </m:rPr>
                  <w:rPr>
                    <w:rFonts w:ascii="Cambria Math" w:hAnsi="Cambria Math" w:cs="Tahoma"/>
                    <w:sz w:val="32"/>
                    <w:szCs w:val="23"/>
                  </w:rPr>
                  <m:t>Proportionate</m:t>
                </m:r>
                <m:r>
                  <m:rPr>
                    <m:sty m:val="p"/>
                  </m:rPr>
                  <w:rPr>
                    <w:rFonts w:ascii="Cambria Math" w:cs="Tahoma"/>
                    <w:sz w:val="32"/>
                    <w:szCs w:val="23"/>
                  </w:rPr>
                  <m:t xml:space="preserve"> </m:t>
                </m:r>
                <m:r>
                  <m:rPr>
                    <m:sty m:val="p"/>
                  </m:rPr>
                  <w:rPr>
                    <w:rFonts w:ascii="Cambria Math" w:hAnsi="Cambria Math" w:cs="Tahoma"/>
                    <w:sz w:val="32"/>
                    <w:szCs w:val="23"/>
                  </w:rPr>
                  <m:t>Fair</m:t>
                </m:r>
                <m:r>
                  <m:rPr>
                    <m:sty m:val="p"/>
                  </m:rPr>
                  <w:rPr>
                    <w:rFonts w:ascii="Cambria Math" w:cs="Tahoma"/>
                    <w:sz w:val="32"/>
                    <w:szCs w:val="23"/>
                  </w:rPr>
                  <m:t xml:space="preserve"> </m:t>
                </m:r>
                <m:r>
                  <m:rPr>
                    <m:sty m:val="p"/>
                  </m:rPr>
                  <w:rPr>
                    <w:rFonts w:ascii="Cambria Math" w:hAnsi="Cambria Math" w:cs="Tahoma"/>
                    <w:sz w:val="32"/>
                    <w:szCs w:val="23"/>
                  </w:rPr>
                  <m:t>Share</m:t>
                </m:r>
                <m:r>
                  <m:rPr>
                    <m:sty m:val="p"/>
                  </m:rPr>
                  <w:rPr>
                    <w:rFonts w:ascii="Cambria Math" w:cs="Tahoma"/>
                    <w:sz w:val="32"/>
                    <w:szCs w:val="23"/>
                  </w:rPr>
                  <m:t>=</m:t>
                </m:r>
                <m:d>
                  <m:dPr>
                    <m:ctrlPr>
                      <w:rPr>
                        <w:rFonts w:ascii="Cambria Math" w:hAnsi="Cambria Math" w:cs="Tahoma"/>
                        <w:sz w:val="32"/>
                        <w:szCs w:val="23"/>
                      </w:rPr>
                    </m:ctrlPr>
                  </m:dPr>
                  <m:e>
                    <m:f>
                      <m:fPr>
                        <m:ctrlPr>
                          <w:rPr>
                            <w:rFonts w:ascii="Cambria Math" w:hAnsi="Cambria Math" w:cs="Tahoma"/>
                            <w:sz w:val="32"/>
                            <w:szCs w:val="23"/>
                          </w:rPr>
                        </m:ctrlPr>
                      </m:fPr>
                      <m:num>
                        <m:r>
                          <m:rPr>
                            <m:sty m:val="p"/>
                          </m:rPr>
                          <w:rPr>
                            <w:rFonts w:ascii="Cambria Math" w:hAnsi="Cambria Math" w:cs="Tahoma"/>
                            <w:sz w:val="32"/>
                            <w:szCs w:val="23"/>
                          </w:rPr>
                          <m:t>Total</m:t>
                        </m:r>
                        <m:r>
                          <m:rPr>
                            <m:sty m:val="p"/>
                          </m:rPr>
                          <w:rPr>
                            <w:rFonts w:ascii="Cambria Math" w:cs="Tahoma"/>
                            <w:sz w:val="32"/>
                            <w:szCs w:val="23"/>
                          </w:rPr>
                          <m:t xml:space="preserve"> </m:t>
                        </m:r>
                        <m:r>
                          <m:rPr>
                            <m:sty m:val="p"/>
                          </m:rPr>
                          <w:rPr>
                            <w:rFonts w:ascii="Cambria Math" w:hAnsi="Cambria Math" w:cs="Tahoma"/>
                            <w:sz w:val="32"/>
                            <w:szCs w:val="23"/>
                          </w:rPr>
                          <m:t>Development</m:t>
                        </m:r>
                        <m:r>
                          <m:rPr>
                            <m:sty m:val="p"/>
                          </m:rPr>
                          <w:rPr>
                            <w:rFonts w:ascii="Cambria Math" w:cs="Tahoma"/>
                            <w:sz w:val="32"/>
                            <w:szCs w:val="23"/>
                          </w:rPr>
                          <m:t xml:space="preserve"> </m:t>
                        </m:r>
                        <m:r>
                          <m:rPr>
                            <m:sty m:val="p"/>
                          </m:rPr>
                          <w:rPr>
                            <w:rFonts w:ascii="Cambria Math" w:hAnsi="Cambria Math" w:cs="Tahoma"/>
                            <w:sz w:val="32"/>
                            <w:szCs w:val="23"/>
                          </w:rPr>
                          <m:t>Trips</m:t>
                        </m:r>
                      </m:num>
                      <m:den>
                        <m:r>
                          <m:rPr>
                            <m:sty m:val="p"/>
                          </m:rPr>
                          <w:rPr>
                            <w:rFonts w:ascii="Cambria Math" w:hAnsi="Cambria Math" w:cs="Tahoma"/>
                            <w:sz w:val="32"/>
                            <w:szCs w:val="23"/>
                          </w:rPr>
                          <m:t>Total</m:t>
                        </m:r>
                        <m:r>
                          <m:rPr>
                            <m:sty m:val="p"/>
                          </m:rPr>
                          <w:rPr>
                            <w:rFonts w:ascii="Cambria Math" w:cs="Tahoma"/>
                            <w:sz w:val="32"/>
                            <w:szCs w:val="23"/>
                          </w:rPr>
                          <m:t xml:space="preserve"> </m:t>
                        </m:r>
                        <m:r>
                          <m:rPr>
                            <m:sty m:val="p"/>
                          </m:rPr>
                          <w:rPr>
                            <w:rFonts w:ascii="Cambria Math" w:hAnsi="Cambria Math" w:cs="Tahoma"/>
                            <w:sz w:val="32"/>
                            <w:szCs w:val="23"/>
                          </w:rPr>
                          <m:t>Trips</m:t>
                        </m:r>
                      </m:den>
                    </m:f>
                  </m:e>
                </m:d>
                <m:r>
                  <m:rPr>
                    <m:sty m:val="p"/>
                  </m:rPr>
                  <w:rPr>
                    <w:rFonts w:ascii="Cambria Math" w:hAnsi="Cambria Math" w:cs="Tahoma"/>
                    <w:sz w:val="32"/>
                    <w:szCs w:val="23"/>
                  </w:rPr>
                  <m:t>*Cost</m:t>
                </m:r>
              </m:oMath>
            </m:oMathPara>
          </w:p>
        </w:tc>
      </w:tr>
      <w:tr w:rsidR="00225952" w:rsidRPr="00D16D56" w:rsidTr="00225952">
        <w:tc>
          <w:tcPr>
            <w:tcW w:w="2455" w:type="dxa"/>
          </w:tcPr>
          <w:p w:rsidR="00225952" w:rsidRPr="007D3510" w:rsidRDefault="00C86195" w:rsidP="00C86195">
            <w:pPr>
              <w:spacing w:after="120"/>
              <w:jc w:val="right"/>
              <w:rPr>
                <w:szCs w:val="23"/>
              </w:rPr>
            </w:pPr>
            <w:r w:rsidRPr="00C86195">
              <w:rPr>
                <w:i/>
                <w:szCs w:val="23"/>
              </w:rPr>
              <w:t>Where:</w:t>
            </w:r>
          </w:p>
        </w:tc>
        <w:tc>
          <w:tcPr>
            <w:tcW w:w="1703" w:type="dxa"/>
          </w:tcPr>
          <w:p w:rsidR="00225952" w:rsidRPr="007D3510" w:rsidRDefault="00225952" w:rsidP="00225952">
            <w:pPr>
              <w:spacing w:after="120"/>
              <w:jc w:val="right"/>
              <w:rPr>
                <w:szCs w:val="23"/>
              </w:rPr>
            </w:pPr>
            <w:r w:rsidRPr="007D3510">
              <w:rPr>
                <w:szCs w:val="23"/>
              </w:rPr>
              <w:t>Development Trips:</w:t>
            </w:r>
          </w:p>
        </w:tc>
        <w:tc>
          <w:tcPr>
            <w:tcW w:w="6217" w:type="dxa"/>
          </w:tcPr>
          <w:p w:rsidR="00225952" w:rsidRPr="007D3510" w:rsidRDefault="00225952" w:rsidP="00225952">
            <w:pPr>
              <w:spacing w:after="120"/>
              <w:rPr>
                <w:szCs w:val="23"/>
              </w:rPr>
            </w:pPr>
            <w:r w:rsidRPr="007D3510">
              <w:rPr>
                <w:szCs w:val="23"/>
              </w:rPr>
              <w:t>The total number of development trips, minus the percentage of pass-by, internal capture, and multimodal trips</w:t>
            </w:r>
          </w:p>
        </w:tc>
      </w:tr>
      <w:tr w:rsidR="00225952" w:rsidRPr="00D16D56" w:rsidTr="00225952">
        <w:tc>
          <w:tcPr>
            <w:tcW w:w="2455" w:type="dxa"/>
          </w:tcPr>
          <w:p w:rsidR="00225952" w:rsidRPr="007D3510" w:rsidRDefault="00225952" w:rsidP="00225952">
            <w:pPr>
              <w:spacing w:after="120"/>
              <w:rPr>
                <w:szCs w:val="23"/>
              </w:rPr>
            </w:pPr>
          </w:p>
        </w:tc>
        <w:tc>
          <w:tcPr>
            <w:tcW w:w="1703" w:type="dxa"/>
          </w:tcPr>
          <w:p w:rsidR="00225952" w:rsidRPr="007D3510" w:rsidRDefault="00225952" w:rsidP="00225952">
            <w:pPr>
              <w:spacing w:after="120"/>
              <w:jc w:val="right"/>
              <w:rPr>
                <w:szCs w:val="23"/>
              </w:rPr>
            </w:pPr>
            <w:r w:rsidRPr="007D3510">
              <w:rPr>
                <w:szCs w:val="23"/>
              </w:rPr>
              <w:t>Total Trips:</w:t>
            </w:r>
          </w:p>
        </w:tc>
        <w:tc>
          <w:tcPr>
            <w:tcW w:w="6217" w:type="dxa"/>
          </w:tcPr>
          <w:p w:rsidR="00225952" w:rsidRPr="007D3510" w:rsidRDefault="00225952" w:rsidP="00225952">
            <w:pPr>
              <w:spacing w:after="120"/>
              <w:rPr>
                <w:szCs w:val="23"/>
              </w:rPr>
            </w:pPr>
            <w:r w:rsidRPr="007D3510">
              <w:rPr>
                <w:szCs w:val="23"/>
              </w:rPr>
              <w:t>The total number of projected trips for the district/area based upon a reasonable build-out analysis, minus the percentage of pass-by, internal capture, and multimodal trips established for the area</w:t>
            </w:r>
          </w:p>
        </w:tc>
      </w:tr>
      <w:tr w:rsidR="00225952" w:rsidRPr="00D16D56" w:rsidTr="00225952">
        <w:tc>
          <w:tcPr>
            <w:tcW w:w="2455" w:type="dxa"/>
          </w:tcPr>
          <w:p w:rsidR="00225952" w:rsidRPr="007D3510" w:rsidRDefault="00225952" w:rsidP="00225952">
            <w:pPr>
              <w:spacing w:after="120"/>
              <w:rPr>
                <w:szCs w:val="23"/>
              </w:rPr>
            </w:pPr>
          </w:p>
        </w:tc>
        <w:tc>
          <w:tcPr>
            <w:tcW w:w="1703" w:type="dxa"/>
          </w:tcPr>
          <w:p w:rsidR="00225952" w:rsidRPr="007D3510" w:rsidRDefault="00225952" w:rsidP="00225952">
            <w:pPr>
              <w:spacing w:after="120"/>
              <w:jc w:val="right"/>
              <w:rPr>
                <w:szCs w:val="23"/>
              </w:rPr>
            </w:pPr>
            <w:r w:rsidRPr="007D3510">
              <w:rPr>
                <w:szCs w:val="23"/>
              </w:rPr>
              <w:t>Cost:</w:t>
            </w:r>
          </w:p>
        </w:tc>
        <w:tc>
          <w:tcPr>
            <w:tcW w:w="6217" w:type="dxa"/>
          </w:tcPr>
          <w:p w:rsidR="00225952" w:rsidRPr="007D3510" w:rsidRDefault="00225952" w:rsidP="00225952">
            <w:pPr>
              <w:spacing w:after="120"/>
              <w:rPr>
                <w:szCs w:val="23"/>
              </w:rPr>
            </w:pPr>
            <w:r w:rsidRPr="007D3510">
              <w:rPr>
                <w:szCs w:val="23"/>
              </w:rPr>
              <w:t>The adjusted cost of the needed mobility improvements within the district/area</w:t>
            </w:r>
          </w:p>
        </w:tc>
      </w:tr>
      <w:tr w:rsidR="00225952" w:rsidRPr="00D16D56" w:rsidTr="00225952">
        <w:tc>
          <w:tcPr>
            <w:tcW w:w="2455" w:type="dxa"/>
          </w:tcPr>
          <w:p w:rsidR="00225952" w:rsidRPr="007D3510" w:rsidRDefault="00225952" w:rsidP="00225952">
            <w:pPr>
              <w:spacing w:after="120"/>
              <w:rPr>
                <w:szCs w:val="23"/>
              </w:rPr>
            </w:pPr>
          </w:p>
        </w:tc>
        <w:tc>
          <w:tcPr>
            <w:tcW w:w="7920" w:type="dxa"/>
            <w:gridSpan w:val="2"/>
          </w:tcPr>
          <w:p w:rsidR="00225952" w:rsidRPr="00E7413B" w:rsidRDefault="00225952" w:rsidP="00E7413B">
            <w:pPr>
              <w:rPr>
                <w:sz w:val="20"/>
                <w:szCs w:val="23"/>
              </w:rPr>
            </w:pPr>
            <w:r w:rsidRPr="007D3510">
              <w:rPr>
                <w:sz w:val="20"/>
                <w:szCs w:val="23"/>
              </w:rPr>
              <w:t xml:space="preserve">Source: Florida Department of Community Affairs </w:t>
            </w:r>
            <w:r w:rsidRPr="007D3510">
              <w:rPr>
                <w:i/>
                <w:sz w:val="20"/>
                <w:szCs w:val="23"/>
              </w:rPr>
              <w:t>Concurrency Best Practices Guide</w:t>
            </w:r>
            <w:r w:rsidRPr="007D3510">
              <w:rPr>
                <w:sz w:val="20"/>
                <w:szCs w:val="23"/>
              </w:rPr>
              <w:t>, 2007.</w:t>
            </w:r>
          </w:p>
        </w:tc>
      </w:tr>
      <w:tr w:rsidR="00225952" w:rsidRPr="00D16D56" w:rsidTr="00225952">
        <w:tc>
          <w:tcPr>
            <w:tcW w:w="2455" w:type="dxa"/>
          </w:tcPr>
          <w:p w:rsidR="00225952" w:rsidRPr="007D3510" w:rsidRDefault="00225952" w:rsidP="00225952">
            <w:pPr>
              <w:pStyle w:val="Heading4"/>
            </w:pPr>
          </w:p>
        </w:tc>
        <w:tc>
          <w:tcPr>
            <w:tcW w:w="7920" w:type="dxa"/>
            <w:gridSpan w:val="2"/>
          </w:tcPr>
          <w:p w:rsidR="00225952" w:rsidRPr="007D3510" w:rsidRDefault="00225952" w:rsidP="00225952">
            <w:pPr>
              <w:autoSpaceDE w:val="0"/>
              <w:autoSpaceDN w:val="0"/>
              <w:adjustRightInd w:val="0"/>
              <w:spacing w:after="120"/>
              <w:rPr>
                <w:rFonts w:cs="TimesNewRoman,Bold"/>
                <w:bCs/>
                <w:szCs w:val="23"/>
              </w:rPr>
            </w:pPr>
            <w:r w:rsidRPr="007D3510">
              <w:rPr>
                <w:rFonts w:cs="TimesNewRoman,Bold"/>
                <w:bCs/>
                <w:szCs w:val="23"/>
              </w:rPr>
              <w:t xml:space="preserve">For example:    </w:t>
            </w:r>
            <w:r w:rsidRPr="007D3510">
              <w:rPr>
                <w:rFonts w:cs="TimesNewRoman"/>
                <w:szCs w:val="23"/>
              </w:rPr>
              <w:t>Project – State Road 555 – Segment 1</w:t>
            </w:r>
          </w:p>
          <w:p w:rsidR="00225952" w:rsidRPr="007D3510" w:rsidRDefault="00225952" w:rsidP="00225952">
            <w:pPr>
              <w:tabs>
                <w:tab w:val="right" w:pos="4295"/>
                <w:tab w:val="right" w:pos="4565"/>
                <w:tab w:val="right" w:pos="5825"/>
              </w:tabs>
              <w:autoSpaceDE w:val="0"/>
              <w:autoSpaceDN w:val="0"/>
              <w:adjustRightInd w:val="0"/>
              <w:spacing w:before="40" w:after="40"/>
              <w:rPr>
                <w:rFonts w:ascii="Cambria" w:hAnsi="Cambria" w:cs="TimesNewRoman"/>
                <w:szCs w:val="23"/>
              </w:rPr>
            </w:pPr>
            <w:r w:rsidRPr="007D3510">
              <w:rPr>
                <w:rFonts w:cs="TimesNewRoman"/>
                <w:szCs w:val="23"/>
              </w:rPr>
              <w:tab/>
            </w:r>
            <w:r w:rsidRPr="007D3510">
              <w:rPr>
                <w:rFonts w:ascii="Cambria" w:hAnsi="Cambria" w:cs="TimesNewRoman"/>
                <w:szCs w:val="23"/>
              </w:rPr>
              <w:t xml:space="preserve">Development Impacts (Trips) </w:t>
            </w:r>
            <w:r w:rsidRPr="007D3510">
              <w:rPr>
                <w:rFonts w:ascii="Cambria" w:hAnsi="Cambria" w:cs="TimesNewRoman"/>
                <w:szCs w:val="23"/>
              </w:rPr>
              <w:tab/>
              <w:t xml:space="preserve">= </w:t>
            </w:r>
            <w:r w:rsidRPr="007D3510">
              <w:rPr>
                <w:rFonts w:ascii="Cambria" w:hAnsi="Cambria" w:cs="TimesNewRoman"/>
                <w:szCs w:val="23"/>
              </w:rPr>
              <w:tab/>
              <w:t>151</w:t>
            </w:r>
          </w:p>
          <w:p w:rsidR="00225952" w:rsidRPr="007D3510" w:rsidRDefault="00225952" w:rsidP="00225952">
            <w:pPr>
              <w:tabs>
                <w:tab w:val="right" w:pos="4295"/>
                <w:tab w:val="right" w:pos="4565"/>
                <w:tab w:val="right" w:pos="5825"/>
              </w:tabs>
              <w:autoSpaceDE w:val="0"/>
              <w:autoSpaceDN w:val="0"/>
              <w:adjustRightInd w:val="0"/>
              <w:spacing w:before="40" w:after="40"/>
              <w:rPr>
                <w:rFonts w:ascii="Cambria" w:hAnsi="Cambria" w:cs="TimesNewRoman"/>
                <w:szCs w:val="23"/>
              </w:rPr>
            </w:pPr>
            <w:r w:rsidRPr="007D3510">
              <w:rPr>
                <w:rFonts w:ascii="Cambria" w:hAnsi="Cambria" w:cs="TimesNewRoman"/>
                <w:szCs w:val="23"/>
              </w:rPr>
              <w:tab/>
              <w:t xml:space="preserve">Available Capacity (Trips) </w:t>
            </w:r>
            <w:r w:rsidRPr="007D3510">
              <w:rPr>
                <w:rFonts w:ascii="Cambria" w:hAnsi="Cambria" w:cs="TimesNewRoman"/>
                <w:szCs w:val="23"/>
              </w:rPr>
              <w:tab/>
              <w:t xml:space="preserve">= </w:t>
            </w:r>
            <w:r w:rsidRPr="007D3510">
              <w:rPr>
                <w:rFonts w:ascii="Cambria" w:hAnsi="Cambria" w:cs="TimesNewRoman"/>
                <w:szCs w:val="23"/>
              </w:rPr>
              <w:tab/>
              <w:t>100</w:t>
            </w:r>
          </w:p>
          <w:p w:rsidR="00225952" w:rsidRPr="007D3510" w:rsidRDefault="00225952" w:rsidP="00225952">
            <w:pPr>
              <w:tabs>
                <w:tab w:val="right" w:pos="4295"/>
                <w:tab w:val="right" w:pos="4565"/>
                <w:tab w:val="right" w:pos="5825"/>
              </w:tabs>
              <w:autoSpaceDE w:val="0"/>
              <w:autoSpaceDN w:val="0"/>
              <w:adjustRightInd w:val="0"/>
              <w:spacing w:before="40" w:after="40"/>
              <w:rPr>
                <w:rFonts w:ascii="Cambria" w:hAnsi="Cambria" w:cs="TimesNewRoman"/>
                <w:szCs w:val="23"/>
              </w:rPr>
            </w:pPr>
            <w:r w:rsidRPr="007D3510">
              <w:rPr>
                <w:rFonts w:ascii="Cambria" w:hAnsi="Cambria" w:cs="TimesNewRoman"/>
                <w:szCs w:val="23"/>
              </w:rPr>
              <w:tab/>
              <w:t xml:space="preserve">Service Volume Increase from RSI </w:t>
            </w:r>
            <w:r w:rsidRPr="007D3510">
              <w:rPr>
                <w:rFonts w:ascii="Cambria" w:hAnsi="Cambria" w:cs="TimesNewRoman"/>
                <w:szCs w:val="23"/>
              </w:rPr>
              <w:tab/>
              <w:t>=</w:t>
            </w:r>
            <w:r w:rsidRPr="007D3510">
              <w:rPr>
                <w:rFonts w:ascii="Cambria" w:hAnsi="Cambria" w:cs="TimesNewRoman"/>
                <w:szCs w:val="23"/>
              </w:rPr>
              <w:tab/>
              <w:t xml:space="preserve"> 1,100</w:t>
            </w:r>
          </w:p>
          <w:p w:rsidR="00225952" w:rsidRPr="007D3510" w:rsidRDefault="00225952" w:rsidP="00225952">
            <w:pPr>
              <w:tabs>
                <w:tab w:val="right" w:pos="4295"/>
                <w:tab w:val="right" w:pos="4565"/>
                <w:tab w:val="right" w:pos="5825"/>
              </w:tabs>
              <w:autoSpaceDE w:val="0"/>
              <w:autoSpaceDN w:val="0"/>
              <w:adjustRightInd w:val="0"/>
              <w:spacing w:before="40" w:after="40"/>
              <w:rPr>
                <w:rFonts w:ascii="Cambria" w:hAnsi="Cambria" w:cs="TimesNewRoman"/>
                <w:szCs w:val="23"/>
              </w:rPr>
            </w:pPr>
            <w:r w:rsidRPr="007D3510">
              <w:rPr>
                <w:rFonts w:ascii="Cambria" w:hAnsi="Cambria" w:cs="TimesNewRoman"/>
                <w:szCs w:val="23"/>
              </w:rPr>
              <w:tab/>
              <w:t xml:space="preserve">RSI Cost </w:t>
            </w:r>
            <w:r w:rsidRPr="007D3510">
              <w:rPr>
                <w:rFonts w:ascii="Cambria" w:hAnsi="Cambria" w:cs="TimesNewRoman"/>
                <w:szCs w:val="23"/>
              </w:rPr>
              <w:tab/>
              <w:t xml:space="preserve">= </w:t>
            </w:r>
            <w:r w:rsidRPr="007D3510">
              <w:rPr>
                <w:rFonts w:ascii="Cambria" w:hAnsi="Cambria" w:cs="TimesNewRoman"/>
                <w:szCs w:val="23"/>
              </w:rPr>
              <w:tab/>
              <w:t>$2,500,000</w:t>
            </w:r>
          </w:p>
          <w:p w:rsidR="00225952" w:rsidRPr="007D3510" w:rsidRDefault="00225952" w:rsidP="00225952">
            <w:pPr>
              <w:tabs>
                <w:tab w:val="right" w:pos="4295"/>
                <w:tab w:val="right" w:pos="4565"/>
                <w:tab w:val="right" w:pos="5825"/>
              </w:tabs>
              <w:autoSpaceDE w:val="0"/>
              <w:autoSpaceDN w:val="0"/>
              <w:adjustRightInd w:val="0"/>
              <w:spacing w:before="40" w:after="120"/>
              <w:rPr>
                <w:rFonts w:ascii="Cambria" w:hAnsi="Cambria" w:cs="TimesNewRoman,Bold"/>
                <w:bCs/>
                <w:szCs w:val="23"/>
              </w:rPr>
            </w:pPr>
            <w:r w:rsidRPr="007D3510">
              <w:rPr>
                <w:rFonts w:ascii="Cambria" w:hAnsi="Cambria" w:cs="TimesNewRoman"/>
                <w:szCs w:val="23"/>
              </w:rPr>
              <w:tab/>
              <w:t xml:space="preserve">[(151-100)/1100] x $2,500,000 </w:t>
            </w:r>
            <w:r w:rsidRPr="007D3510">
              <w:rPr>
                <w:rFonts w:ascii="Cambria" w:hAnsi="Cambria" w:cs="TimesNewRoman"/>
                <w:szCs w:val="23"/>
              </w:rPr>
              <w:tab/>
              <w:t>=</w:t>
            </w:r>
            <w:r w:rsidRPr="007D3510">
              <w:rPr>
                <w:rFonts w:ascii="Cambria" w:hAnsi="Cambria" w:cs="TimesNewRoman"/>
                <w:szCs w:val="23"/>
              </w:rPr>
              <w:tab/>
              <w:t xml:space="preserve"> </w:t>
            </w:r>
            <w:r w:rsidRPr="007D3510">
              <w:rPr>
                <w:rFonts w:ascii="Cambria" w:hAnsi="Cambria" w:cs="TimesNewRoman,Bold"/>
                <w:bCs/>
                <w:szCs w:val="23"/>
              </w:rPr>
              <w:t>$115,909</w:t>
            </w:r>
          </w:p>
          <w:p w:rsidR="00225952" w:rsidRPr="007D3510" w:rsidRDefault="00225952" w:rsidP="00225952">
            <w:pPr>
              <w:tabs>
                <w:tab w:val="right" w:pos="4295"/>
                <w:tab w:val="right" w:pos="4565"/>
                <w:tab w:val="right" w:pos="5825"/>
              </w:tabs>
            </w:pPr>
            <w:r w:rsidRPr="007D3510">
              <w:rPr>
                <w:rFonts w:cs="FortunaCondMedium"/>
                <w:szCs w:val="23"/>
              </w:rPr>
              <w:t>Therefore, the applicant’s proportionate fair-share contribution is $115,909.</w:t>
            </w:r>
          </w:p>
        </w:tc>
      </w:tr>
      <w:tr w:rsidR="00D62552" w:rsidRPr="00D16D56" w:rsidTr="00EA7E64">
        <w:tc>
          <w:tcPr>
            <w:tcW w:w="10375" w:type="dxa"/>
            <w:gridSpan w:val="3"/>
          </w:tcPr>
          <w:p w:rsidR="00D62552" w:rsidRPr="007D3510" w:rsidRDefault="00F77AF3" w:rsidP="00D62552">
            <w:pPr>
              <w:pStyle w:val="Heading3"/>
            </w:pPr>
            <w:bookmarkStart w:id="352" w:name="_Toc264274189"/>
            <w:r>
              <w:lastRenderedPageBreak/>
              <w:t>5.4</w:t>
            </w:r>
            <w:r w:rsidR="00D62552">
              <w:t xml:space="preserve">.7  </w:t>
            </w:r>
            <w:r w:rsidR="00D62552" w:rsidRPr="007D3510">
              <w:t>Examples of Proportionate Fair-Share (Sub-DRI) Mitigation</w:t>
            </w:r>
            <w:bookmarkEnd w:id="352"/>
          </w:p>
        </w:tc>
      </w:tr>
      <w:tr w:rsidR="00225952" w:rsidRPr="00D16D56" w:rsidTr="00225952">
        <w:tc>
          <w:tcPr>
            <w:tcW w:w="2455" w:type="dxa"/>
          </w:tcPr>
          <w:p w:rsidR="00225952" w:rsidRPr="007D3510" w:rsidRDefault="00225952" w:rsidP="00225952">
            <w:pPr>
              <w:pStyle w:val="Heading4"/>
            </w:pPr>
          </w:p>
        </w:tc>
        <w:tc>
          <w:tcPr>
            <w:tcW w:w="7920" w:type="dxa"/>
            <w:gridSpan w:val="2"/>
          </w:tcPr>
          <w:p w:rsidR="00225952" w:rsidRPr="007D3510" w:rsidRDefault="00225952" w:rsidP="00225952">
            <w:r w:rsidRPr="007D3510">
              <w:t xml:space="preserve">The following examples are provided by FDOT’s Office of Policy Planning and DCA’s </w:t>
            </w:r>
            <w:hyperlink r:id="rId405" w:history="1">
              <w:r w:rsidRPr="007D3510">
                <w:rPr>
                  <w:rStyle w:val="Hyperlink"/>
                  <w:szCs w:val="23"/>
                </w:rPr>
                <w:t>Transportation Concurrency Best Practices</w:t>
              </w:r>
            </w:hyperlink>
            <w:r w:rsidRPr="007D3510">
              <w:t>, and serve to alert reviewers to some unique mitigation options available through proportionate fair share funding.</w:t>
            </w:r>
          </w:p>
        </w:tc>
      </w:tr>
      <w:tr w:rsidR="00225952" w:rsidRPr="00D16D56" w:rsidTr="00225952">
        <w:tc>
          <w:tcPr>
            <w:tcW w:w="2455" w:type="dxa"/>
          </w:tcPr>
          <w:p w:rsidR="00225952" w:rsidRPr="007D3510" w:rsidRDefault="00225952" w:rsidP="00225952">
            <w:pPr>
              <w:pStyle w:val="Heading4"/>
            </w:pPr>
            <w:r w:rsidRPr="007D3510">
              <w:t xml:space="preserve">Example 1: </w:t>
            </w:r>
            <w:r w:rsidR="007920DE">
              <w:br/>
            </w:r>
            <w:r w:rsidRPr="003545C4">
              <w:rPr>
                <w:b w:val="0"/>
              </w:rPr>
              <w:t xml:space="preserve">ITS Options for Smaller Developments </w:t>
            </w:r>
            <w:r w:rsidR="007920DE">
              <w:rPr>
                <w:b w:val="0"/>
              </w:rPr>
              <w:br/>
            </w:r>
            <w:r w:rsidRPr="003545C4">
              <w:rPr>
                <w:b w:val="0"/>
              </w:rPr>
              <w:t>(City of Gainesville)</w:t>
            </w:r>
          </w:p>
        </w:tc>
        <w:tc>
          <w:tcPr>
            <w:tcW w:w="7920" w:type="dxa"/>
            <w:gridSpan w:val="2"/>
          </w:tcPr>
          <w:p w:rsidR="00225952" w:rsidRPr="007D3510" w:rsidRDefault="00225952" w:rsidP="00225952">
            <w:r w:rsidRPr="007D3510">
              <w:t xml:space="preserve">Transportation levels of service are failing on road corridor links throughout the City of </w:t>
            </w:r>
            <w:smartTag w:uri="urn:schemas-microsoft-com:office:smarttags" w:element="place">
              <w:smartTag w:uri="urn:schemas-microsoft-com:office:smarttags" w:element="City">
                <w:r w:rsidRPr="007D3510">
                  <w:t>Gainesville</w:t>
                </w:r>
              </w:smartTag>
            </w:smartTag>
            <w:r w:rsidRPr="007D3510">
              <w:t xml:space="preserve"> and the costs of traditional capacity improvements needed to meet concurrency are high. Smaller “Mom and Pop” developments may not be cost-feasible if the City requires them to bear the full cost of addressing backlogs.</w:t>
            </w:r>
          </w:p>
          <w:p w:rsidR="00225952" w:rsidRPr="007D3510" w:rsidRDefault="00225952" w:rsidP="00225952">
            <w:r w:rsidRPr="007D3510">
              <w:t>To address this issue, the City identified an alternate capital transportation project to address concurrency in the backlogged corridors—a system-wide Intelligent Transportation System (ITS) program to link traffic signals and provide traffic management capabilities. Implementation of ITS will “create” capacity through improved efficiency on a city-wide basis and will benefit the regional transportation network.</w:t>
            </w:r>
          </w:p>
          <w:p w:rsidR="00225952" w:rsidRPr="007D3510" w:rsidRDefault="00225952" w:rsidP="00225952">
            <w:r w:rsidRPr="007D3510">
              <w:t>Small-scale developers will be allowed to contribute their proportionate fair share based on the ITS capital plan, which will cost substantially less than construction of large capacity, backlog-based projects. In sum, concurrency issues of smaller developments will be addressed through an equitable mechanism that provides relief to smaller developments, and proportionate fair share revenue will be generated for the needed ITS project and transit service.</w:t>
            </w:r>
          </w:p>
        </w:tc>
      </w:tr>
      <w:tr w:rsidR="00225952" w:rsidRPr="00D16D56" w:rsidTr="00225952">
        <w:tc>
          <w:tcPr>
            <w:tcW w:w="2455" w:type="dxa"/>
          </w:tcPr>
          <w:p w:rsidR="00225952" w:rsidRDefault="00225952" w:rsidP="00225952">
            <w:pPr>
              <w:pStyle w:val="Heading4"/>
              <w:rPr>
                <w:b w:val="0"/>
              </w:rPr>
            </w:pPr>
            <w:r w:rsidRPr="007D3510">
              <w:t xml:space="preserve">Example 2: </w:t>
            </w:r>
            <w:r w:rsidRPr="003545C4">
              <w:rPr>
                <w:b w:val="0"/>
              </w:rPr>
              <w:t xml:space="preserve">Pipelining Proportionate Fair Share Funds </w:t>
            </w:r>
            <w:r w:rsidR="007920DE">
              <w:rPr>
                <w:b w:val="0"/>
              </w:rPr>
              <w:br/>
            </w:r>
            <w:r w:rsidRPr="003545C4">
              <w:rPr>
                <w:b w:val="0"/>
              </w:rPr>
              <w:t>(City of Tallahassee)</w:t>
            </w:r>
          </w:p>
          <w:p w:rsidR="007920DE" w:rsidRPr="007920DE" w:rsidRDefault="007920DE" w:rsidP="007920DE"/>
          <w:p w:rsidR="007920DE" w:rsidRDefault="007920DE" w:rsidP="007920DE">
            <w:pPr>
              <w:spacing w:after="0"/>
            </w:pPr>
            <w:r>
              <w:rPr>
                <w:noProof/>
              </w:rPr>
              <w:drawing>
                <wp:inline distT="0" distB="0" distL="0" distR="0">
                  <wp:extent cx="1421765" cy="560705"/>
                  <wp:effectExtent l="19050" t="0" r="6985" b="0"/>
                  <wp:docPr id="232" name="Picture 231" descr="button_presentation.png">
                    <a:hlinkClick xmlns:a="http://schemas.openxmlformats.org/drawingml/2006/main" r:id="rId3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tton_presentation.png"/>
                          <pic:cNvPicPr/>
                        </pic:nvPicPr>
                        <pic:blipFill>
                          <a:blip r:embed="rId35" cstate="print"/>
                          <a:stretch>
                            <a:fillRect/>
                          </a:stretch>
                        </pic:blipFill>
                        <pic:spPr>
                          <a:xfrm>
                            <a:off x="0" y="0"/>
                            <a:ext cx="1421765" cy="560705"/>
                          </a:xfrm>
                          <a:prstGeom prst="rect">
                            <a:avLst/>
                          </a:prstGeom>
                        </pic:spPr>
                      </pic:pic>
                    </a:graphicData>
                  </a:graphic>
                </wp:inline>
              </w:drawing>
            </w:r>
          </w:p>
          <w:p w:rsidR="00225952" w:rsidRDefault="00225952" w:rsidP="007920DE">
            <w:pPr>
              <w:pStyle w:val="HeadSide20"/>
              <w:jc w:val="center"/>
            </w:pPr>
            <w:r>
              <w:t>Growth Management Training PowerPoint slides</w:t>
            </w:r>
          </w:p>
        </w:tc>
        <w:tc>
          <w:tcPr>
            <w:tcW w:w="7920" w:type="dxa"/>
            <w:gridSpan w:val="2"/>
          </w:tcPr>
          <w:p w:rsidR="00225952" w:rsidRPr="007D3510" w:rsidRDefault="00225952" w:rsidP="00225952">
            <w:r w:rsidRPr="007D3510">
              <w:t xml:space="preserve">Numerous arterial roads and State Highway System segments throughout </w:t>
            </w:r>
            <w:smartTag w:uri="urn:schemas-microsoft-com:office:smarttags" w:element="place">
              <w:smartTag w:uri="urn:schemas-microsoft-com:office:smarttags" w:element="PlaceName">
                <w:r w:rsidRPr="007D3510">
                  <w:t>Leon</w:t>
                </w:r>
              </w:smartTag>
              <w:r w:rsidRPr="007D3510">
                <w:t xml:space="preserve"> </w:t>
              </w:r>
              <w:smartTag w:uri="urn:schemas-microsoft-com:office:smarttags" w:element="PlaceName">
                <w:r w:rsidRPr="007D3510">
                  <w:t>County</w:t>
                </w:r>
              </w:smartTag>
            </w:smartTag>
            <w:r w:rsidRPr="007D3510">
              <w:t xml:space="preserve"> are experiencing failing LOS. To address concurrency requirements, the local governments have jointly proposed a “Significant Benefit” improvement project for each of 5 zones within the County. </w:t>
            </w:r>
          </w:p>
          <w:p w:rsidR="00225952" w:rsidRPr="007D3510" w:rsidRDefault="00225952" w:rsidP="00225952">
            <w:r w:rsidRPr="007D3510">
              <w:t>Proportionate fair share funds are to be directed toward the significant benefit project with each zone based on the location of the impacted roadway segment. Each project is anticipated to substantially improve mobility within the designated zone. The significant benefit project could be a major road capacity project, or involve an alternate efficiency project such as transit, a parallel corridor, or diverting existing traffic away from a backlogged intersection to spread capacity onto under-used facilities off the state highway system.</w:t>
            </w:r>
          </w:p>
        </w:tc>
      </w:tr>
      <w:tr w:rsidR="00225952" w:rsidRPr="00D16D56" w:rsidTr="00225952">
        <w:tc>
          <w:tcPr>
            <w:tcW w:w="2455" w:type="dxa"/>
          </w:tcPr>
          <w:p w:rsidR="00225952" w:rsidRPr="007D3510" w:rsidRDefault="00225952" w:rsidP="00225952">
            <w:pPr>
              <w:spacing w:after="120"/>
              <w:rPr>
                <w:szCs w:val="23"/>
              </w:rPr>
            </w:pPr>
          </w:p>
        </w:tc>
        <w:tc>
          <w:tcPr>
            <w:tcW w:w="7920" w:type="dxa"/>
            <w:gridSpan w:val="2"/>
          </w:tcPr>
          <w:p w:rsidR="00225952" w:rsidRPr="007D3510" w:rsidRDefault="00225952" w:rsidP="00225952">
            <w:r w:rsidRPr="007D3510">
              <w:t xml:space="preserve">The central zone is proposed as a future </w:t>
            </w:r>
            <w:r w:rsidR="00A72D9B">
              <w:t>multimodal</w:t>
            </w:r>
            <w:r w:rsidRPr="007D3510">
              <w:t xml:space="preserve"> district. Therefore, the “Significant Benefit” project for this zone has been designated to be transit, bike and pedestrian improvements. For the other zones, it is proposed that a large </w:t>
            </w:r>
            <w:r w:rsidRPr="007D3510">
              <w:lastRenderedPageBreak/>
              <w:t>percentage of the collected funds will be pipelined to the designated “Significant Benefit” road improvement project within the zone. A smaller percentage will be applied to transit, bike and pedestrian improvement projects within the zone.</w:t>
            </w:r>
          </w:p>
          <w:p w:rsidR="00225952" w:rsidRPr="007D3510" w:rsidRDefault="00225952" w:rsidP="00225952">
            <w:r w:rsidRPr="007D3510">
              <w:t>Currently, Tallahassee/Leon County does not collect impact fees on new development. It is anticipated that the proposed Proportionate Fair Share program will provide a new source of revenue for funding transportation infrastructure needs. At this time, the City/County governments are working with FDOT to reach consensus on the implementation of this proposal and the specific road improvements that are designated as “Significant Benefit” projects. Note that this proposal would apply only when there are no capacity projects in the CIP that would directly rectify the capacity deficiency of an impacted roadway segment. For impacts to road segments that do have a mitigation project in the CIP, proportionate share funds will be directed toward that project.</w:t>
            </w:r>
          </w:p>
        </w:tc>
      </w:tr>
      <w:tr w:rsidR="00225952" w:rsidRPr="00D16D56" w:rsidTr="00225952">
        <w:tc>
          <w:tcPr>
            <w:tcW w:w="2455" w:type="dxa"/>
          </w:tcPr>
          <w:p w:rsidR="00225952" w:rsidRDefault="00C86195" w:rsidP="00225952">
            <w:pPr>
              <w:pStyle w:val="Heading4"/>
            </w:pPr>
            <w:r>
              <w:rPr>
                <w:b w:val="0"/>
                <w:bCs w:val="0"/>
              </w:rPr>
              <w:lastRenderedPageBreak/>
              <w:br w:type="page"/>
            </w:r>
            <w:r w:rsidR="00225952" w:rsidRPr="00505689">
              <w:t>Additional Guidance</w:t>
            </w:r>
          </w:p>
          <w:p w:rsidR="007920DE" w:rsidRDefault="007920DE" w:rsidP="00E7413B">
            <w:pPr>
              <w:spacing w:before="120" w:after="0"/>
            </w:pPr>
            <w:r>
              <w:rPr>
                <w:noProof/>
              </w:rPr>
              <w:drawing>
                <wp:inline distT="0" distB="0" distL="0" distR="0">
                  <wp:extent cx="1421765" cy="554990"/>
                  <wp:effectExtent l="0" t="0" r="0" b="0"/>
                  <wp:docPr id="234" name="Picture 233" descr="button_PDFlink.png">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tton_PDFlink.png"/>
                          <pic:cNvPicPr/>
                        </pic:nvPicPr>
                        <pic:blipFill>
                          <a:blip r:embed="rId15" cstate="print"/>
                          <a:stretch>
                            <a:fillRect/>
                          </a:stretch>
                        </pic:blipFill>
                        <pic:spPr>
                          <a:xfrm>
                            <a:off x="0" y="0"/>
                            <a:ext cx="1421765" cy="554990"/>
                          </a:xfrm>
                          <a:prstGeom prst="rect">
                            <a:avLst/>
                          </a:prstGeom>
                        </pic:spPr>
                      </pic:pic>
                    </a:graphicData>
                  </a:graphic>
                </wp:inline>
              </w:drawing>
            </w:r>
          </w:p>
          <w:p w:rsidR="0061340E" w:rsidRDefault="0061340E" w:rsidP="0061340E">
            <w:pPr>
              <w:pStyle w:val="HeadSide2"/>
              <w:spacing w:after="240"/>
            </w:pPr>
            <w:r>
              <w:t>Concurrency Best Practices</w:t>
            </w:r>
          </w:p>
          <w:p w:rsidR="007920DE" w:rsidRDefault="007920DE" w:rsidP="0061340E">
            <w:pPr>
              <w:spacing w:after="0"/>
            </w:pPr>
            <w:r w:rsidRPr="007920DE">
              <w:rPr>
                <w:noProof/>
              </w:rPr>
              <w:drawing>
                <wp:inline distT="0" distB="0" distL="0" distR="0">
                  <wp:extent cx="1421765" cy="554990"/>
                  <wp:effectExtent l="0" t="0" r="0" b="0"/>
                  <wp:docPr id="528" name="Picture 233" descr="button_PDFlink.png">
                    <a:hlinkClick xmlns:a="http://schemas.openxmlformats.org/drawingml/2006/main" r:id="rId4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tton_PDFlink.png"/>
                          <pic:cNvPicPr/>
                        </pic:nvPicPr>
                        <pic:blipFill>
                          <a:blip r:embed="rId15" cstate="print"/>
                          <a:stretch>
                            <a:fillRect/>
                          </a:stretch>
                        </pic:blipFill>
                        <pic:spPr>
                          <a:xfrm>
                            <a:off x="0" y="0"/>
                            <a:ext cx="1421765" cy="554990"/>
                          </a:xfrm>
                          <a:prstGeom prst="rect">
                            <a:avLst/>
                          </a:prstGeom>
                        </pic:spPr>
                      </pic:pic>
                    </a:graphicData>
                  </a:graphic>
                </wp:inline>
              </w:drawing>
            </w:r>
          </w:p>
          <w:p w:rsidR="0061340E" w:rsidRPr="007920DE" w:rsidRDefault="0061340E" w:rsidP="0061340E">
            <w:pPr>
              <w:pStyle w:val="HeadSide2"/>
              <w:spacing w:after="240"/>
            </w:pPr>
            <w:r>
              <w:t>Model Ordinance</w:t>
            </w:r>
          </w:p>
        </w:tc>
        <w:tc>
          <w:tcPr>
            <w:tcW w:w="7920" w:type="dxa"/>
            <w:gridSpan w:val="2"/>
          </w:tcPr>
          <w:p w:rsidR="00225952" w:rsidRPr="00505689" w:rsidRDefault="00225952" w:rsidP="00225952">
            <w:r w:rsidRPr="00505689">
              <w:t xml:space="preserve">Additional guidance on developing Concurrency Management Systems can be found in DCAs </w:t>
            </w:r>
            <w:hyperlink r:id="rId406" w:history="1">
              <w:r w:rsidRPr="00505689">
                <w:rPr>
                  <w:rStyle w:val="Hyperlink"/>
                  <w:szCs w:val="23"/>
                </w:rPr>
                <w:t>Transportation Concurrency Best Practices</w:t>
              </w:r>
            </w:hyperlink>
            <w:r w:rsidRPr="00505689">
              <w:t xml:space="preserve">. In addition, FDOT has published a </w:t>
            </w:r>
            <w:hyperlink r:id="rId407" w:history="1">
              <w:r w:rsidRPr="00505689">
                <w:rPr>
                  <w:rStyle w:val="Hyperlink"/>
                  <w:szCs w:val="23"/>
                </w:rPr>
                <w:t>Model Ordinance for Proportionate Fair-Share Mitigation of Development Impacts on Transportation Corridors</w:t>
              </w:r>
            </w:hyperlink>
            <w:r w:rsidRPr="00505689">
              <w:t xml:space="preserve"> that may be used by local governments in enacting an ordinance.</w:t>
            </w:r>
          </w:p>
        </w:tc>
      </w:tr>
      <w:tr w:rsidR="00225952" w:rsidRPr="00D16D56" w:rsidTr="00225952">
        <w:tc>
          <w:tcPr>
            <w:tcW w:w="2455" w:type="dxa"/>
          </w:tcPr>
          <w:p w:rsidR="00225952" w:rsidRPr="007D3510" w:rsidRDefault="00225952" w:rsidP="00225952">
            <w:pPr>
              <w:pStyle w:val="Heading4"/>
            </w:pPr>
            <w:r w:rsidRPr="007D3510">
              <w:t>Impact/Mobility Fees</w:t>
            </w:r>
          </w:p>
        </w:tc>
        <w:tc>
          <w:tcPr>
            <w:tcW w:w="7920" w:type="dxa"/>
            <w:gridSpan w:val="2"/>
          </w:tcPr>
          <w:p w:rsidR="00225952" w:rsidRPr="007D3510" w:rsidRDefault="00225952" w:rsidP="00225952">
            <w:r w:rsidRPr="007D3510">
              <w:t>Enacting impact fees, one-time charges imposed on new development as a condition of approval, is another funding strategy that may be used by county and municipal governments to ensure that new development pays its proportionate share of the costs to expand transportation system capacity. The “Florida Impact Fee Act</w:t>
            </w:r>
            <w:r w:rsidRPr="007D3510">
              <w:rPr>
                <w:strike/>
              </w:rPr>
              <w:t>”,</w:t>
            </w:r>
            <w:r w:rsidRPr="007D3510">
              <w:t xml:space="preserve"> Section 163.31801, F.S ., permits local governments to adopt impact fee ordinances as long as these charges are consistent with the local government’s land development code and comprehensive plan, and meet the minimum requirements stated in the statute. </w:t>
            </w:r>
          </w:p>
          <w:p w:rsidR="00225952" w:rsidRPr="007D3510" w:rsidRDefault="00225952" w:rsidP="00225952">
            <w:r w:rsidRPr="007D3510">
              <w:t>In addition, Section 163.2417(3)(j), F.S. requires urban infill and redevelopment plans to contain a package of financial incentives, which may include strategies to lower impact fees for developments that promote the use of alternative transportation modes. These types of incentives recognize the differences in travel demand generated by different land use types, and should be considered in the impact review process.</w:t>
            </w:r>
          </w:p>
          <w:p w:rsidR="00225952" w:rsidRPr="007D3510" w:rsidRDefault="00225952" w:rsidP="00225952">
            <w:r w:rsidRPr="007D3510">
              <w:lastRenderedPageBreak/>
              <w:t>Another strategy that is currently being developed to assure that new development pays for its share of transportation impacts involves the use of mobility fees. Mobility fees would be assessed by vehicle and people-miles traveled, and serve to promote compact, mixed use, and energy efficient development. This funding mechanism could be combined with Corridor Access Management Plans, Transit Oriented Development, GHG Emissions Reduction Strategies, and other strategies to make sure that transportation impact mitigation is funded to support long-term mobility needs.</w:t>
            </w:r>
          </w:p>
        </w:tc>
      </w:tr>
    </w:tbl>
    <w:p w:rsidR="00225952" w:rsidRDefault="00225952" w:rsidP="00225952"/>
    <w:p w:rsidR="000569A8" w:rsidRDefault="000569A8">
      <w:bookmarkStart w:id="353" w:name="APXA"/>
      <w:bookmarkEnd w:id="353"/>
      <w:r>
        <w:rPr>
          <w:b/>
          <w:bCs/>
        </w:rPr>
        <w:br w:type="page"/>
      </w:r>
    </w:p>
    <w:p w:rsidR="00D62552" w:rsidRDefault="00D62552" w:rsidP="00225952">
      <w:pPr>
        <w:pStyle w:val="Heading1"/>
        <w:sectPr w:rsidR="00D62552" w:rsidSect="006424BC">
          <w:headerReference w:type="default" r:id="rId408"/>
          <w:type w:val="continuous"/>
          <w:pgSz w:w="12240" w:h="15840"/>
          <w:pgMar w:top="1440" w:right="720" w:bottom="1440" w:left="1152" w:header="720" w:footer="720" w:gutter="0"/>
          <w:cols w:space="720"/>
          <w:docGrid w:linePitch="360"/>
        </w:sectPr>
      </w:pPr>
    </w:p>
    <w:tbl>
      <w:tblPr>
        <w:tblW w:w="0" w:type="auto"/>
        <w:tblLook w:val="04A0"/>
      </w:tblPr>
      <w:tblGrid>
        <w:gridCol w:w="10458"/>
      </w:tblGrid>
      <w:tr w:rsidR="00225952" w:rsidTr="005B5AFE">
        <w:tc>
          <w:tcPr>
            <w:tcW w:w="10458" w:type="dxa"/>
          </w:tcPr>
          <w:p w:rsidR="00225952" w:rsidRDefault="009A5DBF" w:rsidP="00225952">
            <w:pPr>
              <w:pStyle w:val="Heading1"/>
            </w:pPr>
            <w:bookmarkStart w:id="354" w:name="_Toc264274190"/>
            <w:r>
              <w:lastRenderedPageBreak/>
              <w:t xml:space="preserve">APPENDIX </w:t>
            </w:r>
            <w:r w:rsidR="00225952">
              <w:t>A</w:t>
            </w:r>
            <w:bookmarkEnd w:id="354"/>
          </w:p>
        </w:tc>
      </w:tr>
      <w:tr w:rsidR="00225952" w:rsidTr="005B5AFE">
        <w:tc>
          <w:tcPr>
            <w:tcW w:w="10458" w:type="dxa"/>
          </w:tcPr>
          <w:p w:rsidR="00225952" w:rsidRPr="00DA4D24" w:rsidRDefault="00225952" w:rsidP="00225952">
            <w:pPr>
              <w:pStyle w:val="Heading4"/>
              <w:rPr>
                <w:rFonts w:asciiTheme="minorHAnsi" w:hAnsiTheme="minorHAnsi"/>
              </w:rPr>
            </w:pPr>
            <w:r w:rsidRPr="00DA4D24">
              <w:rPr>
                <w:rFonts w:asciiTheme="minorHAnsi" w:hAnsiTheme="minorHAnsi"/>
              </w:rPr>
              <w:t>DRI Stages FDOT Review</w:t>
            </w:r>
            <w:r w:rsidR="00956DA2">
              <w:rPr>
                <w:rFonts w:asciiTheme="minorHAnsi" w:hAnsiTheme="minorHAnsi"/>
              </w:rPr>
              <w:t xml:space="preserve"> Participation Reference Chart</w:t>
            </w:r>
          </w:p>
          <w:p w:rsidR="00225952" w:rsidRDefault="00225952" w:rsidP="00225952">
            <w:r w:rsidRPr="0045695F">
              <w:rPr>
                <w:i/>
              </w:rPr>
              <w:t>Sources:</w:t>
            </w:r>
            <w:r w:rsidRPr="00DA4D24">
              <w:t xml:space="preserve">  Primarily Chapter 380, FS and Rule 9J-2, FAC</w:t>
            </w:r>
          </w:p>
        </w:tc>
      </w:tr>
    </w:tbl>
    <w:p w:rsidR="00225952" w:rsidRDefault="00225952" w:rsidP="00225952">
      <w:pPr>
        <w:pStyle w:val="Default"/>
      </w:pPr>
    </w:p>
    <w:p w:rsidR="00225952" w:rsidRDefault="00225952" w:rsidP="00225952">
      <w:pPr>
        <w:pStyle w:val="Default"/>
      </w:pPr>
    </w:p>
    <w:p w:rsidR="00225952" w:rsidRDefault="00225952" w:rsidP="00225952">
      <w:pPr>
        <w:pStyle w:val="Default"/>
      </w:pPr>
    </w:p>
    <w:tbl>
      <w:tblPr>
        <w:tblW w:w="0" w:type="auto"/>
        <w:jc w:val="center"/>
        <w:tblLayout w:type="fixed"/>
        <w:tblLook w:val="04A0"/>
      </w:tblPr>
      <w:tblGrid>
        <w:gridCol w:w="1548"/>
        <w:gridCol w:w="1548"/>
        <w:gridCol w:w="1152"/>
        <w:gridCol w:w="1350"/>
        <w:gridCol w:w="1440"/>
        <w:gridCol w:w="2250"/>
      </w:tblGrid>
      <w:tr w:rsidR="00225952" w:rsidRPr="00D124E9" w:rsidTr="005B5AFE">
        <w:trPr>
          <w:jc w:val="center"/>
        </w:trPr>
        <w:tc>
          <w:tcPr>
            <w:tcW w:w="1548" w:type="dxa"/>
            <w:tcBorders>
              <w:top w:val="single" w:sz="12" w:space="0" w:color="auto"/>
              <w:bottom w:val="single" w:sz="4" w:space="0" w:color="auto"/>
            </w:tcBorders>
            <w:vAlign w:val="bottom"/>
          </w:tcPr>
          <w:p w:rsidR="00225952" w:rsidRPr="0045695F" w:rsidRDefault="00225952" w:rsidP="00225952">
            <w:pPr>
              <w:pStyle w:val="Default"/>
              <w:jc w:val="center"/>
              <w:rPr>
                <w:rFonts w:asciiTheme="minorHAnsi" w:hAnsiTheme="minorHAnsi" w:cs="Arial"/>
                <w:color w:val="215868" w:themeColor="accent5" w:themeShade="80"/>
                <w:sz w:val="18"/>
                <w:szCs w:val="18"/>
              </w:rPr>
            </w:pPr>
            <w:r w:rsidRPr="0045695F">
              <w:rPr>
                <w:rFonts w:asciiTheme="minorHAnsi" w:hAnsiTheme="minorHAnsi" w:cs="Arial"/>
                <w:b/>
                <w:bCs/>
                <w:color w:val="215868" w:themeColor="accent5" w:themeShade="80"/>
                <w:sz w:val="18"/>
                <w:szCs w:val="18"/>
              </w:rPr>
              <w:t>Review</w:t>
            </w:r>
          </w:p>
        </w:tc>
        <w:tc>
          <w:tcPr>
            <w:tcW w:w="1548" w:type="dxa"/>
            <w:tcBorders>
              <w:top w:val="single" w:sz="12" w:space="0" w:color="auto"/>
              <w:bottom w:val="single" w:sz="4" w:space="0" w:color="auto"/>
            </w:tcBorders>
            <w:vAlign w:val="bottom"/>
          </w:tcPr>
          <w:p w:rsidR="00225952" w:rsidRPr="0045695F" w:rsidRDefault="00225952" w:rsidP="00225952">
            <w:pPr>
              <w:pStyle w:val="Default"/>
              <w:jc w:val="center"/>
              <w:rPr>
                <w:rFonts w:asciiTheme="minorHAnsi" w:hAnsiTheme="minorHAnsi" w:cs="Arial"/>
                <w:color w:val="215868" w:themeColor="accent5" w:themeShade="80"/>
                <w:sz w:val="18"/>
                <w:szCs w:val="18"/>
              </w:rPr>
            </w:pPr>
            <w:r w:rsidRPr="0045695F">
              <w:rPr>
                <w:rFonts w:asciiTheme="minorHAnsi" w:hAnsiTheme="minorHAnsi" w:cs="Arial"/>
                <w:b/>
                <w:bCs/>
                <w:color w:val="215868" w:themeColor="accent5" w:themeShade="80"/>
                <w:sz w:val="18"/>
                <w:szCs w:val="18"/>
              </w:rPr>
              <w:t>Product</w:t>
            </w:r>
          </w:p>
        </w:tc>
        <w:tc>
          <w:tcPr>
            <w:tcW w:w="1152" w:type="dxa"/>
            <w:tcBorders>
              <w:top w:val="single" w:sz="12" w:space="0" w:color="auto"/>
              <w:bottom w:val="single" w:sz="4" w:space="0" w:color="auto"/>
            </w:tcBorders>
            <w:vAlign w:val="bottom"/>
          </w:tcPr>
          <w:p w:rsidR="00225952" w:rsidRPr="0045695F" w:rsidRDefault="00225952" w:rsidP="00225952">
            <w:pPr>
              <w:pStyle w:val="Default"/>
              <w:jc w:val="center"/>
              <w:rPr>
                <w:rFonts w:asciiTheme="minorHAnsi" w:hAnsiTheme="minorHAnsi" w:cs="Arial"/>
                <w:color w:val="215868" w:themeColor="accent5" w:themeShade="80"/>
                <w:sz w:val="18"/>
                <w:szCs w:val="18"/>
              </w:rPr>
            </w:pPr>
            <w:r w:rsidRPr="0045695F">
              <w:rPr>
                <w:rFonts w:asciiTheme="minorHAnsi" w:hAnsiTheme="minorHAnsi" w:cs="Arial"/>
                <w:b/>
                <w:bCs/>
                <w:color w:val="215868" w:themeColor="accent5" w:themeShade="80"/>
                <w:sz w:val="18"/>
                <w:szCs w:val="18"/>
              </w:rPr>
              <w:t>Agency</w:t>
            </w:r>
          </w:p>
        </w:tc>
        <w:tc>
          <w:tcPr>
            <w:tcW w:w="1350" w:type="dxa"/>
            <w:tcBorders>
              <w:top w:val="single" w:sz="12" w:space="0" w:color="auto"/>
              <w:bottom w:val="single" w:sz="4" w:space="0" w:color="auto"/>
            </w:tcBorders>
            <w:vAlign w:val="bottom"/>
          </w:tcPr>
          <w:p w:rsidR="00225952" w:rsidRPr="0045695F" w:rsidRDefault="00225952" w:rsidP="00225952">
            <w:pPr>
              <w:pStyle w:val="Default"/>
              <w:jc w:val="center"/>
              <w:rPr>
                <w:rFonts w:asciiTheme="minorHAnsi" w:hAnsiTheme="minorHAnsi" w:cs="Arial"/>
                <w:color w:val="215868" w:themeColor="accent5" w:themeShade="80"/>
                <w:sz w:val="18"/>
                <w:szCs w:val="18"/>
              </w:rPr>
            </w:pPr>
            <w:r w:rsidRPr="0045695F">
              <w:rPr>
                <w:rFonts w:asciiTheme="minorHAnsi" w:hAnsiTheme="minorHAnsi" w:cs="Arial"/>
                <w:b/>
                <w:bCs/>
                <w:color w:val="215868" w:themeColor="accent5" w:themeShade="80"/>
                <w:sz w:val="18"/>
                <w:szCs w:val="18"/>
              </w:rPr>
              <w:t>Review Time</w:t>
            </w:r>
          </w:p>
        </w:tc>
        <w:tc>
          <w:tcPr>
            <w:tcW w:w="1440" w:type="dxa"/>
            <w:tcBorders>
              <w:top w:val="single" w:sz="12" w:space="0" w:color="auto"/>
              <w:bottom w:val="single" w:sz="4" w:space="0" w:color="auto"/>
            </w:tcBorders>
            <w:vAlign w:val="bottom"/>
          </w:tcPr>
          <w:p w:rsidR="00225952" w:rsidRPr="0045695F" w:rsidRDefault="00225952" w:rsidP="00225952">
            <w:pPr>
              <w:pStyle w:val="Default"/>
              <w:jc w:val="center"/>
              <w:rPr>
                <w:rFonts w:asciiTheme="minorHAnsi" w:hAnsiTheme="minorHAnsi" w:cs="Arial"/>
                <w:color w:val="215868" w:themeColor="accent5" w:themeShade="80"/>
                <w:sz w:val="18"/>
                <w:szCs w:val="18"/>
              </w:rPr>
            </w:pPr>
            <w:r w:rsidRPr="0045695F">
              <w:rPr>
                <w:rFonts w:asciiTheme="minorHAnsi" w:hAnsiTheme="minorHAnsi" w:cs="Arial"/>
                <w:b/>
                <w:bCs/>
                <w:color w:val="215868" w:themeColor="accent5" w:themeShade="80"/>
                <w:sz w:val="18"/>
                <w:szCs w:val="18"/>
              </w:rPr>
              <w:t>Statutory Guidelines</w:t>
            </w:r>
          </w:p>
        </w:tc>
        <w:tc>
          <w:tcPr>
            <w:tcW w:w="2250" w:type="dxa"/>
            <w:tcBorders>
              <w:top w:val="single" w:sz="12" w:space="0" w:color="auto"/>
              <w:bottom w:val="single" w:sz="4" w:space="0" w:color="auto"/>
            </w:tcBorders>
            <w:vAlign w:val="bottom"/>
          </w:tcPr>
          <w:p w:rsidR="00225952" w:rsidRPr="0045695F" w:rsidRDefault="00225952" w:rsidP="00225952">
            <w:pPr>
              <w:pStyle w:val="Default"/>
              <w:jc w:val="center"/>
              <w:rPr>
                <w:rFonts w:asciiTheme="minorHAnsi" w:hAnsiTheme="minorHAnsi" w:cs="Arial"/>
                <w:color w:val="215868" w:themeColor="accent5" w:themeShade="80"/>
                <w:sz w:val="18"/>
                <w:szCs w:val="18"/>
              </w:rPr>
            </w:pPr>
            <w:r w:rsidRPr="0045695F">
              <w:rPr>
                <w:rFonts w:asciiTheme="minorHAnsi" w:hAnsiTheme="minorHAnsi" w:cs="Arial"/>
                <w:b/>
                <w:bCs/>
                <w:color w:val="215868" w:themeColor="accent5" w:themeShade="80"/>
                <w:sz w:val="16"/>
                <w:szCs w:val="18"/>
              </w:rPr>
              <w:t>Rules, Procedures, Directives, Policies and Topics</w:t>
            </w:r>
          </w:p>
        </w:tc>
      </w:tr>
      <w:tr w:rsidR="00225952" w:rsidRPr="00D124E9" w:rsidTr="005B5AFE">
        <w:trPr>
          <w:jc w:val="center"/>
        </w:trPr>
        <w:tc>
          <w:tcPr>
            <w:tcW w:w="1548" w:type="dxa"/>
            <w:tcBorders>
              <w:top w:val="single" w:sz="4" w:space="0" w:color="auto"/>
              <w:bottom w:val="single" w:sz="4" w:space="0" w:color="auto"/>
            </w:tcBorders>
            <w:vAlign w:val="center"/>
          </w:tcPr>
          <w:p w:rsidR="00225952" w:rsidRPr="00D124E9" w:rsidRDefault="00225952" w:rsidP="00225952">
            <w:pPr>
              <w:pStyle w:val="Default"/>
              <w:jc w:val="center"/>
              <w:rPr>
                <w:rFonts w:asciiTheme="minorHAnsi" w:hAnsiTheme="minorHAnsi" w:cs="Arial"/>
                <w:b/>
                <w:sz w:val="20"/>
                <w:szCs w:val="20"/>
              </w:rPr>
            </w:pPr>
            <w:r w:rsidRPr="00D124E9">
              <w:rPr>
                <w:rFonts w:asciiTheme="minorHAnsi" w:hAnsiTheme="minorHAnsi" w:cs="Arial"/>
                <w:b/>
                <w:sz w:val="20"/>
                <w:szCs w:val="20"/>
              </w:rPr>
              <w:t>Binding Letter *</w:t>
            </w:r>
          </w:p>
        </w:tc>
        <w:tc>
          <w:tcPr>
            <w:tcW w:w="1548" w:type="dxa"/>
            <w:tcBorders>
              <w:top w:val="single" w:sz="4" w:space="0" w:color="auto"/>
              <w:bottom w:val="single" w:sz="4" w:space="0" w:color="auto"/>
            </w:tcBorders>
            <w:vAlign w:val="center"/>
          </w:tcPr>
          <w:p w:rsidR="00225952" w:rsidRPr="00D124E9" w:rsidRDefault="00225952" w:rsidP="00225952">
            <w:pPr>
              <w:pStyle w:val="Default"/>
              <w:jc w:val="center"/>
              <w:rPr>
                <w:rFonts w:asciiTheme="minorHAnsi" w:hAnsiTheme="minorHAnsi" w:cs="Arial"/>
                <w:sz w:val="20"/>
                <w:szCs w:val="20"/>
              </w:rPr>
            </w:pPr>
            <w:r w:rsidRPr="00D124E9">
              <w:rPr>
                <w:rFonts w:asciiTheme="minorHAnsi" w:hAnsiTheme="minorHAnsi" w:cs="Arial"/>
                <w:sz w:val="20"/>
                <w:szCs w:val="20"/>
              </w:rPr>
              <w:t>Written Comments</w:t>
            </w:r>
          </w:p>
        </w:tc>
        <w:tc>
          <w:tcPr>
            <w:tcW w:w="1152" w:type="dxa"/>
            <w:tcBorders>
              <w:top w:val="single" w:sz="4" w:space="0" w:color="auto"/>
              <w:bottom w:val="single" w:sz="4" w:space="0" w:color="auto"/>
            </w:tcBorders>
            <w:vAlign w:val="center"/>
          </w:tcPr>
          <w:p w:rsidR="00225952" w:rsidRPr="00D124E9" w:rsidRDefault="00225952" w:rsidP="00225952">
            <w:pPr>
              <w:pStyle w:val="Default"/>
              <w:jc w:val="center"/>
              <w:rPr>
                <w:rFonts w:asciiTheme="minorHAnsi" w:hAnsiTheme="minorHAnsi" w:cs="Arial"/>
                <w:sz w:val="20"/>
                <w:szCs w:val="20"/>
              </w:rPr>
            </w:pPr>
            <w:r w:rsidRPr="00D124E9">
              <w:rPr>
                <w:rFonts w:asciiTheme="minorHAnsi" w:hAnsiTheme="minorHAnsi" w:cs="Arial"/>
                <w:sz w:val="20"/>
                <w:szCs w:val="20"/>
              </w:rPr>
              <w:t>DCA</w:t>
            </w:r>
          </w:p>
        </w:tc>
        <w:tc>
          <w:tcPr>
            <w:tcW w:w="1350" w:type="dxa"/>
            <w:tcBorders>
              <w:top w:val="single" w:sz="4" w:space="0" w:color="auto"/>
              <w:bottom w:val="single" w:sz="4" w:space="0" w:color="auto"/>
            </w:tcBorders>
            <w:vAlign w:val="center"/>
          </w:tcPr>
          <w:p w:rsidR="00225952" w:rsidRPr="00D124E9" w:rsidRDefault="00225952" w:rsidP="00225952">
            <w:pPr>
              <w:pStyle w:val="Default"/>
              <w:jc w:val="center"/>
              <w:rPr>
                <w:rFonts w:asciiTheme="minorHAnsi" w:hAnsiTheme="minorHAnsi" w:cs="Arial"/>
                <w:sz w:val="20"/>
                <w:szCs w:val="20"/>
              </w:rPr>
            </w:pPr>
            <w:r w:rsidRPr="00D124E9">
              <w:rPr>
                <w:rFonts w:asciiTheme="minorHAnsi" w:hAnsiTheme="minorHAnsi" w:cs="Arial"/>
                <w:sz w:val="20"/>
                <w:szCs w:val="20"/>
              </w:rPr>
              <w:t>&lt; 15 days</w:t>
            </w:r>
          </w:p>
        </w:tc>
        <w:tc>
          <w:tcPr>
            <w:tcW w:w="1440" w:type="dxa"/>
            <w:tcBorders>
              <w:top w:val="single" w:sz="4" w:space="0" w:color="auto"/>
              <w:bottom w:val="single" w:sz="4" w:space="0" w:color="auto"/>
            </w:tcBorders>
            <w:vAlign w:val="center"/>
          </w:tcPr>
          <w:p w:rsidR="00225952" w:rsidRPr="00D124E9" w:rsidRDefault="00225952" w:rsidP="00225952">
            <w:pPr>
              <w:pStyle w:val="Default"/>
              <w:jc w:val="center"/>
              <w:rPr>
                <w:rFonts w:asciiTheme="minorHAnsi" w:hAnsiTheme="minorHAnsi" w:cs="Arial"/>
                <w:sz w:val="18"/>
                <w:szCs w:val="20"/>
              </w:rPr>
            </w:pPr>
            <w:r w:rsidRPr="00D124E9">
              <w:rPr>
                <w:rFonts w:asciiTheme="minorHAnsi" w:hAnsiTheme="minorHAnsi" w:cs="Arial"/>
                <w:sz w:val="18"/>
                <w:szCs w:val="20"/>
              </w:rPr>
              <w:t>380.06(4), FS</w:t>
            </w:r>
          </w:p>
        </w:tc>
        <w:tc>
          <w:tcPr>
            <w:tcW w:w="2250" w:type="dxa"/>
            <w:tcBorders>
              <w:top w:val="single" w:sz="4" w:space="0" w:color="auto"/>
              <w:bottom w:val="single" w:sz="4" w:space="0" w:color="auto"/>
            </w:tcBorders>
            <w:vAlign w:val="center"/>
          </w:tcPr>
          <w:p w:rsidR="00225952" w:rsidRPr="00D124E9" w:rsidRDefault="00225952" w:rsidP="00225952">
            <w:pPr>
              <w:pStyle w:val="Default"/>
              <w:jc w:val="center"/>
              <w:rPr>
                <w:rFonts w:asciiTheme="minorHAnsi" w:hAnsiTheme="minorHAnsi" w:cs="Arial"/>
                <w:sz w:val="18"/>
                <w:szCs w:val="20"/>
              </w:rPr>
            </w:pPr>
            <w:r w:rsidRPr="00D124E9">
              <w:rPr>
                <w:rFonts w:asciiTheme="minorHAnsi" w:hAnsiTheme="minorHAnsi" w:cs="Arial"/>
                <w:sz w:val="18"/>
                <w:szCs w:val="20"/>
              </w:rPr>
              <w:t>Rule 9J-2.016, FAC</w:t>
            </w:r>
          </w:p>
          <w:p w:rsidR="00225952" w:rsidRPr="00D124E9" w:rsidRDefault="00225952" w:rsidP="00225952">
            <w:pPr>
              <w:pStyle w:val="Default"/>
              <w:jc w:val="center"/>
              <w:rPr>
                <w:rFonts w:asciiTheme="minorHAnsi" w:hAnsiTheme="minorHAnsi" w:cs="Arial"/>
                <w:sz w:val="18"/>
                <w:szCs w:val="20"/>
              </w:rPr>
            </w:pPr>
            <w:r w:rsidRPr="00D124E9">
              <w:rPr>
                <w:rFonts w:asciiTheme="minorHAnsi" w:hAnsiTheme="minorHAnsi" w:cs="Arial"/>
                <w:sz w:val="18"/>
                <w:szCs w:val="20"/>
              </w:rPr>
              <w:t>Rule 9J-2.045, FAC</w:t>
            </w:r>
          </w:p>
        </w:tc>
      </w:tr>
      <w:tr w:rsidR="00225952" w:rsidRPr="00D124E9" w:rsidTr="005B5AFE">
        <w:trPr>
          <w:trHeight w:val="178"/>
          <w:jc w:val="center"/>
        </w:trPr>
        <w:tc>
          <w:tcPr>
            <w:tcW w:w="1548" w:type="dxa"/>
            <w:tcBorders>
              <w:top w:val="single" w:sz="4" w:space="0" w:color="auto"/>
              <w:bottom w:val="single" w:sz="4" w:space="0" w:color="auto"/>
            </w:tcBorders>
            <w:vAlign w:val="center"/>
          </w:tcPr>
          <w:p w:rsidR="00225952" w:rsidRPr="00D124E9" w:rsidRDefault="00225952" w:rsidP="00225952">
            <w:pPr>
              <w:pStyle w:val="Default"/>
              <w:jc w:val="center"/>
              <w:rPr>
                <w:rFonts w:asciiTheme="minorHAnsi" w:hAnsiTheme="minorHAnsi" w:cs="Arial"/>
                <w:b/>
                <w:sz w:val="20"/>
                <w:szCs w:val="20"/>
              </w:rPr>
            </w:pPr>
            <w:r w:rsidRPr="00D124E9">
              <w:rPr>
                <w:rFonts w:asciiTheme="minorHAnsi" w:hAnsiTheme="minorHAnsi" w:cs="Arial"/>
                <w:b/>
                <w:sz w:val="20"/>
                <w:szCs w:val="20"/>
              </w:rPr>
              <w:t>Preapplication Methodology</w:t>
            </w:r>
          </w:p>
        </w:tc>
        <w:tc>
          <w:tcPr>
            <w:tcW w:w="1548" w:type="dxa"/>
            <w:tcBorders>
              <w:top w:val="single" w:sz="4" w:space="0" w:color="auto"/>
              <w:bottom w:val="single" w:sz="4" w:space="0" w:color="auto"/>
            </w:tcBorders>
            <w:vAlign w:val="center"/>
          </w:tcPr>
          <w:p w:rsidR="00225952" w:rsidRPr="00D124E9" w:rsidRDefault="00225952" w:rsidP="00225952">
            <w:pPr>
              <w:pStyle w:val="Default"/>
              <w:jc w:val="center"/>
              <w:rPr>
                <w:rFonts w:asciiTheme="minorHAnsi" w:hAnsiTheme="minorHAnsi" w:cs="Arial"/>
                <w:sz w:val="20"/>
                <w:szCs w:val="20"/>
              </w:rPr>
            </w:pPr>
            <w:r w:rsidRPr="00D124E9">
              <w:rPr>
                <w:rFonts w:asciiTheme="minorHAnsi" w:hAnsiTheme="minorHAnsi" w:cs="Arial"/>
                <w:sz w:val="20"/>
                <w:szCs w:val="20"/>
              </w:rPr>
              <w:t>One or more Meetings</w:t>
            </w:r>
          </w:p>
        </w:tc>
        <w:tc>
          <w:tcPr>
            <w:tcW w:w="1152" w:type="dxa"/>
            <w:vMerge w:val="restart"/>
            <w:tcBorders>
              <w:top w:val="single" w:sz="4" w:space="0" w:color="auto"/>
              <w:bottom w:val="single" w:sz="4" w:space="0" w:color="auto"/>
            </w:tcBorders>
            <w:vAlign w:val="center"/>
          </w:tcPr>
          <w:p w:rsidR="00225952" w:rsidRPr="00D124E9" w:rsidRDefault="00225952" w:rsidP="00225952">
            <w:pPr>
              <w:pStyle w:val="Default"/>
              <w:jc w:val="center"/>
              <w:rPr>
                <w:rFonts w:asciiTheme="minorHAnsi" w:hAnsiTheme="minorHAnsi" w:cs="Arial"/>
                <w:sz w:val="20"/>
                <w:szCs w:val="20"/>
              </w:rPr>
            </w:pPr>
            <w:r w:rsidRPr="00D124E9">
              <w:rPr>
                <w:rFonts w:asciiTheme="minorHAnsi" w:hAnsiTheme="minorHAnsi" w:cs="Arial"/>
                <w:sz w:val="20"/>
                <w:szCs w:val="20"/>
              </w:rPr>
              <w:t>RPC</w:t>
            </w:r>
          </w:p>
        </w:tc>
        <w:tc>
          <w:tcPr>
            <w:tcW w:w="1350" w:type="dxa"/>
            <w:vMerge w:val="restart"/>
            <w:tcBorders>
              <w:top w:val="single" w:sz="4" w:space="0" w:color="auto"/>
              <w:bottom w:val="single" w:sz="4" w:space="0" w:color="auto"/>
            </w:tcBorders>
            <w:vAlign w:val="center"/>
          </w:tcPr>
          <w:p w:rsidR="00225952" w:rsidRPr="00D124E9" w:rsidRDefault="00225952" w:rsidP="00225952">
            <w:pPr>
              <w:pStyle w:val="Default"/>
              <w:jc w:val="center"/>
              <w:rPr>
                <w:rFonts w:asciiTheme="minorHAnsi" w:hAnsiTheme="minorHAnsi" w:cs="Arial"/>
                <w:sz w:val="20"/>
                <w:szCs w:val="20"/>
              </w:rPr>
            </w:pPr>
            <w:r w:rsidRPr="00D124E9">
              <w:rPr>
                <w:rFonts w:asciiTheme="minorHAnsi" w:hAnsiTheme="minorHAnsi" w:cs="Arial"/>
                <w:sz w:val="20"/>
                <w:szCs w:val="20"/>
              </w:rPr>
              <w:t>As set by RPC</w:t>
            </w:r>
          </w:p>
        </w:tc>
        <w:tc>
          <w:tcPr>
            <w:tcW w:w="1440" w:type="dxa"/>
            <w:vMerge w:val="restart"/>
            <w:tcBorders>
              <w:top w:val="single" w:sz="4" w:space="0" w:color="auto"/>
              <w:bottom w:val="single" w:sz="4" w:space="0" w:color="auto"/>
            </w:tcBorders>
            <w:vAlign w:val="center"/>
          </w:tcPr>
          <w:p w:rsidR="00225952" w:rsidRPr="00D124E9" w:rsidRDefault="00225952" w:rsidP="00225952">
            <w:pPr>
              <w:pStyle w:val="Default"/>
              <w:jc w:val="center"/>
              <w:rPr>
                <w:rFonts w:asciiTheme="minorHAnsi" w:hAnsiTheme="minorHAnsi" w:cs="Arial"/>
                <w:sz w:val="18"/>
                <w:szCs w:val="20"/>
              </w:rPr>
            </w:pPr>
            <w:r w:rsidRPr="00D124E9">
              <w:rPr>
                <w:rFonts w:asciiTheme="minorHAnsi" w:hAnsiTheme="minorHAnsi" w:cs="Arial"/>
                <w:sz w:val="18"/>
                <w:szCs w:val="20"/>
              </w:rPr>
              <w:t>380.06(7)(b), FS</w:t>
            </w:r>
          </w:p>
        </w:tc>
        <w:tc>
          <w:tcPr>
            <w:tcW w:w="2250" w:type="dxa"/>
            <w:vMerge w:val="restart"/>
            <w:tcBorders>
              <w:top w:val="single" w:sz="4" w:space="0" w:color="auto"/>
              <w:bottom w:val="single" w:sz="4" w:space="0" w:color="auto"/>
            </w:tcBorders>
            <w:vAlign w:val="center"/>
          </w:tcPr>
          <w:p w:rsidR="00225952" w:rsidRPr="00D124E9" w:rsidRDefault="00225952" w:rsidP="00225952">
            <w:pPr>
              <w:pStyle w:val="Default"/>
              <w:jc w:val="center"/>
              <w:rPr>
                <w:rFonts w:asciiTheme="minorHAnsi" w:hAnsiTheme="minorHAnsi" w:cs="Arial"/>
                <w:sz w:val="18"/>
                <w:szCs w:val="20"/>
              </w:rPr>
            </w:pPr>
            <w:r w:rsidRPr="00D124E9">
              <w:rPr>
                <w:rFonts w:asciiTheme="minorHAnsi" w:hAnsiTheme="minorHAnsi" w:cs="Arial"/>
                <w:sz w:val="18"/>
                <w:szCs w:val="20"/>
              </w:rPr>
              <w:t>Rule 9J-2.021, FAC</w:t>
            </w:r>
          </w:p>
          <w:p w:rsidR="00225952" w:rsidRPr="00D124E9" w:rsidRDefault="00225952" w:rsidP="00225952">
            <w:pPr>
              <w:pStyle w:val="Default"/>
              <w:jc w:val="center"/>
              <w:rPr>
                <w:rFonts w:asciiTheme="minorHAnsi" w:hAnsiTheme="minorHAnsi" w:cs="Arial"/>
                <w:sz w:val="18"/>
                <w:szCs w:val="20"/>
              </w:rPr>
            </w:pPr>
            <w:r w:rsidRPr="00D124E9">
              <w:rPr>
                <w:rFonts w:asciiTheme="minorHAnsi" w:hAnsiTheme="minorHAnsi" w:cs="Arial"/>
                <w:sz w:val="18"/>
                <w:szCs w:val="20"/>
              </w:rPr>
              <w:t>Topic # 525-030-115</w:t>
            </w:r>
          </w:p>
        </w:tc>
      </w:tr>
      <w:tr w:rsidR="00225952" w:rsidRPr="00D124E9" w:rsidTr="005B5AFE">
        <w:trPr>
          <w:trHeight w:val="177"/>
          <w:jc w:val="center"/>
        </w:trPr>
        <w:tc>
          <w:tcPr>
            <w:tcW w:w="1548" w:type="dxa"/>
            <w:tcBorders>
              <w:top w:val="single" w:sz="4" w:space="0" w:color="auto"/>
              <w:bottom w:val="single" w:sz="4" w:space="0" w:color="auto"/>
            </w:tcBorders>
            <w:shd w:val="clear" w:color="auto" w:fill="auto"/>
            <w:vAlign w:val="center"/>
          </w:tcPr>
          <w:p w:rsidR="00225952" w:rsidRPr="00D124E9" w:rsidRDefault="00225952" w:rsidP="00225952">
            <w:pPr>
              <w:pStyle w:val="Default"/>
              <w:jc w:val="center"/>
              <w:rPr>
                <w:rFonts w:asciiTheme="minorHAnsi" w:hAnsiTheme="minorHAnsi" w:cs="Arial"/>
                <w:b/>
                <w:sz w:val="20"/>
                <w:szCs w:val="20"/>
              </w:rPr>
            </w:pPr>
            <w:r w:rsidRPr="00D124E9">
              <w:rPr>
                <w:rFonts w:asciiTheme="minorHAnsi" w:hAnsiTheme="minorHAnsi" w:cs="Arial"/>
                <w:b/>
                <w:sz w:val="20"/>
                <w:szCs w:val="20"/>
              </w:rPr>
              <w:t>Methodology Letter of Understanding (MLOU)</w:t>
            </w:r>
          </w:p>
        </w:tc>
        <w:tc>
          <w:tcPr>
            <w:tcW w:w="1548" w:type="dxa"/>
            <w:tcBorders>
              <w:top w:val="single" w:sz="4" w:space="0" w:color="auto"/>
              <w:bottom w:val="single" w:sz="4" w:space="0" w:color="auto"/>
            </w:tcBorders>
            <w:vAlign w:val="center"/>
          </w:tcPr>
          <w:p w:rsidR="00225952" w:rsidRPr="00D124E9" w:rsidRDefault="00225952" w:rsidP="00225952">
            <w:pPr>
              <w:pStyle w:val="Default"/>
              <w:jc w:val="center"/>
              <w:rPr>
                <w:rFonts w:asciiTheme="minorHAnsi" w:hAnsiTheme="minorHAnsi" w:cs="Arial"/>
                <w:sz w:val="20"/>
                <w:szCs w:val="20"/>
              </w:rPr>
            </w:pPr>
            <w:r w:rsidRPr="00D124E9">
              <w:rPr>
                <w:rFonts w:asciiTheme="minorHAnsi" w:hAnsiTheme="minorHAnsi" w:cs="Arial"/>
                <w:sz w:val="20"/>
                <w:szCs w:val="20"/>
              </w:rPr>
              <w:t>Written Comments</w:t>
            </w:r>
          </w:p>
        </w:tc>
        <w:tc>
          <w:tcPr>
            <w:tcW w:w="1152" w:type="dxa"/>
            <w:vMerge/>
            <w:tcBorders>
              <w:top w:val="single" w:sz="4" w:space="0" w:color="auto"/>
              <w:bottom w:val="single" w:sz="4" w:space="0" w:color="auto"/>
            </w:tcBorders>
            <w:vAlign w:val="center"/>
          </w:tcPr>
          <w:p w:rsidR="00225952" w:rsidRPr="00D124E9" w:rsidRDefault="00225952" w:rsidP="00225952">
            <w:pPr>
              <w:pStyle w:val="Default"/>
              <w:jc w:val="center"/>
              <w:rPr>
                <w:rFonts w:asciiTheme="minorHAnsi" w:hAnsiTheme="minorHAnsi" w:cs="Arial"/>
                <w:sz w:val="20"/>
                <w:szCs w:val="20"/>
              </w:rPr>
            </w:pPr>
          </w:p>
        </w:tc>
        <w:tc>
          <w:tcPr>
            <w:tcW w:w="1350" w:type="dxa"/>
            <w:vMerge/>
            <w:tcBorders>
              <w:top w:val="single" w:sz="4" w:space="0" w:color="auto"/>
              <w:bottom w:val="single" w:sz="4" w:space="0" w:color="auto"/>
            </w:tcBorders>
            <w:vAlign w:val="center"/>
          </w:tcPr>
          <w:p w:rsidR="00225952" w:rsidRPr="00D124E9" w:rsidRDefault="00225952" w:rsidP="00225952">
            <w:pPr>
              <w:pStyle w:val="Default"/>
              <w:jc w:val="center"/>
              <w:rPr>
                <w:rFonts w:asciiTheme="minorHAnsi" w:hAnsiTheme="minorHAnsi" w:cs="Arial"/>
                <w:sz w:val="20"/>
                <w:szCs w:val="20"/>
              </w:rPr>
            </w:pPr>
          </w:p>
        </w:tc>
        <w:tc>
          <w:tcPr>
            <w:tcW w:w="1440" w:type="dxa"/>
            <w:vMerge/>
            <w:tcBorders>
              <w:top w:val="single" w:sz="4" w:space="0" w:color="auto"/>
              <w:bottom w:val="single" w:sz="4" w:space="0" w:color="auto"/>
            </w:tcBorders>
            <w:vAlign w:val="center"/>
          </w:tcPr>
          <w:p w:rsidR="00225952" w:rsidRPr="00D124E9" w:rsidRDefault="00225952" w:rsidP="00225952">
            <w:pPr>
              <w:pStyle w:val="Default"/>
              <w:jc w:val="center"/>
              <w:rPr>
                <w:rFonts w:asciiTheme="minorHAnsi" w:hAnsiTheme="minorHAnsi" w:cs="Arial"/>
                <w:sz w:val="18"/>
                <w:szCs w:val="20"/>
              </w:rPr>
            </w:pPr>
          </w:p>
        </w:tc>
        <w:tc>
          <w:tcPr>
            <w:tcW w:w="2250" w:type="dxa"/>
            <w:vMerge/>
            <w:tcBorders>
              <w:top w:val="single" w:sz="4" w:space="0" w:color="auto"/>
              <w:bottom w:val="single" w:sz="4" w:space="0" w:color="auto"/>
            </w:tcBorders>
            <w:vAlign w:val="center"/>
          </w:tcPr>
          <w:p w:rsidR="00225952" w:rsidRPr="00D124E9" w:rsidRDefault="00225952" w:rsidP="00225952">
            <w:pPr>
              <w:pStyle w:val="Default"/>
              <w:jc w:val="center"/>
              <w:rPr>
                <w:rFonts w:asciiTheme="minorHAnsi" w:hAnsiTheme="minorHAnsi" w:cs="Arial"/>
                <w:sz w:val="18"/>
                <w:szCs w:val="20"/>
              </w:rPr>
            </w:pPr>
          </w:p>
        </w:tc>
      </w:tr>
      <w:tr w:rsidR="00225952" w:rsidRPr="00D124E9" w:rsidTr="005B5AFE">
        <w:trPr>
          <w:jc w:val="center"/>
        </w:trPr>
        <w:tc>
          <w:tcPr>
            <w:tcW w:w="1548" w:type="dxa"/>
            <w:tcBorders>
              <w:top w:val="single" w:sz="4" w:space="0" w:color="auto"/>
              <w:bottom w:val="single" w:sz="4" w:space="0" w:color="auto"/>
            </w:tcBorders>
            <w:shd w:val="clear" w:color="auto" w:fill="DAEEF3" w:themeFill="accent5" w:themeFillTint="33"/>
            <w:vAlign w:val="center"/>
          </w:tcPr>
          <w:p w:rsidR="00225952" w:rsidRPr="00D124E9" w:rsidRDefault="00225952" w:rsidP="00225952">
            <w:pPr>
              <w:pStyle w:val="Default"/>
              <w:jc w:val="center"/>
              <w:rPr>
                <w:rFonts w:asciiTheme="minorHAnsi" w:hAnsiTheme="minorHAnsi" w:cs="Arial"/>
                <w:b/>
                <w:sz w:val="20"/>
                <w:szCs w:val="20"/>
              </w:rPr>
            </w:pPr>
            <w:r w:rsidRPr="00D124E9">
              <w:rPr>
                <w:rFonts w:asciiTheme="minorHAnsi" w:hAnsiTheme="minorHAnsi" w:cs="Arial"/>
                <w:b/>
                <w:sz w:val="20"/>
                <w:szCs w:val="20"/>
              </w:rPr>
              <w:t>ADA Sufficiency</w:t>
            </w:r>
          </w:p>
        </w:tc>
        <w:tc>
          <w:tcPr>
            <w:tcW w:w="1548" w:type="dxa"/>
            <w:tcBorders>
              <w:top w:val="single" w:sz="4" w:space="0" w:color="auto"/>
              <w:bottom w:val="single" w:sz="4" w:space="0" w:color="auto"/>
            </w:tcBorders>
            <w:shd w:val="clear" w:color="auto" w:fill="DAEEF3" w:themeFill="accent5" w:themeFillTint="33"/>
            <w:vAlign w:val="center"/>
          </w:tcPr>
          <w:p w:rsidR="00225952" w:rsidRPr="00D124E9" w:rsidRDefault="00225952" w:rsidP="00225952">
            <w:pPr>
              <w:pStyle w:val="Default"/>
              <w:jc w:val="center"/>
              <w:rPr>
                <w:rFonts w:asciiTheme="minorHAnsi" w:hAnsiTheme="minorHAnsi" w:cs="Arial"/>
                <w:sz w:val="20"/>
                <w:szCs w:val="20"/>
              </w:rPr>
            </w:pPr>
            <w:r w:rsidRPr="00D124E9">
              <w:rPr>
                <w:rFonts w:asciiTheme="minorHAnsi" w:hAnsiTheme="minorHAnsi" w:cs="Arial"/>
                <w:sz w:val="20"/>
                <w:szCs w:val="20"/>
              </w:rPr>
              <w:t>Written Comments</w:t>
            </w:r>
          </w:p>
        </w:tc>
        <w:tc>
          <w:tcPr>
            <w:tcW w:w="1152" w:type="dxa"/>
            <w:tcBorders>
              <w:top w:val="single" w:sz="4" w:space="0" w:color="auto"/>
              <w:bottom w:val="single" w:sz="4" w:space="0" w:color="auto"/>
            </w:tcBorders>
            <w:shd w:val="clear" w:color="auto" w:fill="DAEEF3" w:themeFill="accent5" w:themeFillTint="33"/>
            <w:vAlign w:val="center"/>
          </w:tcPr>
          <w:p w:rsidR="00225952" w:rsidRPr="00D124E9" w:rsidRDefault="00225952" w:rsidP="00225952">
            <w:pPr>
              <w:pStyle w:val="Default"/>
              <w:jc w:val="center"/>
              <w:rPr>
                <w:rFonts w:asciiTheme="minorHAnsi" w:hAnsiTheme="minorHAnsi" w:cs="Arial"/>
                <w:sz w:val="20"/>
                <w:szCs w:val="20"/>
              </w:rPr>
            </w:pPr>
            <w:r w:rsidRPr="00D124E9">
              <w:rPr>
                <w:rFonts w:asciiTheme="minorHAnsi" w:hAnsiTheme="minorHAnsi" w:cs="Arial"/>
                <w:sz w:val="20"/>
                <w:szCs w:val="20"/>
              </w:rPr>
              <w:t>RPC</w:t>
            </w:r>
          </w:p>
        </w:tc>
        <w:tc>
          <w:tcPr>
            <w:tcW w:w="1350" w:type="dxa"/>
            <w:tcBorders>
              <w:top w:val="single" w:sz="4" w:space="0" w:color="auto"/>
              <w:bottom w:val="single" w:sz="4" w:space="0" w:color="auto"/>
            </w:tcBorders>
            <w:shd w:val="clear" w:color="auto" w:fill="DAEEF3" w:themeFill="accent5" w:themeFillTint="33"/>
            <w:vAlign w:val="center"/>
          </w:tcPr>
          <w:p w:rsidR="00225952" w:rsidRPr="00D124E9" w:rsidRDefault="00225952" w:rsidP="00225952">
            <w:pPr>
              <w:pStyle w:val="Default"/>
              <w:jc w:val="center"/>
              <w:rPr>
                <w:rFonts w:asciiTheme="minorHAnsi" w:hAnsiTheme="minorHAnsi" w:cs="Arial"/>
                <w:sz w:val="20"/>
                <w:szCs w:val="20"/>
              </w:rPr>
            </w:pPr>
            <w:r w:rsidRPr="00D124E9">
              <w:rPr>
                <w:rFonts w:asciiTheme="minorHAnsi" w:hAnsiTheme="minorHAnsi" w:cs="Arial"/>
                <w:sz w:val="20"/>
                <w:szCs w:val="20"/>
              </w:rPr>
              <w:t>&lt; 30 days</w:t>
            </w:r>
          </w:p>
        </w:tc>
        <w:tc>
          <w:tcPr>
            <w:tcW w:w="1440" w:type="dxa"/>
            <w:tcBorders>
              <w:top w:val="single" w:sz="4" w:space="0" w:color="auto"/>
              <w:bottom w:val="single" w:sz="4" w:space="0" w:color="auto"/>
            </w:tcBorders>
            <w:shd w:val="clear" w:color="auto" w:fill="DAEEF3" w:themeFill="accent5" w:themeFillTint="33"/>
            <w:vAlign w:val="center"/>
          </w:tcPr>
          <w:p w:rsidR="00225952" w:rsidRPr="00D124E9" w:rsidRDefault="00225952" w:rsidP="00225952">
            <w:pPr>
              <w:pStyle w:val="Default"/>
              <w:jc w:val="center"/>
              <w:rPr>
                <w:rFonts w:asciiTheme="minorHAnsi" w:hAnsiTheme="minorHAnsi" w:cs="Arial"/>
                <w:sz w:val="18"/>
                <w:szCs w:val="20"/>
              </w:rPr>
            </w:pPr>
            <w:r w:rsidRPr="00D124E9">
              <w:rPr>
                <w:rFonts w:asciiTheme="minorHAnsi" w:hAnsiTheme="minorHAnsi" w:cs="Arial"/>
                <w:sz w:val="18"/>
                <w:szCs w:val="20"/>
              </w:rPr>
              <w:t>380.06(10), FS</w:t>
            </w:r>
          </w:p>
        </w:tc>
        <w:tc>
          <w:tcPr>
            <w:tcW w:w="2250" w:type="dxa"/>
            <w:tcBorders>
              <w:top w:val="single" w:sz="4" w:space="0" w:color="auto"/>
              <w:bottom w:val="single" w:sz="4" w:space="0" w:color="auto"/>
            </w:tcBorders>
            <w:shd w:val="clear" w:color="auto" w:fill="DAEEF3" w:themeFill="accent5" w:themeFillTint="33"/>
            <w:vAlign w:val="center"/>
          </w:tcPr>
          <w:p w:rsidR="00225952" w:rsidRPr="00D124E9" w:rsidRDefault="00225952" w:rsidP="00225952">
            <w:pPr>
              <w:pStyle w:val="Default"/>
              <w:jc w:val="center"/>
              <w:rPr>
                <w:rFonts w:asciiTheme="minorHAnsi" w:hAnsiTheme="minorHAnsi" w:cs="Arial"/>
                <w:sz w:val="18"/>
                <w:szCs w:val="20"/>
              </w:rPr>
            </w:pPr>
            <w:r w:rsidRPr="00D124E9">
              <w:rPr>
                <w:rFonts w:asciiTheme="minorHAnsi" w:hAnsiTheme="minorHAnsi" w:cs="Arial"/>
                <w:sz w:val="18"/>
                <w:szCs w:val="20"/>
              </w:rPr>
              <w:t>Topic # 525-030-115</w:t>
            </w:r>
          </w:p>
          <w:p w:rsidR="00225952" w:rsidRPr="00D124E9" w:rsidRDefault="00225952" w:rsidP="00225952">
            <w:pPr>
              <w:pStyle w:val="Default"/>
              <w:jc w:val="center"/>
              <w:rPr>
                <w:rFonts w:asciiTheme="minorHAnsi" w:hAnsiTheme="minorHAnsi" w:cs="Arial"/>
                <w:sz w:val="18"/>
                <w:szCs w:val="20"/>
              </w:rPr>
            </w:pPr>
            <w:r w:rsidRPr="00D124E9">
              <w:rPr>
                <w:rFonts w:asciiTheme="minorHAnsi" w:hAnsiTheme="minorHAnsi" w:cs="Arial"/>
                <w:sz w:val="18"/>
                <w:szCs w:val="20"/>
              </w:rPr>
              <w:t>Rule 9J-2.045, FAC</w:t>
            </w:r>
          </w:p>
        </w:tc>
      </w:tr>
      <w:tr w:rsidR="00225952" w:rsidRPr="00D124E9" w:rsidTr="005B5AFE">
        <w:trPr>
          <w:jc w:val="center"/>
        </w:trPr>
        <w:tc>
          <w:tcPr>
            <w:tcW w:w="1548" w:type="dxa"/>
            <w:tcBorders>
              <w:top w:val="single" w:sz="4" w:space="0" w:color="auto"/>
              <w:bottom w:val="single" w:sz="4" w:space="0" w:color="auto"/>
            </w:tcBorders>
            <w:shd w:val="clear" w:color="auto" w:fill="auto"/>
            <w:vAlign w:val="center"/>
          </w:tcPr>
          <w:p w:rsidR="00225952" w:rsidRPr="00D124E9" w:rsidRDefault="00225952" w:rsidP="00225952">
            <w:pPr>
              <w:pStyle w:val="Default"/>
              <w:jc w:val="center"/>
              <w:rPr>
                <w:rFonts w:asciiTheme="minorHAnsi" w:hAnsiTheme="minorHAnsi" w:cs="Arial"/>
                <w:b/>
                <w:sz w:val="20"/>
                <w:szCs w:val="20"/>
              </w:rPr>
            </w:pPr>
            <w:r w:rsidRPr="00D124E9">
              <w:rPr>
                <w:rFonts w:asciiTheme="minorHAnsi" w:hAnsiTheme="minorHAnsi" w:cs="Arial"/>
                <w:b/>
                <w:sz w:val="20"/>
                <w:szCs w:val="20"/>
              </w:rPr>
              <w:t>PDA *</w:t>
            </w:r>
          </w:p>
        </w:tc>
        <w:tc>
          <w:tcPr>
            <w:tcW w:w="1548" w:type="dxa"/>
            <w:tcBorders>
              <w:top w:val="single" w:sz="4" w:space="0" w:color="auto"/>
              <w:bottom w:val="single" w:sz="4" w:space="0" w:color="auto"/>
            </w:tcBorders>
            <w:shd w:val="clear" w:color="auto" w:fill="auto"/>
            <w:vAlign w:val="center"/>
          </w:tcPr>
          <w:p w:rsidR="00225952" w:rsidRPr="00D124E9" w:rsidRDefault="00225952" w:rsidP="00225952">
            <w:pPr>
              <w:pStyle w:val="Default"/>
              <w:jc w:val="center"/>
              <w:rPr>
                <w:rFonts w:asciiTheme="minorHAnsi" w:hAnsiTheme="minorHAnsi" w:cs="Arial"/>
                <w:sz w:val="20"/>
                <w:szCs w:val="20"/>
              </w:rPr>
            </w:pPr>
            <w:r w:rsidRPr="00D124E9">
              <w:rPr>
                <w:rFonts w:asciiTheme="minorHAnsi" w:hAnsiTheme="minorHAnsi" w:cs="Arial"/>
                <w:sz w:val="20"/>
                <w:szCs w:val="20"/>
              </w:rPr>
              <w:t>Written Comments</w:t>
            </w:r>
          </w:p>
        </w:tc>
        <w:tc>
          <w:tcPr>
            <w:tcW w:w="1152" w:type="dxa"/>
            <w:tcBorders>
              <w:top w:val="single" w:sz="4" w:space="0" w:color="auto"/>
              <w:bottom w:val="single" w:sz="4" w:space="0" w:color="auto"/>
            </w:tcBorders>
            <w:shd w:val="clear" w:color="auto" w:fill="auto"/>
            <w:vAlign w:val="center"/>
          </w:tcPr>
          <w:p w:rsidR="00225952" w:rsidRPr="00D124E9" w:rsidRDefault="00225952" w:rsidP="00225952">
            <w:pPr>
              <w:pStyle w:val="Default"/>
              <w:jc w:val="center"/>
              <w:rPr>
                <w:rFonts w:asciiTheme="minorHAnsi" w:hAnsiTheme="minorHAnsi" w:cs="Arial"/>
                <w:sz w:val="20"/>
                <w:szCs w:val="20"/>
              </w:rPr>
            </w:pPr>
            <w:r w:rsidRPr="00D124E9">
              <w:rPr>
                <w:rFonts w:asciiTheme="minorHAnsi" w:hAnsiTheme="minorHAnsi" w:cs="Arial"/>
                <w:sz w:val="20"/>
                <w:szCs w:val="20"/>
              </w:rPr>
              <w:t>RPC</w:t>
            </w:r>
          </w:p>
        </w:tc>
        <w:tc>
          <w:tcPr>
            <w:tcW w:w="1350" w:type="dxa"/>
            <w:tcBorders>
              <w:top w:val="single" w:sz="4" w:space="0" w:color="auto"/>
              <w:bottom w:val="single" w:sz="4" w:space="0" w:color="auto"/>
            </w:tcBorders>
            <w:shd w:val="clear" w:color="auto" w:fill="auto"/>
            <w:vAlign w:val="center"/>
          </w:tcPr>
          <w:p w:rsidR="00225952" w:rsidRPr="00D124E9" w:rsidRDefault="00225952" w:rsidP="00225952">
            <w:pPr>
              <w:pStyle w:val="Default"/>
              <w:jc w:val="center"/>
              <w:rPr>
                <w:rFonts w:asciiTheme="minorHAnsi" w:hAnsiTheme="minorHAnsi" w:cs="Arial"/>
                <w:sz w:val="20"/>
                <w:szCs w:val="20"/>
              </w:rPr>
            </w:pPr>
            <w:r w:rsidRPr="00D124E9">
              <w:rPr>
                <w:rFonts w:asciiTheme="minorHAnsi" w:hAnsiTheme="minorHAnsi" w:cs="Arial"/>
                <w:sz w:val="20"/>
                <w:szCs w:val="20"/>
              </w:rPr>
              <w:t>&lt; 45 days</w:t>
            </w:r>
          </w:p>
        </w:tc>
        <w:tc>
          <w:tcPr>
            <w:tcW w:w="1440" w:type="dxa"/>
            <w:tcBorders>
              <w:top w:val="single" w:sz="4" w:space="0" w:color="auto"/>
              <w:bottom w:val="single" w:sz="4" w:space="0" w:color="auto"/>
            </w:tcBorders>
            <w:shd w:val="clear" w:color="auto" w:fill="auto"/>
            <w:vAlign w:val="center"/>
          </w:tcPr>
          <w:p w:rsidR="00225952" w:rsidRPr="00D124E9" w:rsidRDefault="00225952" w:rsidP="00225952">
            <w:pPr>
              <w:pStyle w:val="Default"/>
              <w:jc w:val="center"/>
              <w:rPr>
                <w:rFonts w:asciiTheme="minorHAnsi" w:hAnsiTheme="minorHAnsi" w:cs="Arial"/>
                <w:sz w:val="18"/>
                <w:szCs w:val="20"/>
              </w:rPr>
            </w:pPr>
            <w:r w:rsidRPr="00D124E9">
              <w:rPr>
                <w:rFonts w:asciiTheme="minorHAnsi" w:hAnsiTheme="minorHAnsi" w:cs="Arial"/>
                <w:sz w:val="18"/>
                <w:szCs w:val="20"/>
              </w:rPr>
              <w:t>380.06(8), FS</w:t>
            </w:r>
          </w:p>
        </w:tc>
        <w:tc>
          <w:tcPr>
            <w:tcW w:w="2250" w:type="dxa"/>
            <w:tcBorders>
              <w:top w:val="single" w:sz="4" w:space="0" w:color="auto"/>
              <w:bottom w:val="single" w:sz="4" w:space="0" w:color="auto"/>
            </w:tcBorders>
            <w:shd w:val="clear" w:color="auto" w:fill="auto"/>
            <w:vAlign w:val="center"/>
          </w:tcPr>
          <w:p w:rsidR="00225952" w:rsidRPr="00D124E9" w:rsidRDefault="00225952" w:rsidP="00225952">
            <w:pPr>
              <w:pStyle w:val="Default"/>
              <w:jc w:val="center"/>
              <w:rPr>
                <w:rFonts w:asciiTheme="minorHAnsi" w:hAnsiTheme="minorHAnsi" w:cs="Arial"/>
                <w:sz w:val="18"/>
                <w:szCs w:val="20"/>
              </w:rPr>
            </w:pPr>
            <w:r w:rsidRPr="00D124E9">
              <w:rPr>
                <w:rFonts w:asciiTheme="minorHAnsi" w:hAnsiTheme="minorHAnsi" w:cs="Arial"/>
                <w:sz w:val="18"/>
                <w:szCs w:val="20"/>
              </w:rPr>
              <w:t>Rule 9J-2.018, FAC</w:t>
            </w:r>
          </w:p>
          <w:p w:rsidR="00225952" w:rsidRPr="00D124E9" w:rsidRDefault="00225952" w:rsidP="00225952">
            <w:pPr>
              <w:pStyle w:val="Default"/>
              <w:jc w:val="center"/>
              <w:rPr>
                <w:rFonts w:asciiTheme="minorHAnsi" w:hAnsiTheme="minorHAnsi" w:cs="Arial"/>
                <w:sz w:val="18"/>
                <w:szCs w:val="20"/>
              </w:rPr>
            </w:pPr>
            <w:r w:rsidRPr="00D124E9">
              <w:rPr>
                <w:rFonts w:asciiTheme="minorHAnsi" w:hAnsiTheme="minorHAnsi" w:cs="Arial"/>
                <w:sz w:val="18"/>
                <w:szCs w:val="20"/>
              </w:rPr>
              <w:t>Topic # 525-030-115</w:t>
            </w:r>
          </w:p>
        </w:tc>
      </w:tr>
      <w:tr w:rsidR="00225952" w:rsidRPr="00D124E9" w:rsidTr="005B5AFE">
        <w:trPr>
          <w:jc w:val="center"/>
        </w:trPr>
        <w:tc>
          <w:tcPr>
            <w:tcW w:w="1548" w:type="dxa"/>
            <w:tcBorders>
              <w:top w:val="single" w:sz="4" w:space="0" w:color="auto"/>
              <w:bottom w:val="single" w:sz="4" w:space="0" w:color="auto"/>
            </w:tcBorders>
            <w:shd w:val="clear" w:color="auto" w:fill="DAEEF3" w:themeFill="accent5" w:themeFillTint="33"/>
            <w:vAlign w:val="center"/>
          </w:tcPr>
          <w:p w:rsidR="00225952" w:rsidRPr="00D124E9" w:rsidRDefault="00225952" w:rsidP="00225952">
            <w:pPr>
              <w:pStyle w:val="Default"/>
              <w:jc w:val="center"/>
              <w:rPr>
                <w:rFonts w:asciiTheme="minorHAnsi" w:hAnsiTheme="minorHAnsi" w:cs="Arial"/>
                <w:b/>
                <w:sz w:val="20"/>
                <w:szCs w:val="20"/>
              </w:rPr>
            </w:pPr>
            <w:r w:rsidRPr="00D124E9">
              <w:rPr>
                <w:rFonts w:asciiTheme="minorHAnsi" w:hAnsiTheme="minorHAnsi" w:cs="Arial"/>
                <w:b/>
                <w:sz w:val="20"/>
                <w:szCs w:val="20"/>
              </w:rPr>
              <w:t>DRI DO *</w:t>
            </w:r>
          </w:p>
        </w:tc>
        <w:tc>
          <w:tcPr>
            <w:tcW w:w="1548" w:type="dxa"/>
            <w:tcBorders>
              <w:top w:val="single" w:sz="4" w:space="0" w:color="auto"/>
              <w:bottom w:val="single" w:sz="4" w:space="0" w:color="auto"/>
            </w:tcBorders>
            <w:shd w:val="clear" w:color="auto" w:fill="DAEEF3" w:themeFill="accent5" w:themeFillTint="33"/>
            <w:vAlign w:val="center"/>
          </w:tcPr>
          <w:p w:rsidR="00225952" w:rsidRPr="00D124E9" w:rsidRDefault="00225952" w:rsidP="00225952">
            <w:pPr>
              <w:pStyle w:val="Default"/>
              <w:jc w:val="center"/>
              <w:rPr>
                <w:rFonts w:asciiTheme="minorHAnsi" w:hAnsiTheme="minorHAnsi" w:cs="Arial"/>
                <w:sz w:val="20"/>
                <w:szCs w:val="20"/>
              </w:rPr>
            </w:pPr>
            <w:r w:rsidRPr="00D124E9">
              <w:rPr>
                <w:rFonts w:asciiTheme="minorHAnsi" w:hAnsiTheme="minorHAnsi" w:cs="Arial"/>
                <w:sz w:val="20"/>
                <w:szCs w:val="20"/>
              </w:rPr>
              <w:t>Written Comments</w:t>
            </w:r>
          </w:p>
        </w:tc>
        <w:tc>
          <w:tcPr>
            <w:tcW w:w="1152" w:type="dxa"/>
            <w:tcBorders>
              <w:top w:val="single" w:sz="4" w:space="0" w:color="auto"/>
              <w:bottom w:val="single" w:sz="4" w:space="0" w:color="auto"/>
            </w:tcBorders>
            <w:shd w:val="clear" w:color="auto" w:fill="DAEEF3" w:themeFill="accent5" w:themeFillTint="33"/>
            <w:vAlign w:val="center"/>
          </w:tcPr>
          <w:p w:rsidR="00225952" w:rsidRPr="00D124E9" w:rsidRDefault="00225952" w:rsidP="00225952">
            <w:pPr>
              <w:pStyle w:val="Default"/>
              <w:jc w:val="center"/>
              <w:rPr>
                <w:rFonts w:asciiTheme="minorHAnsi" w:hAnsiTheme="minorHAnsi" w:cs="Arial"/>
                <w:sz w:val="20"/>
                <w:szCs w:val="20"/>
              </w:rPr>
            </w:pPr>
            <w:r w:rsidRPr="00D124E9">
              <w:rPr>
                <w:rFonts w:asciiTheme="minorHAnsi" w:hAnsiTheme="minorHAnsi" w:cs="Arial"/>
                <w:sz w:val="20"/>
                <w:szCs w:val="20"/>
              </w:rPr>
              <w:t>RPC DCA</w:t>
            </w:r>
          </w:p>
        </w:tc>
        <w:tc>
          <w:tcPr>
            <w:tcW w:w="1350" w:type="dxa"/>
            <w:tcBorders>
              <w:top w:val="single" w:sz="4" w:space="0" w:color="auto"/>
              <w:bottom w:val="single" w:sz="4" w:space="0" w:color="auto"/>
            </w:tcBorders>
            <w:shd w:val="clear" w:color="auto" w:fill="DAEEF3" w:themeFill="accent5" w:themeFillTint="33"/>
            <w:vAlign w:val="center"/>
          </w:tcPr>
          <w:p w:rsidR="00225952" w:rsidRPr="00D124E9" w:rsidRDefault="00225952" w:rsidP="00225952">
            <w:pPr>
              <w:pStyle w:val="Default"/>
              <w:jc w:val="center"/>
              <w:rPr>
                <w:rFonts w:asciiTheme="minorHAnsi" w:hAnsiTheme="minorHAnsi" w:cs="Arial"/>
                <w:sz w:val="20"/>
                <w:szCs w:val="20"/>
              </w:rPr>
            </w:pPr>
            <w:r w:rsidRPr="00D124E9">
              <w:rPr>
                <w:rFonts w:asciiTheme="minorHAnsi" w:hAnsiTheme="minorHAnsi" w:cs="Arial"/>
                <w:sz w:val="20"/>
                <w:szCs w:val="20"/>
              </w:rPr>
              <w:t>&lt; 45 days</w:t>
            </w:r>
          </w:p>
        </w:tc>
        <w:tc>
          <w:tcPr>
            <w:tcW w:w="1440" w:type="dxa"/>
            <w:tcBorders>
              <w:top w:val="single" w:sz="4" w:space="0" w:color="auto"/>
              <w:bottom w:val="single" w:sz="4" w:space="0" w:color="auto"/>
            </w:tcBorders>
            <w:shd w:val="clear" w:color="auto" w:fill="DAEEF3" w:themeFill="accent5" w:themeFillTint="33"/>
            <w:vAlign w:val="center"/>
          </w:tcPr>
          <w:p w:rsidR="00225952" w:rsidRPr="00D124E9" w:rsidRDefault="00225952" w:rsidP="00225952">
            <w:pPr>
              <w:pStyle w:val="Default"/>
              <w:jc w:val="center"/>
              <w:rPr>
                <w:rFonts w:asciiTheme="minorHAnsi" w:hAnsiTheme="minorHAnsi" w:cs="Arial"/>
                <w:sz w:val="18"/>
                <w:szCs w:val="20"/>
              </w:rPr>
            </w:pPr>
            <w:r w:rsidRPr="00D124E9">
              <w:rPr>
                <w:rFonts w:asciiTheme="minorHAnsi" w:hAnsiTheme="minorHAnsi" w:cs="Arial"/>
                <w:sz w:val="18"/>
                <w:szCs w:val="20"/>
              </w:rPr>
              <w:t>380.06(15), FS</w:t>
            </w:r>
          </w:p>
        </w:tc>
        <w:tc>
          <w:tcPr>
            <w:tcW w:w="2250" w:type="dxa"/>
            <w:tcBorders>
              <w:top w:val="single" w:sz="4" w:space="0" w:color="auto"/>
              <w:bottom w:val="single" w:sz="4" w:space="0" w:color="auto"/>
            </w:tcBorders>
            <w:shd w:val="clear" w:color="auto" w:fill="DAEEF3" w:themeFill="accent5" w:themeFillTint="33"/>
            <w:vAlign w:val="center"/>
          </w:tcPr>
          <w:p w:rsidR="00225952" w:rsidRPr="00D124E9" w:rsidRDefault="00225952" w:rsidP="00225952">
            <w:pPr>
              <w:pStyle w:val="Default"/>
              <w:jc w:val="center"/>
              <w:rPr>
                <w:rFonts w:asciiTheme="minorHAnsi" w:hAnsiTheme="minorHAnsi" w:cs="Arial"/>
                <w:sz w:val="18"/>
                <w:szCs w:val="20"/>
              </w:rPr>
            </w:pPr>
            <w:r w:rsidRPr="00D124E9">
              <w:rPr>
                <w:rFonts w:asciiTheme="minorHAnsi" w:hAnsiTheme="minorHAnsi" w:cs="Arial"/>
                <w:sz w:val="18"/>
                <w:szCs w:val="20"/>
              </w:rPr>
              <w:t>Rule 9J-2.025,</w:t>
            </w:r>
          </w:p>
          <w:p w:rsidR="00225952" w:rsidRPr="00D124E9" w:rsidRDefault="00225952" w:rsidP="00225952">
            <w:pPr>
              <w:pStyle w:val="Default"/>
              <w:jc w:val="center"/>
              <w:rPr>
                <w:rFonts w:asciiTheme="minorHAnsi" w:hAnsiTheme="minorHAnsi" w:cs="Arial"/>
                <w:sz w:val="18"/>
                <w:szCs w:val="20"/>
              </w:rPr>
            </w:pPr>
            <w:r w:rsidRPr="00D124E9">
              <w:rPr>
                <w:rFonts w:asciiTheme="minorHAnsi" w:hAnsiTheme="minorHAnsi" w:cs="Arial"/>
                <w:sz w:val="18"/>
                <w:szCs w:val="20"/>
              </w:rPr>
              <w:t>FAC Rule 9J-2.045, FAC Topic # 525-030-115</w:t>
            </w:r>
          </w:p>
        </w:tc>
      </w:tr>
      <w:tr w:rsidR="00225952" w:rsidRPr="00D124E9" w:rsidTr="005B5AFE">
        <w:trPr>
          <w:jc w:val="center"/>
        </w:trPr>
        <w:tc>
          <w:tcPr>
            <w:tcW w:w="1548" w:type="dxa"/>
            <w:tcBorders>
              <w:top w:val="single" w:sz="4" w:space="0" w:color="auto"/>
              <w:bottom w:val="single" w:sz="4" w:space="0" w:color="auto"/>
            </w:tcBorders>
            <w:shd w:val="clear" w:color="auto" w:fill="auto"/>
            <w:vAlign w:val="center"/>
          </w:tcPr>
          <w:p w:rsidR="00225952" w:rsidRPr="00D124E9" w:rsidRDefault="00225952" w:rsidP="00225952">
            <w:pPr>
              <w:pStyle w:val="Default"/>
              <w:jc w:val="center"/>
              <w:rPr>
                <w:rFonts w:asciiTheme="minorHAnsi" w:hAnsiTheme="minorHAnsi" w:cs="Arial"/>
                <w:b/>
                <w:sz w:val="20"/>
                <w:szCs w:val="20"/>
              </w:rPr>
            </w:pPr>
            <w:r w:rsidRPr="00D124E9">
              <w:rPr>
                <w:rFonts w:asciiTheme="minorHAnsi" w:hAnsiTheme="minorHAnsi" w:cs="Arial"/>
                <w:b/>
                <w:sz w:val="20"/>
                <w:szCs w:val="20"/>
              </w:rPr>
              <w:t>DRI Annual Report</w:t>
            </w:r>
          </w:p>
        </w:tc>
        <w:tc>
          <w:tcPr>
            <w:tcW w:w="1548" w:type="dxa"/>
            <w:tcBorders>
              <w:top w:val="single" w:sz="4" w:space="0" w:color="auto"/>
              <w:bottom w:val="single" w:sz="4" w:space="0" w:color="auto"/>
            </w:tcBorders>
            <w:shd w:val="clear" w:color="auto" w:fill="auto"/>
            <w:vAlign w:val="center"/>
          </w:tcPr>
          <w:p w:rsidR="00225952" w:rsidRPr="00D124E9" w:rsidRDefault="00225952" w:rsidP="00225952">
            <w:pPr>
              <w:pStyle w:val="Default"/>
              <w:jc w:val="center"/>
              <w:rPr>
                <w:rFonts w:asciiTheme="minorHAnsi" w:hAnsiTheme="minorHAnsi" w:cs="Arial"/>
                <w:sz w:val="20"/>
                <w:szCs w:val="20"/>
              </w:rPr>
            </w:pPr>
            <w:r w:rsidRPr="00D124E9">
              <w:rPr>
                <w:rFonts w:asciiTheme="minorHAnsi" w:hAnsiTheme="minorHAnsi" w:cs="Arial"/>
                <w:sz w:val="20"/>
                <w:szCs w:val="20"/>
              </w:rPr>
              <w:t>None</w:t>
            </w:r>
          </w:p>
        </w:tc>
        <w:tc>
          <w:tcPr>
            <w:tcW w:w="1152" w:type="dxa"/>
            <w:tcBorders>
              <w:top w:val="single" w:sz="4" w:space="0" w:color="auto"/>
              <w:bottom w:val="single" w:sz="4" w:space="0" w:color="auto"/>
            </w:tcBorders>
            <w:shd w:val="clear" w:color="auto" w:fill="auto"/>
            <w:vAlign w:val="center"/>
          </w:tcPr>
          <w:p w:rsidR="00225952" w:rsidRPr="00D124E9" w:rsidRDefault="00225952" w:rsidP="00225952">
            <w:pPr>
              <w:pStyle w:val="Default"/>
              <w:jc w:val="center"/>
              <w:rPr>
                <w:rFonts w:asciiTheme="minorHAnsi" w:hAnsiTheme="minorHAnsi" w:cs="Arial"/>
                <w:sz w:val="20"/>
                <w:szCs w:val="20"/>
              </w:rPr>
            </w:pPr>
            <w:r w:rsidRPr="00D124E9">
              <w:rPr>
                <w:rFonts w:asciiTheme="minorHAnsi" w:hAnsiTheme="minorHAnsi" w:cs="Arial"/>
                <w:sz w:val="20"/>
                <w:szCs w:val="20"/>
              </w:rPr>
              <w:t>LG</w:t>
            </w:r>
          </w:p>
        </w:tc>
        <w:tc>
          <w:tcPr>
            <w:tcW w:w="1350" w:type="dxa"/>
            <w:tcBorders>
              <w:top w:val="single" w:sz="4" w:space="0" w:color="auto"/>
              <w:bottom w:val="single" w:sz="4" w:space="0" w:color="auto"/>
            </w:tcBorders>
            <w:shd w:val="clear" w:color="auto" w:fill="auto"/>
            <w:vAlign w:val="center"/>
          </w:tcPr>
          <w:p w:rsidR="00225952" w:rsidRPr="00D124E9" w:rsidRDefault="00225952" w:rsidP="00225952">
            <w:pPr>
              <w:pStyle w:val="Default"/>
              <w:jc w:val="center"/>
              <w:rPr>
                <w:rFonts w:asciiTheme="minorHAnsi" w:hAnsiTheme="minorHAnsi" w:cs="Arial"/>
                <w:sz w:val="20"/>
                <w:szCs w:val="20"/>
              </w:rPr>
            </w:pPr>
            <w:r w:rsidRPr="00D124E9">
              <w:rPr>
                <w:rFonts w:asciiTheme="minorHAnsi" w:hAnsiTheme="minorHAnsi" w:cs="Arial"/>
                <w:sz w:val="20"/>
                <w:szCs w:val="20"/>
              </w:rPr>
              <w:t>None</w:t>
            </w:r>
          </w:p>
        </w:tc>
        <w:tc>
          <w:tcPr>
            <w:tcW w:w="1440" w:type="dxa"/>
            <w:tcBorders>
              <w:top w:val="single" w:sz="4" w:space="0" w:color="auto"/>
              <w:bottom w:val="single" w:sz="4" w:space="0" w:color="auto"/>
            </w:tcBorders>
            <w:shd w:val="clear" w:color="auto" w:fill="auto"/>
            <w:vAlign w:val="center"/>
          </w:tcPr>
          <w:p w:rsidR="00225952" w:rsidRPr="00D124E9" w:rsidRDefault="00225952" w:rsidP="00225952">
            <w:pPr>
              <w:pStyle w:val="Default"/>
              <w:jc w:val="center"/>
              <w:rPr>
                <w:rFonts w:asciiTheme="minorHAnsi" w:hAnsiTheme="minorHAnsi" w:cs="Arial"/>
                <w:sz w:val="18"/>
                <w:szCs w:val="20"/>
              </w:rPr>
            </w:pPr>
            <w:r w:rsidRPr="00D124E9">
              <w:rPr>
                <w:rFonts w:asciiTheme="minorHAnsi" w:hAnsiTheme="minorHAnsi" w:cs="Arial"/>
                <w:sz w:val="18"/>
                <w:szCs w:val="20"/>
              </w:rPr>
              <w:t>380.06(18), FS</w:t>
            </w:r>
          </w:p>
        </w:tc>
        <w:tc>
          <w:tcPr>
            <w:tcW w:w="2250" w:type="dxa"/>
            <w:tcBorders>
              <w:top w:val="single" w:sz="4" w:space="0" w:color="auto"/>
              <w:bottom w:val="single" w:sz="4" w:space="0" w:color="auto"/>
            </w:tcBorders>
            <w:shd w:val="clear" w:color="auto" w:fill="auto"/>
            <w:vAlign w:val="center"/>
          </w:tcPr>
          <w:p w:rsidR="00225952" w:rsidRPr="00D124E9" w:rsidRDefault="00225952" w:rsidP="00225952">
            <w:pPr>
              <w:pStyle w:val="Default"/>
              <w:jc w:val="center"/>
              <w:rPr>
                <w:rFonts w:asciiTheme="minorHAnsi" w:hAnsiTheme="minorHAnsi" w:cs="Arial"/>
                <w:sz w:val="18"/>
                <w:szCs w:val="20"/>
              </w:rPr>
            </w:pPr>
            <w:r w:rsidRPr="00D124E9">
              <w:rPr>
                <w:rFonts w:asciiTheme="minorHAnsi" w:hAnsiTheme="minorHAnsi" w:cs="Arial"/>
                <w:sz w:val="18"/>
                <w:szCs w:val="20"/>
              </w:rPr>
              <w:t>Rule 9J-2.025(3)(b)14, FAC</w:t>
            </w:r>
          </w:p>
        </w:tc>
      </w:tr>
      <w:tr w:rsidR="00225952" w:rsidRPr="00D124E9" w:rsidTr="005B5AFE">
        <w:trPr>
          <w:jc w:val="center"/>
        </w:trPr>
        <w:tc>
          <w:tcPr>
            <w:tcW w:w="1548" w:type="dxa"/>
            <w:tcBorders>
              <w:top w:val="single" w:sz="4" w:space="0" w:color="auto"/>
              <w:bottom w:val="single" w:sz="4" w:space="0" w:color="auto"/>
            </w:tcBorders>
            <w:shd w:val="clear" w:color="auto" w:fill="DAEEF3" w:themeFill="accent5" w:themeFillTint="33"/>
            <w:vAlign w:val="center"/>
          </w:tcPr>
          <w:p w:rsidR="00225952" w:rsidRPr="00D124E9" w:rsidRDefault="00225952" w:rsidP="00225952">
            <w:pPr>
              <w:pStyle w:val="Default"/>
              <w:jc w:val="center"/>
              <w:rPr>
                <w:rFonts w:asciiTheme="minorHAnsi" w:hAnsiTheme="minorHAnsi" w:cs="Arial"/>
                <w:b/>
                <w:sz w:val="20"/>
                <w:szCs w:val="20"/>
              </w:rPr>
            </w:pPr>
            <w:r w:rsidRPr="00D124E9">
              <w:rPr>
                <w:rFonts w:asciiTheme="minorHAnsi" w:hAnsiTheme="minorHAnsi" w:cs="Arial"/>
                <w:b/>
                <w:sz w:val="20"/>
                <w:szCs w:val="20"/>
              </w:rPr>
              <w:t>Annual Traffic Monitoring Study and the Modeling and Monitoring Schedule</w:t>
            </w:r>
          </w:p>
        </w:tc>
        <w:tc>
          <w:tcPr>
            <w:tcW w:w="1548" w:type="dxa"/>
            <w:tcBorders>
              <w:top w:val="single" w:sz="4" w:space="0" w:color="auto"/>
              <w:bottom w:val="single" w:sz="4" w:space="0" w:color="auto"/>
            </w:tcBorders>
            <w:shd w:val="clear" w:color="auto" w:fill="DAEEF3" w:themeFill="accent5" w:themeFillTint="33"/>
            <w:vAlign w:val="center"/>
          </w:tcPr>
          <w:p w:rsidR="00225952" w:rsidRPr="00D124E9" w:rsidRDefault="00225952" w:rsidP="00225952">
            <w:pPr>
              <w:pStyle w:val="Default"/>
              <w:jc w:val="center"/>
              <w:rPr>
                <w:rFonts w:asciiTheme="minorHAnsi" w:hAnsiTheme="minorHAnsi" w:cs="Arial"/>
                <w:sz w:val="20"/>
                <w:szCs w:val="20"/>
              </w:rPr>
            </w:pPr>
            <w:r w:rsidRPr="00D124E9">
              <w:rPr>
                <w:rFonts w:asciiTheme="minorHAnsi" w:hAnsiTheme="minorHAnsi" w:cs="Arial"/>
                <w:sz w:val="20"/>
                <w:szCs w:val="20"/>
              </w:rPr>
              <w:t>Written Comments</w:t>
            </w:r>
          </w:p>
        </w:tc>
        <w:tc>
          <w:tcPr>
            <w:tcW w:w="1152" w:type="dxa"/>
            <w:tcBorders>
              <w:top w:val="single" w:sz="4" w:space="0" w:color="auto"/>
              <w:bottom w:val="single" w:sz="4" w:space="0" w:color="auto"/>
            </w:tcBorders>
            <w:shd w:val="clear" w:color="auto" w:fill="DAEEF3" w:themeFill="accent5" w:themeFillTint="33"/>
            <w:vAlign w:val="center"/>
          </w:tcPr>
          <w:p w:rsidR="00225952" w:rsidRPr="00D124E9" w:rsidRDefault="00225952" w:rsidP="00225952">
            <w:pPr>
              <w:pStyle w:val="Default"/>
              <w:jc w:val="center"/>
              <w:rPr>
                <w:rFonts w:asciiTheme="minorHAnsi" w:hAnsiTheme="minorHAnsi" w:cs="Arial"/>
                <w:sz w:val="20"/>
                <w:szCs w:val="20"/>
              </w:rPr>
            </w:pPr>
            <w:r w:rsidRPr="00D124E9">
              <w:rPr>
                <w:rFonts w:asciiTheme="minorHAnsi" w:hAnsiTheme="minorHAnsi" w:cs="Arial"/>
                <w:sz w:val="20"/>
                <w:szCs w:val="20"/>
              </w:rPr>
              <w:t>DCA &amp; LG</w:t>
            </w:r>
          </w:p>
        </w:tc>
        <w:tc>
          <w:tcPr>
            <w:tcW w:w="1350" w:type="dxa"/>
            <w:tcBorders>
              <w:top w:val="single" w:sz="4" w:space="0" w:color="auto"/>
              <w:bottom w:val="single" w:sz="4" w:space="0" w:color="auto"/>
            </w:tcBorders>
            <w:shd w:val="clear" w:color="auto" w:fill="DAEEF3" w:themeFill="accent5" w:themeFillTint="33"/>
            <w:vAlign w:val="center"/>
          </w:tcPr>
          <w:p w:rsidR="00225952" w:rsidRDefault="00225952" w:rsidP="00225952">
            <w:pPr>
              <w:pStyle w:val="Default"/>
              <w:jc w:val="center"/>
              <w:rPr>
                <w:rFonts w:asciiTheme="minorHAnsi" w:hAnsiTheme="minorHAnsi" w:cs="Arial"/>
                <w:sz w:val="20"/>
                <w:szCs w:val="20"/>
              </w:rPr>
            </w:pPr>
            <w:r w:rsidRPr="00D124E9">
              <w:rPr>
                <w:rFonts w:asciiTheme="minorHAnsi" w:hAnsiTheme="minorHAnsi" w:cs="Arial"/>
                <w:sz w:val="20"/>
                <w:szCs w:val="20"/>
              </w:rPr>
              <w:t>As set in DO</w:t>
            </w:r>
          </w:p>
          <w:p w:rsidR="00225952" w:rsidRDefault="00225952" w:rsidP="00225952">
            <w:pPr>
              <w:pStyle w:val="Default"/>
              <w:jc w:val="center"/>
              <w:rPr>
                <w:rFonts w:asciiTheme="minorHAnsi" w:hAnsiTheme="minorHAnsi" w:cs="Arial"/>
                <w:sz w:val="20"/>
                <w:szCs w:val="20"/>
              </w:rPr>
            </w:pPr>
          </w:p>
          <w:p w:rsidR="00225952" w:rsidRPr="00D124E9" w:rsidRDefault="00225952" w:rsidP="00225952">
            <w:pPr>
              <w:pStyle w:val="Default"/>
              <w:jc w:val="center"/>
              <w:rPr>
                <w:rFonts w:asciiTheme="minorHAnsi" w:hAnsiTheme="minorHAnsi" w:cs="Arial"/>
                <w:sz w:val="20"/>
                <w:szCs w:val="20"/>
              </w:rPr>
            </w:pPr>
            <w:r w:rsidRPr="00D124E9">
              <w:rPr>
                <w:rFonts w:asciiTheme="minorHAnsi" w:hAnsiTheme="minorHAnsi" w:cs="Arial"/>
                <w:sz w:val="20"/>
                <w:szCs w:val="20"/>
              </w:rPr>
              <w:t>DO review &lt;45 days</w:t>
            </w:r>
          </w:p>
        </w:tc>
        <w:tc>
          <w:tcPr>
            <w:tcW w:w="1440" w:type="dxa"/>
            <w:tcBorders>
              <w:top w:val="single" w:sz="4" w:space="0" w:color="auto"/>
              <w:bottom w:val="single" w:sz="4" w:space="0" w:color="auto"/>
            </w:tcBorders>
            <w:shd w:val="clear" w:color="auto" w:fill="DAEEF3" w:themeFill="accent5" w:themeFillTint="33"/>
            <w:vAlign w:val="center"/>
          </w:tcPr>
          <w:p w:rsidR="00225952" w:rsidRPr="00D124E9" w:rsidRDefault="00225952" w:rsidP="00225952">
            <w:pPr>
              <w:pStyle w:val="Default"/>
              <w:jc w:val="center"/>
              <w:rPr>
                <w:rFonts w:asciiTheme="minorHAnsi" w:hAnsiTheme="minorHAnsi" w:cs="Arial"/>
                <w:color w:val="auto"/>
                <w:sz w:val="18"/>
                <w:szCs w:val="20"/>
              </w:rPr>
            </w:pPr>
          </w:p>
        </w:tc>
        <w:tc>
          <w:tcPr>
            <w:tcW w:w="2250" w:type="dxa"/>
            <w:tcBorders>
              <w:top w:val="single" w:sz="4" w:space="0" w:color="auto"/>
              <w:bottom w:val="single" w:sz="4" w:space="0" w:color="auto"/>
            </w:tcBorders>
            <w:shd w:val="clear" w:color="auto" w:fill="DAEEF3" w:themeFill="accent5" w:themeFillTint="33"/>
            <w:vAlign w:val="center"/>
          </w:tcPr>
          <w:p w:rsidR="00225952" w:rsidRPr="00D124E9" w:rsidRDefault="00225952" w:rsidP="00225952">
            <w:pPr>
              <w:pStyle w:val="Default"/>
              <w:jc w:val="center"/>
              <w:rPr>
                <w:rFonts w:asciiTheme="minorHAnsi" w:hAnsiTheme="minorHAnsi" w:cs="Arial"/>
                <w:sz w:val="18"/>
                <w:szCs w:val="20"/>
              </w:rPr>
            </w:pPr>
            <w:r w:rsidRPr="00D124E9">
              <w:rPr>
                <w:rFonts w:asciiTheme="minorHAnsi" w:hAnsiTheme="minorHAnsi" w:cs="Arial"/>
                <w:sz w:val="18"/>
                <w:szCs w:val="20"/>
              </w:rPr>
              <w:t>Rule 9J-2.045(7)(a)4.b ,FAC Topic # 525-030-115</w:t>
            </w:r>
          </w:p>
        </w:tc>
      </w:tr>
      <w:tr w:rsidR="00225952" w:rsidRPr="00D124E9" w:rsidTr="005B5AFE">
        <w:trPr>
          <w:jc w:val="center"/>
        </w:trPr>
        <w:tc>
          <w:tcPr>
            <w:tcW w:w="1548" w:type="dxa"/>
            <w:tcBorders>
              <w:top w:val="single" w:sz="4" w:space="0" w:color="auto"/>
              <w:bottom w:val="single" w:sz="12" w:space="0" w:color="auto"/>
            </w:tcBorders>
            <w:shd w:val="clear" w:color="auto" w:fill="auto"/>
            <w:vAlign w:val="center"/>
          </w:tcPr>
          <w:p w:rsidR="00225952" w:rsidRPr="00D124E9" w:rsidRDefault="00225952" w:rsidP="00225952">
            <w:pPr>
              <w:pStyle w:val="Default"/>
              <w:jc w:val="center"/>
              <w:rPr>
                <w:rFonts w:asciiTheme="minorHAnsi" w:hAnsiTheme="minorHAnsi" w:cs="Arial"/>
                <w:b/>
                <w:sz w:val="20"/>
                <w:szCs w:val="20"/>
              </w:rPr>
            </w:pPr>
            <w:r w:rsidRPr="00D124E9">
              <w:rPr>
                <w:rFonts w:asciiTheme="minorHAnsi" w:hAnsiTheme="minorHAnsi" w:cs="Arial"/>
                <w:b/>
                <w:sz w:val="20"/>
                <w:szCs w:val="20"/>
              </w:rPr>
              <w:t>NOPC *</w:t>
            </w:r>
          </w:p>
        </w:tc>
        <w:tc>
          <w:tcPr>
            <w:tcW w:w="1548" w:type="dxa"/>
            <w:tcBorders>
              <w:top w:val="single" w:sz="4" w:space="0" w:color="auto"/>
              <w:bottom w:val="single" w:sz="12" w:space="0" w:color="auto"/>
            </w:tcBorders>
            <w:shd w:val="clear" w:color="auto" w:fill="auto"/>
            <w:vAlign w:val="center"/>
          </w:tcPr>
          <w:p w:rsidR="00225952" w:rsidRPr="00D124E9" w:rsidRDefault="00225952" w:rsidP="00225952">
            <w:pPr>
              <w:pStyle w:val="Default"/>
              <w:jc w:val="center"/>
              <w:rPr>
                <w:rFonts w:asciiTheme="minorHAnsi" w:hAnsiTheme="minorHAnsi" w:cs="Arial"/>
                <w:sz w:val="20"/>
                <w:szCs w:val="20"/>
              </w:rPr>
            </w:pPr>
            <w:r w:rsidRPr="00D124E9">
              <w:rPr>
                <w:rFonts w:asciiTheme="minorHAnsi" w:hAnsiTheme="minorHAnsi" w:cs="Arial"/>
                <w:sz w:val="20"/>
                <w:szCs w:val="20"/>
              </w:rPr>
              <w:t>Written Comments</w:t>
            </w:r>
          </w:p>
        </w:tc>
        <w:tc>
          <w:tcPr>
            <w:tcW w:w="1152" w:type="dxa"/>
            <w:tcBorders>
              <w:top w:val="single" w:sz="4" w:space="0" w:color="auto"/>
              <w:bottom w:val="single" w:sz="12" w:space="0" w:color="auto"/>
            </w:tcBorders>
            <w:shd w:val="clear" w:color="auto" w:fill="auto"/>
            <w:vAlign w:val="center"/>
          </w:tcPr>
          <w:p w:rsidR="00225952" w:rsidRPr="00D124E9" w:rsidRDefault="00225952" w:rsidP="00225952">
            <w:pPr>
              <w:pStyle w:val="Default"/>
              <w:jc w:val="center"/>
              <w:rPr>
                <w:rFonts w:asciiTheme="minorHAnsi" w:hAnsiTheme="minorHAnsi" w:cs="Arial"/>
                <w:sz w:val="20"/>
                <w:szCs w:val="20"/>
              </w:rPr>
            </w:pPr>
            <w:r w:rsidRPr="00D124E9">
              <w:rPr>
                <w:rFonts w:asciiTheme="minorHAnsi" w:hAnsiTheme="minorHAnsi" w:cs="Arial"/>
                <w:sz w:val="20"/>
                <w:szCs w:val="20"/>
              </w:rPr>
              <w:t>DCA</w:t>
            </w:r>
          </w:p>
        </w:tc>
        <w:tc>
          <w:tcPr>
            <w:tcW w:w="1350" w:type="dxa"/>
            <w:tcBorders>
              <w:top w:val="single" w:sz="4" w:space="0" w:color="auto"/>
              <w:bottom w:val="single" w:sz="12" w:space="0" w:color="auto"/>
            </w:tcBorders>
            <w:shd w:val="clear" w:color="auto" w:fill="auto"/>
            <w:vAlign w:val="center"/>
          </w:tcPr>
          <w:p w:rsidR="00225952" w:rsidRPr="00D124E9" w:rsidRDefault="00225952" w:rsidP="00225952">
            <w:pPr>
              <w:pStyle w:val="Default"/>
              <w:jc w:val="center"/>
              <w:rPr>
                <w:rFonts w:asciiTheme="minorHAnsi" w:hAnsiTheme="minorHAnsi" w:cs="Arial"/>
                <w:sz w:val="20"/>
                <w:szCs w:val="20"/>
              </w:rPr>
            </w:pPr>
            <w:r w:rsidRPr="00D124E9">
              <w:rPr>
                <w:rFonts w:asciiTheme="minorHAnsi" w:hAnsiTheme="minorHAnsi" w:cs="Arial"/>
                <w:sz w:val="20"/>
                <w:szCs w:val="20"/>
              </w:rPr>
              <w:t>&lt; 30 days</w:t>
            </w:r>
          </w:p>
        </w:tc>
        <w:tc>
          <w:tcPr>
            <w:tcW w:w="1440" w:type="dxa"/>
            <w:tcBorders>
              <w:top w:val="single" w:sz="4" w:space="0" w:color="auto"/>
              <w:bottom w:val="single" w:sz="12" w:space="0" w:color="auto"/>
            </w:tcBorders>
            <w:shd w:val="clear" w:color="auto" w:fill="auto"/>
            <w:vAlign w:val="center"/>
          </w:tcPr>
          <w:p w:rsidR="00225952" w:rsidRPr="00D124E9" w:rsidRDefault="00225952" w:rsidP="00225952">
            <w:pPr>
              <w:pStyle w:val="Default"/>
              <w:jc w:val="center"/>
              <w:rPr>
                <w:rFonts w:asciiTheme="minorHAnsi" w:hAnsiTheme="minorHAnsi" w:cs="Arial"/>
                <w:sz w:val="18"/>
                <w:szCs w:val="20"/>
              </w:rPr>
            </w:pPr>
            <w:r w:rsidRPr="00D124E9">
              <w:rPr>
                <w:rFonts w:asciiTheme="minorHAnsi" w:hAnsiTheme="minorHAnsi" w:cs="Arial"/>
                <w:sz w:val="18"/>
                <w:szCs w:val="20"/>
              </w:rPr>
              <w:t>380.06(19), FS</w:t>
            </w:r>
          </w:p>
        </w:tc>
        <w:tc>
          <w:tcPr>
            <w:tcW w:w="2250" w:type="dxa"/>
            <w:tcBorders>
              <w:top w:val="single" w:sz="4" w:space="0" w:color="auto"/>
              <w:bottom w:val="single" w:sz="12" w:space="0" w:color="auto"/>
            </w:tcBorders>
            <w:shd w:val="clear" w:color="auto" w:fill="auto"/>
            <w:vAlign w:val="center"/>
          </w:tcPr>
          <w:p w:rsidR="00225952" w:rsidRPr="00D124E9" w:rsidRDefault="00225952" w:rsidP="00225952">
            <w:pPr>
              <w:pStyle w:val="Default"/>
              <w:jc w:val="center"/>
              <w:rPr>
                <w:rFonts w:asciiTheme="minorHAnsi" w:hAnsiTheme="minorHAnsi" w:cs="Arial"/>
                <w:sz w:val="18"/>
                <w:szCs w:val="20"/>
              </w:rPr>
            </w:pPr>
            <w:r w:rsidRPr="00D124E9">
              <w:rPr>
                <w:rFonts w:asciiTheme="minorHAnsi" w:hAnsiTheme="minorHAnsi" w:cs="Arial"/>
                <w:sz w:val="18"/>
                <w:szCs w:val="20"/>
              </w:rPr>
              <w:t>Rule 9J-2.045, FAC</w:t>
            </w:r>
          </w:p>
          <w:p w:rsidR="00225952" w:rsidRPr="00D124E9" w:rsidRDefault="00225952" w:rsidP="00225952">
            <w:pPr>
              <w:pStyle w:val="Default"/>
              <w:jc w:val="center"/>
              <w:rPr>
                <w:rFonts w:asciiTheme="minorHAnsi" w:hAnsiTheme="minorHAnsi" w:cs="Arial"/>
                <w:sz w:val="18"/>
                <w:szCs w:val="20"/>
              </w:rPr>
            </w:pPr>
            <w:r w:rsidRPr="00D124E9">
              <w:rPr>
                <w:rFonts w:asciiTheme="minorHAnsi" w:hAnsiTheme="minorHAnsi" w:cs="Arial"/>
                <w:sz w:val="18"/>
                <w:szCs w:val="20"/>
              </w:rPr>
              <w:t>Topic # 525-030-115</w:t>
            </w:r>
          </w:p>
        </w:tc>
      </w:tr>
    </w:tbl>
    <w:p w:rsidR="00225952" w:rsidRDefault="00225952" w:rsidP="00225952"/>
    <w:p w:rsidR="00225952" w:rsidRDefault="00225952">
      <w:pPr>
        <w:sectPr w:rsidR="00225952" w:rsidSect="00832911">
          <w:headerReference w:type="default" r:id="rId409"/>
          <w:pgSz w:w="12240" w:h="15840"/>
          <w:pgMar w:top="1440" w:right="720" w:bottom="1440" w:left="1152" w:header="720" w:footer="720" w:gutter="0"/>
          <w:cols w:space="720"/>
          <w:docGrid w:linePitch="360"/>
        </w:sectPr>
      </w:pPr>
    </w:p>
    <w:p w:rsidR="005B5AFE" w:rsidRDefault="005B5AFE">
      <w:bookmarkStart w:id="355" w:name="APXB"/>
      <w:bookmarkEnd w:id="355"/>
      <w:r>
        <w:rPr>
          <w:b/>
          <w:bCs/>
        </w:rPr>
        <w:lastRenderedPageBreak/>
        <w:br w:type="page"/>
      </w:r>
    </w:p>
    <w:tbl>
      <w:tblPr>
        <w:tblW w:w="10465" w:type="dxa"/>
        <w:tblLayout w:type="fixed"/>
        <w:tblCellMar>
          <w:left w:w="115" w:type="dxa"/>
          <w:right w:w="115" w:type="dxa"/>
        </w:tblCellMar>
        <w:tblLook w:val="0000"/>
      </w:tblPr>
      <w:tblGrid>
        <w:gridCol w:w="1015"/>
        <w:gridCol w:w="9450"/>
      </w:tblGrid>
      <w:tr w:rsidR="00225952" w:rsidRPr="00652B45" w:rsidTr="005B5AFE">
        <w:tc>
          <w:tcPr>
            <w:tcW w:w="10465" w:type="dxa"/>
            <w:gridSpan w:val="2"/>
          </w:tcPr>
          <w:p w:rsidR="00225952" w:rsidRPr="00652B45" w:rsidRDefault="00225952" w:rsidP="00CC002A">
            <w:pPr>
              <w:pStyle w:val="Heading1"/>
            </w:pPr>
            <w:bookmarkStart w:id="356" w:name="_Toc264274191"/>
            <w:r>
              <w:lastRenderedPageBreak/>
              <w:t xml:space="preserve">APPENDIX B </w:t>
            </w:r>
            <w:r w:rsidR="00CC002A">
              <w:t>–</w:t>
            </w:r>
            <w:r>
              <w:t xml:space="preserve"> </w:t>
            </w:r>
            <w:r w:rsidRPr="0052308E">
              <w:rPr>
                <w:b w:val="0"/>
              </w:rPr>
              <w:t>Questions 21 &amp; 22</w:t>
            </w:r>
            <w:bookmarkEnd w:id="356"/>
          </w:p>
        </w:tc>
      </w:tr>
      <w:tr w:rsidR="00225952" w:rsidRPr="00652B45" w:rsidTr="005B5AFE">
        <w:tc>
          <w:tcPr>
            <w:tcW w:w="10465" w:type="dxa"/>
            <w:gridSpan w:val="2"/>
          </w:tcPr>
          <w:p w:rsidR="00225952" w:rsidRPr="0052308E" w:rsidRDefault="00225952" w:rsidP="00225952">
            <w:pPr>
              <w:pStyle w:val="Heading2"/>
            </w:pPr>
            <w:bookmarkStart w:id="357" w:name="_Question_21_-"/>
            <w:bookmarkStart w:id="358" w:name="_Ref220582726"/>
            <w:bookmarkStart w:id="359" w:name="_Toc263596061"/>
            <w:bookmarkStart w:id="360" w:name="_Toc263613636"/>
            <w:bookmarkStart w:id="361" w:name="_Toc264274192"/>
            <w:bookmarkEnd w:id="357"/>
            <w:r>
              <w:t xml:space="preserve">Question 21 </w:t>
            </w:r>
            <w:r w:rsidR="00CC002A">
              <w:t>–</w:t>
            </w:r>
            <w:r>
              <w:t xml:space="preserve"> Transportation</w:t>
            </w:r>
            <w:bookmarkEnd w:id="358"/>
            <w:bookmarkEnd w:id="359"/>
            <w:bookmarkEnd w:id="360"/>
            <w:bookmarkEnd w:id="361"/>
          </w:p>
        </w:tc>
      </w:tr>
      <w:tr w:rsidR="00225952" w:rsidTr="005B5AFE">
        <w:tc>
          <w:tcPr>
            <w:tcW w:w="1015" w:type="dxa"/>
          </w:tcPr>
          <w:p w:rsidR="00225952" w:rsidRPr="00E84AE9" w:rsidRDefault="00225952" w:rsidP="00225952">
            <w:pPr>
              <w:pStyle w:val="SidebarSentence"/>
            </w:pPr>
          </w:p>
          <w:p w:rsidR="00225952" w:rsidRPr="00E84AE9" w:rsidRDefault="00225952" w:rsidP="00225952">
            <w:pPr>
              <w:pStyle w:val="SidebarSentence"/>
            </w:pPr>
          </w:p>
        </w:tc>
        <w:tc>
          <w:tcPr>
            <w:tcW w:w="9450" w:type="dxa"/>
          </w:tcPr>
          <w:p w:rsidR="00225952" w:rsidRPr="00D16DAF" w:rsidRDefault="00225952" w:rsidP="00255107">
            <w:pPr>
              <w:pStyle w:val="HeadSide20"/>
            </w:pPr>
            <w:r w:rsidRPr="00D16DAF">
              <w:t xml:space="preserve">See State Comprehensive Plan (Chapter 187, FS) </w:t>
            </w:r>
          </w:p>
          <w:p w:rsidR="00225952" w:rsidRPr="00D16DAF" w:rsidRDefault="00225952" w:rsidP="00255107">
            <w:pPr>
              <w:pStyle w:val="HeadSide20"/>
            </w:pPr>
            <w:r w:rsidRPr="00D16DAF">
              <w:t xml:space="preserve">Goal (11); Policy (2) Goal (12); Policies (3), (4) Goal (16); Policy (1) Goal (18); Policies (1), (3), (4), (6) Goal (20); Policies (2), (3), (8), (9), (10), (12), (13), (15) Goal (25); Policy (5) </w:t>
            </w:r>
          </w:p>
          <w:p w:rsidR="00225952" w:rsidRDefault="00225952" w:rsidP="00255107">
            <w:pPr>
              <w:pStyle w:val="HeadSide20"/>
            </w:pPr>
            <w:r w:rsidRPr="00D16DAF">
              <w:t>Road Link/Intersection: Existing Level of Service: Adopted Level of Service Standard: Level of Service After Project Buildout:</w:t>
            </w:r>
          </w:p>
        </w:tc>
      </w:tr>
      <w:tr w:rsidR="00225952" w:rsidRPr="00E84AE9" w:rsidTr="005B5AFE">
        <w:tc>
          <w:tcPr>
            <w:tcW w:w="1015" w:type="dxa"/>
          </w:tcPr>
          <w:p w:rsidR="00225952" w:rsidRPr="00E84AE9" w:rsidRDefault="00225952" w:rsidP="00225952">
            <w:pPr>
              <w:pStyle w:val="SidebarSentence"/>
            </w:pPr>
          </w:p>
        </w:tc>
        <w:tc>
          <w:tcPr>
            <w:tcW w:w="9450" w:type="dxa"/>
          </w:tcPr>
          <w:p w:rsidR="00225952" w:rsidRPr="00D16DAF" w:rsidRDefault="00225952" w:rsidP="00225952">
            <w:pPr>
              <w:pStyle w:val="AppendixA"/>
            </w:pPr>
            <w:r w:rsidRPr="00D16DAF">
              <w:t xml:space="preserve">A. </w:t>
            </w:r>
            <w:r w:rsidRPr="00D16DAF">
              <w:tab/>
              <w:t>Using Map J or a table as a base, indicate existing conditions on the highway network within the study area (as previously defined on Map J), including annual average daily traffic (AADT), peak-hour trips directional, traffic split, levels of service (LOS) and maximum service volumes for the adopted LOS.  Identify the assumptions used in this analysis, including "K" factor, directional "D" factor, facility type, number of lanes and existing signal locations.  (If LOS are based on some methodology other than the most recent procedures of the Transportation Research Board and FDOT, this should be agreed upon at the preapplication conference stage).  Identify the adopted LOS standards of the FDOT, appropriate Regional Planning Council (RPC) and local government for roadways within the identified study area.  Identify what improvements or new facilities within this study area are planned, programmed or committed for improvement.  Attach appropriate excerpts from published capital improvements plans, budgets and programs showing schedules and types of work and letters from the appropriate agencies stating the current status of the planned, programmed and committed improvements.</w:t>
            </w:r>
          </w:p>
        </w:tc>
      </w:tr>
      <w:tr w:rsidR="00225952" w:rsidRPr="00E84AE9" w:rsidTr="005B5AFE">
        <w:tc>
          <w:tcPr>
            <w:tcW w:w="1015" w:type="dxa"/>
          </w:tcPr>
          <w:p w:rsidR="00225952" w:rsidRPr="00E84AE9" w:rsidRDefault="00225952" w:rsidP="00225952">
            <w:pPr>
              <w:pStyle w:val="SidebarSentence"/>
            </w:pPr>
          </w:p>
        </w:tc>
        <w:tc>
          <w:tcPr>
            <w:tcW w:w="9450" w:type="dxa"/>
          </w:tcPr>
          <w:p w:rsidR="00225952" w:rsidRPr="00F26ABE" w:rsidRDefault="00225952" w:rsidP="00225952">
            <w:pPr>
              <w:pStyle w:val="AppendixA"/>
            </w:pPr>
            <w:r w:rsidRPr="00F26ABE">
              <w:t xml:space="preserve">B. </w:t>
            </w:r>
            <w:r w:rsidRPr="00F26ABE">
              <w:tab/>
              <w:t xml:space="preserve">Provide a projection of vehicle trips expected to be generated by this development.  State all standards and assumptions used, including trip end generation rates by land use types, sources of data, modal split, persons per vehicle, etc. as appropriate.  The acceptable methodology to be used for projecting trip generation (including the Florida Standard Urban Model Structure (FSUTMS) or the Institute of Transportation Engineers (ITE) trip generation rates) shall be determined at the preapplication conference stage. </w:t>
            </w:r>
          </w:p>
        </w:tc>
      </w:tr>
      <w:tr w:rsidR="00225952" w:rsidRPr="00E84AE9" w:rsidTr="005B5AFE">
        <w:tc>
          <w:tcPr>
            <w:tcW w:w="1015" w:type="dxa"/>
          </w:tcPr>
          <w:p w:rsidR="00225952" w:rsidRPr="00E84AE9" w:rsidRDefault="00225952" w:rsidP="00225952">
            <w:pPr>
              <w:pStyle w:val="SidebarSentence"/>
            </w:pPr>
          </w:p>
        </w:tc>
        <w:tc>
          <w:tcPr>
            <w:tcW w:w="9450" w:type="dxa"/>
          </w:tcPr>
          <w:p w:rsidR="00225952" w:rsidRPr="00F26ABE" w:rsidRDefault="00225952" w:rsidP="00225952">
            <w:pPr>
              <w:pStyle w:val="AppendixA"/>
            </w:pPr>
            <w:r w:rsidRPr="00F26ABE">
              <w:t xml:space="preserve">C. </w:t>
            </w:r>
            <w:r w:rsidRPr="00F26ABE">
              <w:tab/>
              <w:t xml:space="preserve">Estimate the internal/external split for the generated trips at the end of each phase of development as identified in (B) above. Use the format below and include a discussion of what aspects of the development (i.e., provision of on-site shopping and recreation facilities, on-site employment opportunities, etc.) will account for this internal/external split.  Provide supporting documentation showing how splits were estimated, such as the results of the FSUTMS model application.  Describe the extent to which the proposed design and land use mix will foster a more cohesive, internally supported project. </w:t>
            </w:r>
          </w:p>
        </w:tc>
      </w:tr>
    </w:tbl>
    <w:p w:rsidR="005B5AFE" w:rsidRDefault="005B5AFE">
      <w:r>
        <w:rPr>
          <w:b/>
          <w:bCs/>
        </w:rPr>
        <w:br w:type="page"/>
      </w:r>
    </w:p>
    <w:tbl>
      <w:tblPr>
        <w:tblW w:w="10465" w:type="dxa"/>
        <w:tblLayout w:type="fixed"/>
        <w:tblCellMar>
          <w:left w:w="115" w:type="dxa"/>
          <w:right w:w="115" w:type="dxa"/>
        </w:tblCellMar>
        <w:tblLook w:val="0000"/>
      </w:tblPr>
      <w:tblGrid>
        <w:gridCol w:w="1015"/>
        <w:gridCol w:w="9450"/>
      </w:tblGrid>
      <w:tr w:rsidR="00225952" w:rsidRPr="00E84AE9" w:rsidTr="005B5AFE">
        <w:tc>
          <w:tcPr>
            <w:tcW w:w="10465" w:type="dxa"/>
            <w:gridSpan w:val="2"/>
          </w:tcPr>
          <w:p w:rsidR="00225952" w:rsidRPr="00282A71" w:rsidRDefault="00225952" w:rsidP="00225952">
            <w:pPr>
              <w:pStyle w:val="Heading2"/>
            </w:pPr>
            <w:bookmarkStart w:id="362" w:name="_Question_22_-"/>
            <w:bookmarkStart w:id="363" w:name="_Toc263596062"/>
            <w:bookmarkStart w:id="364" w:name="_Toc263613637"/>
            <w:bookmarkStart w:id="365" w:name="_Toc264274193"/>
            <w:bookmarkEnd w:id="362"/>
            <w:r>
              <w:lastRenderedPageBreak/>
              <w:t xml:space="preserve">Question 22 </w:t>
            </w:r>
            <w:r w:rsidR="00CC002A">
              <w:t>–</w:t>
            </w:r>
            <w:r>
              <w:t xml:space="preserve"> Air</w:t>
            </w:r>
            <w:bookmarkEnd w:id="363"/>
            <w:bookmarkEnd w:id="364"/>
            <w:bookmarkEnd w:id="365"/>
          </w:p>
        </w:tc>
      </w:tr>
      <w:tr w:rsidR="00225952" w:rsidRPr="00E84AE9" w:rsidTr="005B5AFE">
        <w:tc>
          <w:tcPr>
            <w:tcW w:w="1015" w:type="dxa"/>
          </w:tcPr>
          <w:p w:rsidR="00225952" w:rsidRPr="00E84AE9" w:rsidRDefault="00225952" w:rsidP="00225952">
            <w:pPr>
              <w:pStyle w:val="SidebarSentence"/>
            </w:pPr>
          </w:p>
        </w:tc>
        <w:tc>
          <w:tcPr>
            <w:tcW w:w="9450" w:type="dxa"/>
          </w:tcPr>
          <w:p w:rsidR="00225952" w:rsidRDefault="00225952" w:rsidP="00255107">
            <w:pPr>
              <w:pStyle w:val="HeadSide20"/>
            </w:pPr>
            <w:r>
              <w:t>See State Comprehensive Plan (Chapter 187, FS)</w:t>
            </w:r>
          </w:p>
          <w:p w:rsidR="00225952" w:rsidRDefault="00225952" w:rsidP="00255107">
            <w:pPr>
              <w:pStyle w:val="HeadSide20"/>
            </w:pPr>
            <w:r>
              <w:t>Goal (6); Policy (19)</w:t>
            </w:r>
          </w:p>
          <w:p w:rsidR="00225952" w:rsidRDefault="00225952" w:rsidP="00255107">
            <w:pPr>
              <w:pStyle w:val="HeadSide20"/>
            </w:pPr>
            <w:r>
              <w:t>Goal (11); Policies (1), (2), (3), (4)</w:t>
            </w:r>
          </w:p>
          <w:p w:rsidR="00225952" w:rsidRPr="00F26ABE" w:rsidRDefault="00225952" w:rsidP="00255107">
            <w:pPr>
              <w:pStyle w:val="HeadSide20"/>
              <w:rPr>
                <w:rFonts w:cs="Arial"/>
              </w:rPr>
            </w:pPr>
            <w:r>
              <w:t>Goal (22); Policy (3)</w:t>
            </w:r>
          </w:p>
        </w:tc>
      </w:tr>
      <w:tr w:rsidR="00225952" w:rsidRPr="00E84AE9" w:rsidTr="005B5AFE">
        <w:tc>
          <w:tcPr>
            <w:tcW w:w="1015" w:type="dxa"/>
          </w:tcPr>
          <w:p w:rsidR="00225952" w:rsidRPr="00E84AE9" w:rsidRDefault="00225952" w:rsidP="00225952">
            <w:pPr>
              <w:pStyle w:val="SidebarSentence"/>
            </w:pPr>
          </w:p>
        </w:tc>
        <w:tc>
          <w:tcPr>
            <w:tcW w:w="9450" w:type="dxa"/>
          </w:tcPr>
          <w:p w:rsidR="00225952" w:rsidRDefault="00225952" w:rsidP="00225952">
            <w:pPr>
              <w:pStyle w:val="AppendixA"/>
              <w:spacing w:after="120"/>
              <w:ind w:left="331" w:hanging="331"/>
            </w:pPr>
            <w:r>
              <w:t>A. Document the steps which will be taken to contain fugitive dust during site preparation and construction of the project. If site preparation includes demolition activities, provide a copy of any notice of demolition sent to the Florida Department of Environmental Regulation (FDER) as required by the National Emission</w:t>
            </w:r>
          </w:p>
          <w:p w:rsidR="00225952" w:rsidRPr="00D16DAF" w:rsidRDefault="00225952" w:rsidP="00225952">
            <w:pPr>
              <w:pStyle w:val="AppendixA"/>
              <w:rPr>
                <w:i/>
                <w:sz w:val="20"/>
              </w:rPr>
            </w:pPr>
            <w:r w:rsidRPr="00D16DAF">
              <w:rPr>
                <w:i/>
              </w:rPr>
              <w:t>Standards for Asbestos, 40 CFR Part 61, Subpart M.</w:t>
            </w:r>
          </w:p>
        </w:tc>
      </w:tr>
      <w:tr w:rsidR="00225952" w:rsidRPr="00E84AE9" w:rsidTr="005B5AFE">
        <w:tc>
          <w:tcPr>
            <w:tcW w:w="1015" w:type="dxa"/>
          </w:tcPr>
          <w:p w:rsidR="00225952" w:rsidRPr="00E84AE9" w:rsidRDefault="00225952" w:rsidP="00225952">
            <w:pPr>
              <w:pStyle w:val="SidebarSentence"/>
            </w:pPr>
          </w:p>
        </w:tc>
        <w:tc>
          <w:tcPr>
            <w:tcW w:w="9450" w:type="dxa"/>
          </w:tcPr>
          <w:p w:rsidR="00225952" w:rsidRPr="00F26ABE" w:rsidRDefault="00225952" w:rsidP="00225952">
            <w:pPr>
              <w:pStyle w:val="AppendixA"/>
              <w:rPr>
                <w:sz w:val="20"/>
              </w:rPr>
            </w:pPr>
            <w:r>
              <w:t>B. Specify structural or operational measures that will be implemented by the development to minimize air quality impacts (e.g., road widening and other traffic flow improvements on existing roadways, etc.). Any roadway improvements identified here should be consistent with those utilized in Question 21 - Transportation.</w:t>
            </w:r>
          </w:p>
        </w:tc>
      </w:tr>
      <w:tr w:rsidR="00225952" w:rsidRPr="00E84AE9" w:rsidTr="005B5AFE">
        <w:tc>
          <w:tcPr>
            <w:tcW w:w="1015" w:type="dxa"/>
          </w:tcPr>
          <w:p w:rsidR="00225952" w:rsidRPr="00E84AE9" w:rsidRDefault="00225952" w:rsidP="00225952">
            <w:pPr>
              <w:pStyle w:val="SidebarSentence"/>
            </w:pPr>
          </w:p>
        </w:tc>
        <w:tc>
          <w:tcPr>
            <w:tcW w:w="9450" w:type="dxa"/>
          </w:tcPr>
          <w:p w:rsidR="00225952" w:rsidRDefault="00225952" w:rsidP="00225952">
            <w:pPr>
              <w:pStyle w:val="AppendixA"/>
            </w:pPr>
            <w:r>
              <w:t>C. Complete Table 22-1 for all substantially impacted intersections within the study area, as defined in Map J and all parking facilities associated with the project. Using the guidance supplied or approved by FDER, determine if detailed air quality modeling for carbon monoxide (CO) is to be completed for any of the facilities listed in the table.</w:t>
            </w:r>
          </w:p>
          <w:p w:rsidR="00225952" w:rsidRPr="00D16DAF" w:rsidRDefault="00225952" w:rsidP="00225952">
            <w:pPr>
              <w:pStyle w:val="AppendixA"/>
              <w:spacing w:after="0"/>
              <w:ind w:left="331" w:hanging="331"/>
              <w:jc w:val="center"/>
              <w:rPr>
                <w:rFonts w:asciiTheme="majorHAnsi" w:hAnsiTheme="majorHAnsi"/>
              </w:rPr>
            </w:pPr>
            <w:r w:rsidRPr="00D16DAF">
              <w:rPr>
                <w:rFonts w:asciiTheme="majorHAnsi" w:hAnsiTheme="majorHAnsi"/>
              </w:rPr>
              <w:t>Table 22-1</w:t>
            </w:r>
          </w:p>
        </w:tc>
      </w:tr>
      <w:tr w:rsidR="00225952" w:rsidRPr="00E84AE9" w:rsidTr="005B5AFE">
        <w:tc>
          <w:tcPr>
            <w:tcW w:w="1015" w:type="dxa"/>
          </w:tcPr>
          <w:p w:rsidR="00225952" w:rsidRDefault="00225952" w:rsidP="00225952">
            <w:pPr>
              <w:pStyle w:val="SidebarSentence"/>
            </w:pPr>
          </w:p>
          <w:p w:rsidR="00E7413B" w:rsidRDefault="00E7413B" w:rsidP="00225952">
            <w:pPr>
              <w:pStyle w:val="SidebarSentence"/>
            </w:pPr>
          </w:p>
          <w:p w:rsidR="00E7413B" w:rsidRDefault="00E7413B" w:rsidP="00225952">
            <w:pPr>
              <w:pStyle w:val="SidebarSentence"/>
            </w:pPr>
          </w:p>
          <w:p w:rsidR="00E7413B" w:rsidRDefault="00E7413B" w:rsidP="00225952">
            <w:pPr>
              <w:pStyle w:val="SidebarSentence"/>
            </w:pPr>
          </w:p>
          <w:p w:rsidR="00E7413B" w:rsidRDefault="00E7413B" w:rsidP="00225952">
            <w:pPr>
              <w:pStyle w:val="SidebarSentence"/>
            </w:pPr>
          </w:p>
          <w:p w:rsidR="00E7413B" w:rsidRPr="00E84AE9" w:rsidRDefault="00E7413B" w:rsidP="00225952">
            <w:pPr>
              <w:pStyle w:val="SidebarSentence"/>
            </w:pPr>
          </w:p>
        </w:tc>
        <w:tc>
          <w:tcPr>
            <w:tcW w:w="9450" w:type="dxa"/>
          </w:tcPr>
          <w:tbl>
            <w:tblPr>
              <w:tblW w:w="7920"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Layout w:type="fixed"/>
              <w:tblLook w:val="04A0"/>
            </w:tblPr>
            <w:tblGrid>
              <w:gridCol w:w="1584"/>
              <w:gridCol w:w="1584"/>
              <w:gridCol w:w="1584"/>
              <w:gridCol w:w="1584"/>
              <w:gridCol w:w="1584"/>
            </w:tblGrid>
            <w:tr w:rsidR="00225952" w:rsidTr="00492913">
              <w:tc>
                <w:tcPr>
                  <w:tcW w:w="7920" w:type="dxa"/>
                  <w:gridSpan w:val="5"/>
                </w:tcPr>
                <w:p w:rsidR="00225952" w:rsidRPr="007722AD" w:rsidRDefault="00225952" w:rsidP="00225952">
                  <w:pPr>
                    <w:pStyle w:val="AppendixA"/>
                    <w:spacing w:after="0"/>
                    <w:ind w:left="0" w:firstLine="0"/>
                    <w:jc w:val="center"/>
                    <w:rPr>
                      <w:sz w:val="20"/>
                    </w:rPr>
                  </w:pPr>
                  <w:r w:rsidRPr="007722AD">
                    <w:rPr>
                      <w:sz w:val="20"/>
                    </w:rPr>
                    <w:t>PHASE: _______      YEAR OF PHASE: _______      COMPLETION: _______</w:t>
                  </w:r>
                </w:p>
                <w:p w:rsidR="00225952" w:rsidRPr="00D16DAF" w:rsidRDefault="00225952" w:rsidP="00225952">
                  <w:pPr>
                    <w:pStyle w:val="AppendixA"/>
                    <w:spacing w:after="0"/>
                    <w:ind w:left="0" w:firstLine="0"/>
                    <w:rPr>
                      <w:sz w:val="16"/>
                      <w:szCs w:val="16"/>
                    </w:rPr>
                  </w:pPr>
                  <w:r>
                    <w:rPr>
                      <w:sz w:val="16"/>
                      <w:szCs w:val="16"/>
                    </w:rPr>
                    <w:t xml:space="preserve">              </w:t>
                  </w:r>
                  <w:r w:rsidRPr="00D16DAF">
                    <w:rPr>
                      <w:sz w:val="16"/>
                      <w:szCs w:val="16"/>
                    </w:rPr>
                    <w:t>One table for each phase</w:t>
                  </w:r>
                </w:p>
              </w:tc>
            </w:tr>
            <w:tr w:rsidR="00225952" w:rsidTr="00492913">
              <w:tc>
                <w:tcPr>
                  <w:tcW w:w="1584" w:type="dxa"/>
                  <w:vMerge w:val="restart"/>
                  <w:vAlign w:val="center"/>
                </w:tcPr>
                <w:p w:rsidR="00225952" w:rsidRPr="007722AD" w:rsidRDefault="00225952" w:rsidP="00225952">
                  <w:pPr>
                    <w:pStyle w:val="AppendixA"/>
                    <w:spacing w:before="120" w:after="120"/>
                    <w:ind w:left="0" w:firstLine="0"/>
                    <w:jc w:val="center"/>
                    <w:rPr>
                      <w:sz w:val="20"/>
                    </w:rPr>
                  </w:pPr>
                  <w:r w:rsidRPr="007722AD">
                    <w:rPr>
                      <w:sz w:val="20"/>
                    </w:rPr>
                    <w:t>Source Type (1)</w:t>
                  </w:r>
                </w:p>
              </w:tc>
              <w:tc>
                <w:tcPr>
                  <w:tcW w:w="3168" w:type="dxa"/>
                  <w:gridSpan w:val="2"/>
                  <w:vAlign w:val="center"/>
                </w:tcPr>
                <w:p w:rsidR="00225952" w:rsidRPr="007722AD" w:rsidRDefault="00225952" w:rsidP="00225952">
                  <w:pPr>
                    <w:pStyle w:val="AppendixA"/>
                    <w:spacing w:before="120" w:after="120"/>
                    <w:ind w:left="0" w:firstLine="0"/>
                    <w:jc w:val="center"/>
                    <w:rPr>
                      <w:sz w:val="20"/>
                    </w:rPr>
                  </w:pPr>
                  <w:r w:rsidRPr="007722AD">
                    <w:rPr>
                      <w:sz w:val="20"/>
                    </w:rPr>
                    <w:t>Peak-Hour Traffic</w:t>
                  </w:r>
                </w:p>
              </w:tc>
              <w:tc>
                <w:tcPr>
                  <w:tcW w:w="3168" w:type="dxa"/>
                  <w:gridSpan w:val="2"/>
                  <w:vAlign w:val="center"/>
                </w:tcPr>
                <w:p w:rsidR="00225952" w:rsidRPr="007722AD" w:rsidRDefault="00225952" w:rsidP="00225952">
                  <w:pPr>
                    <w:pStyle w:val="AppendixA"/>
                    <w:spacing w:before="120" w:after="120"/>
                    <w:ind w:left="0" w:firstLine="0"/>
                    <w:jc w:val="center"/>
                    <w:rPr>
                      <w:sz w:val="20"/>
                    </w:rPr>
                  </w:pPr>
                  <w:r w:rsidRPr="007722AD">
                    <w:rPr>
                      <w:sz w:val="20"/>
                    </w:rPr>
                    <w:t>Maximum Hourly Service Volume (2)</w:t>
                  </w:r>
                </w:p>
              </w:tc>
            </w:tr>
            <w:tr w:rsidR="00225952" w:rsidTr="00492913">
              <w:tc>
                <w:tcPr>
                  <w:tcW w:w="1584" w:type="dxa"/>
                  <w:vMerge/>
                  <w:vAlign w:val="center"/>
                </w:tcPr>
                <w:p w:rsidR="00225952" w:rsidRPr="007722AD" w:rsidRDefault="00225952" w:rsidP="00225952">
                  <w:pPr>
                    <w:pStyle w:val="AppendixA"/>
                    <w:spacing w:before="120" w:after="120"/>
                    <w:ind w:left="0" w:firstLine="0"/>
                    <w:jc w:val="center"/>
                    <w:rPr>
                      <w:sz w:val="20"/>
                    </w:rPr>
                  </w:pPr>
                </w:p>
              </w:tc>
              <w:tc>
                <w:tcPr>
                  <w:tcW w:w="1584" w:type="dxa"/>
                  <w:vAlign w:val="center"/>
                </w:tcPr>
                <w:p w:rsidR="00225952" w:rsidRPr="007722AD" w:rsidRDefault="00225952" w:rsidP="00225952">
                  <w:pPr>
                    <w:pStyle w:val="AppendixA"/>
                    <w:spacing w:before="120" w:after="120"/>
                    <w:ind w:left="0" w:firstLine="0"/>
                    <w:jc w:val="center"/>
                    <w:rPr>
                      <w:sz w:val="20"/>
                    </w:rPr>
                  </w:pPr>
                  <w:r w:rsidRPr="007722AD">
                    <w:rPr>
                      <w:sz w:val="20"/>
                    </w:rPr>
                    <w:t>Projected</w:t>
                  </w:r>
                </w:p>
              </w:tc>
              <w:tc>
                <w:tcPr>
                  <w:tcW w:w="1584" w:type="dxa"/>
                  <w:vAlign w:val="center"/>
                </w:tcPr>
                <w:p w:rsidR="00225952" w:rsidRPr="007722AD" w:rsidRDefault="00225952" w:rsidP="00225952">
                  <w:pPr>
                    <w:pStyle w:val="AppendixA"/>
                    <w:spacing w:before="120" w:after="120"/>
                    <w:ind w:left="0" w:firstLine="0"/>
                    <w:jc w:val="center"/>
                    <w:rPr>
                      <w:sz w:val="20"/>
                    </w:rPr>
                  </w:pPr>
                  <w:r w:rsidRPr="007722AD">
                    <w:rPr>
                      <w:sz w:val="20"/>
                    </w:rPr>
                    <w:t>Existing</w:t>
                  </w:r>
                </w:p>
              </w:tc>
              <w:tc>
                <w:tcPr>
                  <w:tcW w:w="1584" w:type="dxa"/>
                  <w:vAlign w:val="center"/>
                </w:tcPr>
                <w:p w:rsidR="00225952" w:rsidRPr="007722AD" w:rsidRDefault="00225952" w:rsidP="00225952">
                  <w:pPr>
                    <w:pStyle w:val="AppendixA"/>
                    <w:spacing w:before="120" w:after="120"/>
                    <w:ind w:left="0" w:firstLine="0"/>
                    <w:jc w:val="center"/>
                    <w:rPr>
                      <w:sz w:val="20"/>
                    </w:rPr>
                  </w:pPr>
                  <w:r w:rsidRPr="007722AD">
                    <w:rPr>
                      <w:sz w:val="20"/>
                    </w:rPr>
                    <w:t>Projected</w:t>
                  </w:r>
                </w:p>
              </w:tc>
              <w:tc>
                <w:tcPr>
                  <w:tcW w:w="1584" w:type="dxa"/>
                  <w:vAlign w:val="center"/>
                </w:tcPr>
                <w:p w:rsidR="00225952" w:rsidRPr="007722AD" w:rsidRDefault="00225952" w:rsidP="00225952">
                  <w:pPr>
                    <w:pStyle w:val="AppendixA"/>
                    <w:spacing w:before="120" w:after="120"/>
                    <w:ind w:left="0" w:firstLine="0"/>
                    <w:jc w:val="center"/>
                    <w:rPr>
                      <w:sz w:val="20"/>
                    </w:rPr>
                  </w:pPr>
                  <w:r w:rsidRPr="007722AD">
                    <w:rPr>
                      <w:sz w:val="20"/>
                    </w:rPr>
                    <w:t>Existing</w:t>
                  </w:r>
                </w:p>
              </w:tc>
            </w:tr>
            <w:tr w:rsidR="00225952" w:rsidTr="00492913">
              <w:tc>
                <w:tcPr>
                  <w:tcW w:w="1584" w:type="dxa"/>
                  <w:vAlign w:val="center"/>
                </w:tcPr>
                <w:p w:rsidR="00225952" w:rsidRDefault="00225952" w:rsidP="00225952">
                  <w:pPr>
                    <w:pStyle w:val="AppendixA"/>
                    <w:spacing w:before="120" w:after="120"/>
                    <w:ind w:left="0" w:firstLine="0"/>
                    <w:jc w:val="center"/>
                  </w:pPr>
                </w:p>
              </w:tc>
              <w:tc>
                <w:tcPr>
                  <w:tcW w:w="1584" w:type="dxa"/>
                  <w:vAlign w:val="center"/>
                </w:tcPr>
                <w:p w:rsidR="00225952" w:rsidRDefault="00225952" w:rsidP="00225952">
                  <w:pPr>
                    <w:pStyle w:val="AppendixA"/>
                    <w:spacing w:before="120" w:after="120"/>
                    <w:ind w:left="0" w:firstLine="0"/>
                    <w:jc w:val="center"/>
                  </w:pPr>
                </w:p>
              </w:tc>
              <w:tc>
                <w:tcPr>
                  <w:tcW w:w="1584" w:type="dxa"/>
                  <w:vAlign w:val="center"/>
                </w:tcPr>
                <w:p w:rsidR="00225952" w:rsidRDefault="00225952" w:rsidP="00225952">
                  <w:pPr>
                    <w:pStyle w:val="AppendixA"/>
                    <w:spacing w:before="120" w:after="120"/>
                    <w:ind w:left="0" w:firstLine="0"/>
                    <w:jc w:val="center"/>
                  </w:pPr>
                </w:p>
              </w:tc>
              <w:tc>
                <w:tcPr>
                  <w:tcW w:w="1584" w:type="dxa"/>
                  <w:vAlign w:val="center"/>
                </w:tcPr>
                <w:p w:rsidR="00225952" w:rsidRDefault="00225952" w:rsidP="00225952">
                  <w:pPr>
                    <w:pStyle w:val="AppendixA"/>
                    <w:spacing w:before="120" w:after="120"/>
                    <w:ind w:left="0" w:firstLine="0"/>
                    <w:jc w:val="center"/>
                  </w:pPr>
                </w:p>
              </w:tc>
              <w:tc>
                <w:tcPr>
                  <w:tcW w:w="1584" w:type="dxa"/>
                  <w:vAlign w:val="center"/>
                </w:tcPr>
                <w:p w:rsidR="00225952" w:rsidRDefault="00225952" w:rsidP="00225952">
                  <w:pPr>
                    <w:pStyle w:val="AppendixA"/>
                    <w:spacing w:before="120" w:after="120"/>
                    <w:ind w:left="0" w:firstLine="0"/>
                    <w:jc w:val="center"/>
                  </w:pPr>
                </w:p>
              </w:tc>
            </w:tr>
          </w:tbl>
          <w:p w:rsidR="00225952" w:rsidRDefault="00225952" w:rsidP="00225952">
            <w:pPr>
              <w:pStyle w:val="AppendixA"/>
            </w:pPr>
          </w:p>
        </w:tc>
      </w:tr>
      <w:tr w:rsidR="00225952" w:rsidRPr="00E84AE9" w:rsidTr="005B5AFE">
        <w:tc>
          <w:tcPr>
            <w:tcW w:w="1015" w:type="dxa"/>
          </w:tcPr>
          <w:p w:rsidR="00225952" w:rsidRPr="00E84AE9" w:rsidRDefault="00225952" w:rsidP="00225952">
            <w:pPr>
              <w:pStyle w:val="SidebarSentence"/>
            </w:pPr>
          </w:p>
        </w:tc>
        <w:tc>
          <w:tcPr>
            <w:tcW w:w="9450" w:type="dxa"/>
          </w:tcPr>
          <w:p w:rsidR="00225952" w:rsidRPr="00D16DAF" w:rsidRDefault="00225952" w:rsidP="00225952">
            <w:pPr>
              <w:pStyle w:val="AppendixA"/>
              <w:spacing w:after="0"/>
              <w:ind w:left="331" w:hanging="331"/>
              <w:rPr>
                <w:sz w:val="18"/>
              </w:rPr>
            </w:pPr>
            <w:r w:rsidRPr="00D16DAF">
              <w:rPr>
                <w:sz w:val="18"/>
              </w:rPr>
              <w:t xml:space="preserve">(1) </w:t>
            </w:r>
            <w:r w:rsidRPr="00D16DAF">
              <w:rPr>
                <w:sz w:val="18"/>
              </w:rPr>
              <w:tab/>
              <w:t>Specify source type as either intersection, surface parking area or parking deck. For each intersection, provide an approach volume for each link. For each parking facility, provide the total (incoming and outgoing) volume.</w:t>
            </w:r>
          </w:p>
          <w:p w:rsidR="00225952" w:rsidRDefault="00225952" w:rsidP="00225952">
            <w:pPr>
              <w:pStyle w:val="AppendixA"/>
            </w:pPr>
            <w:r w:rsidRPr="00D16DAF">
              <w:rPr>
                <w:sz w:val="18"/>
              </w:rPr>
              <w:t xml:space="preserve">(2) </w:t>
            </w:r>
            <w:r w:rsidRPr="00D16DAF">
              <w:rPr>
                <w:sz w:val="18"/>
              </w:rPr>
              <w:tab/>
              <w:t>These should be compatible with maximum service volumes utilized in Question 21 - Transportation.</w:t>
            </w:r>
          </w:p>
        </w:tc>
      </w:tr>
      <w:tr w:rsidR="00225952" w:rsidRPr="00E84AE9" w:rsidTr="005B5AFE">
        <w:tc>
          <w:tcPr>
            <w:tcW w:w="1015" w:type="dxa"/>
          </w:tcPr>
          <w:p w:rsidR="00225952" w:rsidRPr="00E84AE9" w:rsidRDefault="00225952" w:rsidP="00225952">
            <w:pPr>
              <w:pStyle w:val="SidebarSentence"/>
            </w:pPr>
          </w:p>
        </w:tc>
        <w:tc>
          <w:tcPr>
            <w:tcW w:w="9450" w:type="dxa"/>
          </w:tcPr>
          <w:p w:rsidR="00225952" w:rsidRPr="00F26ABE" w:rsidRDefault="00225952" w:rsidP="00225952">
            <w:pPr>
              <w:pStyle w:val="AppendixA"/>
              <w:rPr>
                <w:sz w:val="20"/>
              </w:rPr>
            </w:pPr>
            <w:r>
              <w:t xml:space="preserve">D. </w:t>
            </w:r>
            <w:r>
              <w:tab/>
              <w:t xml:space="preserve">If detailed modeling is required, estimate the worst-case, one-hour and eight-hour CO concentrations expected for each phase through buildout for comparison with the state and federal ambient air quality standards. Utilize methodology supplied or approved by FDER for making such estimates. Submit all air quality modeling input and output data along with associated calculations to support the modeling and explain any deviations from guidance. Provide drawings of site geometry and coordinate information for each area modeled. Show the location of the sources and receptor sites. Modeling assumptions should consider federal, state and local government programmed link and intersection improvements </w:t>
            </w:r>
            <w:r>
              <w:lastRenderedPageBreak/>
              <w:t>with respect to project phasing. Any roadway improvements utilized in the model should be consistent with those used in Question 21 - Transportation. Provide verification of any assumptions in the modeling which consider such programmed improvements. It is recommended that air quality analyses be completed concurrently and in conjunction with the traffic analyses for the project.</w:t>
            </w:r>
          </w:p>
        </w:tc>
      </w:tr>
      <w:tr w:rsidR="00225952" w:rsidRPr="00E84AE9" w:rsidTr="005B5AFE">
        <w:tc>
          <w:tcPr>
            <w:tcW w:w="1015" w:type="dxa"/>
          </w:tcPr>
          <w:p w:rsidR="00225952" w:rsidRPr="00E84AE9" w:rsidRDefault="00225952" w:rsidP="00225952">
            <w:pPr>
              <w:pStyle w:val="SidebarSentence"/>
            </w:pPr>
          </w:p>
        </w:tc>
        <w:tc>
          <w:tcPr>
            <w:tcW w:w="9450" w:type="dxa"/>
          </w:tcPr>
          <w:p w:rsidR="00225952" w:rsidRPr="00F26ABE" w:rsidRDefault="00225952" w:rsidP="00225952">
            <w:pPr>
              <w:pStyle w:val="AppendixA"/>
              <w:rPr>
                <w:sz w:val="20"/>
              </w:rPr>
            </w:pPr>
            <w:r>
              <w:t xml:space="preserve">E. </w:t>
            </w:r>
            <w:r>
              <w:tab/>
              <w:t>If initial detailed modeling shows projected exceedance(s) of ambient air quality standards, identify appropriate mitigation measures and provide assurances that appropriate mitigating measures will be employed so as to maintain compliance with air quality standards. Submit further modeling demonstrating the adequacy of such measures.</w:t>
            </w:r>
          </w:p>
        </w:tc>
      </w:tr>
    </w:tbl>
    <w:p w:rsidR="00225952" w:rsidRDefault="00225952" w:rsidP="00225952">
      <w:pPr>
        <w:sectPr w:rsidR="00225952" w:rsidSect="00832911">
          <w:headerReference w:type="default" r:id="rId410"/>
          <w:type w:val="continuous"/>
          <w:pgSz w:w="12240" w:h="15840"/>
          <w:pgMar w:top="1440" w:right="720" w:bottom="1440" w:left="1152" w:header="720" w:footer="720" w:gutter="0"/>
          <w:cols w:space="720"/>
          <w:docGrid w:linePitch="360"/>
        </w:sectPr>
      </w:pPr>
      <w:bookmarkStart w:id="366" w:name="_Toc260316466"/>
    </w:p>
    <w:p w:rsidR="00225952" w:rsidRDefault="00225952" w:rsidP="00225952">
      <w:pPr>
        <w:pStyle w:val="Heading1"/>
        <w:sectPr w:rsidR="00225952" w:rsidSect="00832911">
          <w:type w:val="continuous"/>
          <w:pgSz w:w="12240" w:h="15840"/>
          <w:pgMar w:top="1440" w:right="720" w:bottom="1440" w:left="1152" w:header="720" w:footer="720" w:gutter="0"/>
          <w:cols w:space="720"/>
          <w:docGrid w:linePitch="360"/>
        </w:sectPr>
      </w:pPr>
    </w:p>
    <w:p w:rsidR="00225952" w:rsidRDefault="00225952" w:rsidP="00225952">
      <w:pPr>
        <w:pStyle w:val="Heading1"/>
        <w:sectPr w:rsidR="00225952" w:rsidSect="00832911">
          <w:type w:val="continuous"/>
          <w:pgSz w:w="12240" w:h="15840"/>
          <w:pgMar w:top="1440" w:right="720" w:bottom="1440" w:left="1152" w:header="720" w:footer="720" w:gutter="0"/>
          <w:cols w:space="720"/>
          <w:docGrid w:linePitch="360"/>
        </w:sectPr>
      </w:pPr>
    </w:p>
    <w:tbl>
      <w:tblPr>
        <w:tblW w:w="10465" w:type="dxa"/>
        <w:tblLayout w:type="fixed"/>
        <w:tblCellMar>
          <w:left w:w="115" w:type="dxa"/>
          <w:right w:w="115" w:type="dxa"/>
        </w:tblCellMar>
        <w:tblLook w:val="0000"/>
      </w:tblPr>
      <w:tblGrid>
        <w:gridCol w:w="2545"/>
        <w:gridCol w:w="7920"/>
      </w:tblGrid>
      <w:tr w:rsidR="00225952" w:rsidRPr="00E84AE9" w:rsidTr="005B5AFE">
        <w:tc>
          <w:tcPr>
            <w:tcW w:w="10465" w:type="dxa"/>
            <w:gridSpan w:val="2"/>
          </w:tcPr>
          <w:p w:rsidR="00225952" w:rsidRPr="00282A71" w:rsidRDefault="009A5DBF" w:rsidP="00F77AF3">
            <w:pPr>
              <w:pStyle w:val="Heading1"/>
            </w:pPr>
            <w:bookmarkStart w:id="367" w:name="APXC"/>
            <w:bookmarkStart w:id="368" w:name="_Toc264274194"/>
            <w:bookmarkEnd w:id="367"/>
            <w:r>
              <w:lastRenderedPageBreak/>
              <w:t xml:space="preserve">APPENDIX </w:t>
            </w:r>
            <w:r w:rsidR="00225952">
              <w:t xml:space="preserve">C – </w:t>
            </w:r>
            <w:r w:rsidR="00F77AF3">
              <w:rPr>
                <w:b w:val="0"/>
              </w:rPr>
              <w:t>Generic</w:t>
            </w:r>
            <w:r w:rsidR="00225952" w:rsidRPr="00B96778">
              <w:rPr>
                <w:b w:val="0"/>
              </w:rPr>
              <w:t xml:space="preserve"> Transportation Impact Methodology</w:t>
            </w:r>
            <w:bookmarkEnd w:id="366"/>
            <w:bookmarkEnd w:id="368"/>
          </w:p>
        </w:tc>
      </w:tr>
      <w:tr w:rsidR="00225952" w:rsidRPr="00E84AE9" w:rsidTr="005B5AFE">
        <w:tc>
          <w:tcPr>
            <w:tcW w:w="10465" w:type="dxa"/>
            <w:gridSpan w:val="2"/>
          </w:tcPr>
          <w:p w:rsidR="00225952" w:rsidRPr="00282A71" w:rsidRDefault="00225952" w:rsidP="00225952">
            <w:pPr>
              <w:pStyle w:val="Heading2"/>
            </w:pPr>
            <w:bookmarkStart w:id="369" w:name="_Toc263521893"/>
            <w:bookmarkStart w:id="370" w:name="_Toc263596064"/>
            <w:bookmarkStart w:id="371" w:name="_Toc263613639"/>
            <w:bookmarkStart w:id="372" w:name="_Toc264274195"/>
            <w:r w:rsidRPr="00F12E04">
              <w:t>FDOT District T</w:t>
            </w:r>
            <w:r>
              <w:t xml:space="preserve">wo – </w:t>
            </w:r>
            <w:r w:rsidRPr="00282A71">
              <w:rPr>
                <w:b w:val="0"/>
              </w:rPr>
              <w:t>Generic Transportation Impact Analysis Methodology</w:t>
            </w:r>
            <w:bookmarkEnd w:id="369"/>
            <w:bookmarkEnd w:id="370"/>
            <w:bookmarkEnd w:id="371"/>
            <w:bookmarkEnd w:id="372"/>
          </w:p>
        </w:tc>
      </w:tr>
      <w:tr w:rsidR="00225952" w:rsidRPr="00E84AE9" w:rsidTr="005B5AFE">
        <w:tc>
          <w:tcPr>
            <w:tcW w:w="2545" w:type="dxa"/>
          </w:tcPr>
          <w:p w:rsidR="00225952" w:rsidRPr="00822D7A" w:rsidRDefault="00225952" w:rsidP="00225952">
            <w:pPr>
              <w:pStyle w:val="Heading3"/>
            </w:pPr>
            <w:bookmarkStart w:id="373" w:name="_Toc263521894"/>
            <w:bookmarkStart w:id="374" w:name="_Toc263596065"/>
            <w:bookmarkStart w:id="375" w:name="_Toc263613640"/>
            <w:bookmarkStart w:id="376" w:name="_Toc264274196"/>
            <w:r w:rsidRPr="00822D7A">
              <w:t>Question 21 – Transportation</w:t>
            </w:r>
            <w:bookmarkEnd w:id="373"/>
            <w:bookmarkEnd w:id="374"/>
            <w:bookmarkEnd w:id="375"/>
            <w:bookmarkEnd w:id="376"/>
            <w:r w:rsidRPr="00822D7A">
              <w:t xml:space="preserve"> </w:t>
            </w:r>
          </w:p>
          <w:p w:rsidR="00225952" w:rsidRPr="00E84AE9" w:rsidRDefault="00225952" w:rsidP="00225952">
            <w:pPr>
              <w:pStyle w:val="SidebarSentence"/>
            </w:pPr>
          </w:p>
        </w:tc>
        <w:tc>
          <w:tcPr>
            <w:tcW w:w="7920" w:type="dxa"/>
          </w:tcPr>
          <w:p w:rsidR="00225952" w:rsidRPr="007722AD" w:rsidRDefault="00225952" w:rsidP="00225952">
            <w:pPr>
              <w:pStyle w:val="AppText"/>
            </w:pPr>
            <w:r w:rsidRPr="007722AD">
              <w:t xml:space="preserve">All of the information in Question 21 will be provided unless the applicant has been specifically instructed in writing that the information does not need to be submitted.  </w:t>
            </w:r>
          </w:p>
          <w:p w:rsidR="00225952" w:rsidRPr="00282A71" w:rsidRDefault="00225952" w:rsidP="00225952">
            <w:pPr>
              <w:spacing w:after="120" w:line="264" w:lineRule="auto"/>
            </w:pPr>
            <w:r w:rsidRPr="007722AD">
              <w:rPr>
                <w:sz w:val="21"/>
                <w:szCs w:val="21"/>
              </w:rPr>
              <w:t>FDOT District Two does not support the use of a Land Use Trip Matrix.</w:t>
            </w:r>
          </w:p>
        </w:tc>
      </w:tr>
      <w:tr w:rsidR="00225952" w:rsidRPr="00E84AE9" w:rsidTr="005B5AFE">
        <w:tc>
          <w:tcPr>
            <w:tcW w:w="10465" w:type="dxa"/>
            <w:gridSpan w:val="2"/>
          </w:tcPr>
          <w:p w:rsidR="00225952" w:rsidRPr="00282A71" w:rsidRDefault="00225952" w:rsidP="00225952">
            <w:pPr>
              <w:pStyle w:val="Heading2"/>
            </w:pPr>
            <w:bookmarkStart w:id="377" w:name="_Toc263521895"/>
            <w:bookmarkStart w:id="378" w:name="_Toc263596066"/>
            <w:bookmarkStart w:id="379" w:name="_Toc263613641"/>
            <w:bookmarkStart w:id="380" w:name="_Toc264274197"/>
            <w:r>
              <w:t>I. Project Trip Generation</w:t>
            </w:r>
            <w:bookmarkEnd w:id="377"/>
            <w:bookmarkEnd w:id="378"/>
            <w:bookmarkEnd w:id="379"/>
            <w:bookmarkEnd w:id="380"/>
          </w:p>
        </w:tc>
      </w:tr>
      <w:tr w:rsidR="00225952" w:rsidRPr="00E84AE9" w:rsidTr="005B5AFE">
        <w:tc>
          <w:tcPr>
            <w:tcW w:w="2545" w:type="dxa"/>
          </w:tcPr>
          <w:p w:rsidR="00225952" w:rsidRPr="00822D7A" w:rsidRDefault="00225952" w:rsidP="00225952">
            <w:pPr>
              <w:pStyle w:val="Heading4"/>
            </w:pPr>
            <w:r w:rsidRPr="00822D7A">
              <w:t>Trip Generation</w:t>
            </w:r>
          </w:p>
          <w:p w:rsidR="00225952" w:rsidRPr="00E84AE9" w:rsidRDefault="00225952" w:rsidP="00225952">
            <w:pPr>
              <w:pStyle w:val="SidebarSentence"/>
            </w:pPr>
          </w:p>
        </w:tc>
        <w:tc>
          <w:tcPr>
            <w:tcW w:w="7920" w:type="dxa"/>
          </w:tcPr>
          <w:p w:rsidR="00225952" w:rsidRPr="00282A71" w:rsidRDefault="00225952" w:rsidP="008B4377">
            <w:pPr>
              <w:pStyle w:val="AppText"/>
              <w:jc w:val="left"/>
            </w:pPr>
            <w:r w:rsidRPr="00822D7A">
              <w:t xml:space="preserve">The </w:t>
            </w:r>
            <w:r>
              <w:t>a</w:t>
            </w:r>
            <w:r w:rsidRPr="00822D7A">
              <w:t xml:space="preserve">pplicant will use the latest edition of the </w:t>
            </w:r>
            <w:r w:rsidRPr="00616F03">
              <w:rPr>
                <w:i/>
              </w:rPr>
              <w:t>Institute of Transportation Engineers (ITE) Trip Generation Handbook</w:t>
            </w:r>
            <w:r>
              <w:t xml:space="preserve"> </w:t>
            </w:r>
            <w:r w:rsidRPr="00822D7A">
              <w:t xml:space="preserve">and will provide all necessary input data for agency review and verification purposes.  The </w:t>
            </w:r>
            <w:r>
              <w:t>a</w:t>
            </w:r>
            <w:r w:rsidRPr="00822D7A">
              <w:t xml:space="preserve">pplicant will provide both daily and </w:t>
            </w:r>
            <w:r>
              <w:t xml:space="preserve">PM </w:t>
            </w:r>
            <w:r w:rsidRPr="00822D7A">
              <w:t>peak hour trip generation estimates by ITE land use and by development phase.  The applicant shall also provide PM peak hour trip generation by ITE land use and by development phase.  If a school is to be proposed, the applicant shall also provide AM peak hour trip generation by ITE land use and by development phase.</w:t>
            </w:r>
          </w:p>
        </w:tc>
      </w:tr>
      <w:tr w:rsidR="00225952" w:rsidRPr="00E84AE9" w:rsidTr="005B5AFE">
        <w:tc>
          <w:tcPr>
            <w:tcW w:w="2545" w:type="dxa"/>
          </w:tcPr>
          <w:p w:rsidR="00225952" w:rsidRPr="00822D7A" w:rsidRDefault="00225952" w:rsidP="00225952">
            <w:pPr>
              <w:pStyle w:val="Heading4"/>
            </w:pPr>
            <w:r w:rsidRPr="00822D7A">
              <w:t>Internal Capture Estimation</w:t>
            </w:r>
          </w:p>
          <w:p w:rsidR="00225952" w:rsidRPr="00E84AE9" w:rsidRDefault="00225952" w:rsidP="00225952">
            <w:pPr>
              <w:pStyle w:val="SidebarSentence"/>
            </w:pPr>
          </w:p>
        </w:tc>
        <w:tc>
          <w:tcPr>
            <w:tcW w:w="7920" w:type="dxa"/>
          </w:tcPr>
          <w:p w:rsidR="00225952" w:rsidRPr="00282A71" w:rsidRDefault="00225952" w:rsidP="008B4377">
            <w:pPr>
              <w:pStyle w:val="AppText"/>
              <w:jc w:val="left"/>
            </w:pPr>
            <w:r w:rsidRPr="00822D7A">
              <w:t xml:space="preserve">The determination of internal capture rates will be guided by </w:t>
            </w:r>
            <w:r w:rsidRPr="00616F03">
              <w:rPr>
                <w:i/>
              </w:rPr>
              <w:t>ITE Trip Generation Handbook</w:t>
            </w:r>
            <w:r w:rsidRPr="00822D7A">
              <w:t xml:space="preserve">, latest edition.  These rates shall not exceed the guidelines specified in the </w:t>
            </w:r>
            <w:r w:rsidRPr="00616F03">
              <w:rPr>
                <w:i/>
              </w:rPr>
              <w:t>FDOT Site Impact Handbook</w:t>
            </w:r>
            <w:r w:rsidRPr="00822D7A">
              <w:t xml:space="preserve"> and not exceed a 25 percent maximum of total trip generation.  For purposes of the internal capture analysis, the Applicant will combine all like uses into retail, office and residential.  </w:t>
            </w:r>
          </w:p>
          <w:p w:rsidR="00225952" w:rsidRPr="00822D7A" w:rsidRDefault="00225952" w:rsidP="008B4377">
            <w:pPr>
              <w:pStyle w:val="AppText"/>
              <w:jc w:val="left"/>
            </w:pPr>
            <w:r w:rsidRPr="00822D7A">
              <w:t xml:space="preserve">Internal capture trips will be balanced using the latest </w:t>
            </w:r>
            <w:r w:rsidRPr="00616F03">
              <w:rPr>
                <w:i/>
              </w:rPr>
              <w:t>ITE Trip Generation Handbook</w:t>
            </w:r>
            <w:r w:rsidRPr="00822D7A">
              <w:t xml:space="preserve"> and supporting calculation tables will be provided for review.   Also, capture rates will be determined by phase and consistent with the trip generation table.  Other internal capture considerations include the following</w:t>
            </w:r>
            <w:r>
              <w:t>:</w:t>
            </w:r>
          </w:p>
          <w:p w:rsidR="00225952" w:rsidRPr="00822D7A" w:rsidRDefault="00225952" w:rsidP="008B4377">
            <w:pPr>
              <w:pStyle w:val="ListParagraph"/>
              <w:numPr>
                <w:ilvl w:val="1"/>
                <w:numId w:val="29"/>
              </w:numPr>
              <w:tabs>
                <w:tab w:val="left" w:pos="720"/>
                <w:tab w:val="left" w:pos="1440"/>
              </w:tabs>
              <w:spacing w:after="0" w:line="240" w:lineRule="auto"/>
              <w:ind w:left="1152"/>
              <w:jc w:val="left"/>
              <w:rPr>
                <w:spacing w:val="-5"/>
                <w:szCs w:val="24"/>
              </w:rPr>
            </w:pPr>
            <w:r w:rsidRPr="00822D7A">
              <w:rPr>
                <w:spacing w:val="-5"/>
                <w:szCs w:val="24"/>
              </w:rPr>
              <w:t>Residential and employment centers should be compatible (with respect to income levels) to allow internal capture.</w:t>
            </w:r>
          </w:p>
          <w:p w:rsidR="00225952" w:rsidRPr="00822D7A" w:rsidRDefault="00225952" w:rsidP="008B4377">
            <w:pPr>
              <w:pStyle w:val="ListParagraph"/>
              <w:numPr>
                <w:ilvl w:val="1"/>
                <w:numId w:val="29"/>
              </w:numPr>
              <w:tabs>
                <w:tab w:val="left" w:pos="720"/>
                <w:tab w:val="left" w:pos="1440"/>
              </w:tabs>
              <w:spacing w:after="0" w:line="240" w:lineRule="auto"/>
              <w:ind w:left="1152"/>
              <w:jc w:val="left"/>
              <w:rPr>
                <w:spacing w:val="-5"/>
                <w:szCs w:val="24"/>
              </w:rPr>
            </w:pPr>
            <w:r w:rsidRPr="00822D7A">
              <w:rPr>
                <w:spacing w:val="-5"/>
                <w:szCs w:val="24"/>
              </w:rPr>
              <w:t>Job estimations in other parts of the application shall match up to the employment land use proposed in Question 21.</w:t>
            </w:r>
          </w:p>
          <w:p w:rsidR="00225952" w:rsidRPr="00822D7A" w:rsidRDefault="00225952" w:rsidP="008B4377">
            <w:pPr>
              <w:pStyle w:val="ListParagraph"/>
              <w:numPr>
                <w:ilvl w:val="1"/>
                <w:numId w:val="29"/>
              </w:numPr>
              <w:tabs>
                <w:tab w:val="left" w:pos="720"/>
                <w:tab w:val="left" w:pos="1440"/>
              </w:tabs>
              <w:spacing w:after="0" w:line="240" w:lineRule="auto"/>
              <w:ind w:left="1152"/>
              <w:jc w:val="left"/>
              <w:rPr>
                <w:spacing w:val="-5"/>
                <w:szCs w:val="24"/>
              </w:rPr>
            </w:pPr>
            <w:r w:rsidRPr="00822D7A">
              <w:rPr>
                <w:spacing w:val="-5"/>
                <w:szCs w:val="24"/>
              </w:rPr>
              <w:t>On-site employment may not attract work trips from on-site homes for several years (if applicable).</w:t>
            </w:r>
          </w:p>
          <w:p w:rsidR="00225952" w:rsidRPr="00822D7A" w:rsidRDefault="00225952" w:rsidP="008B4377">
            <w:pPr>
              <w:pStyle w:val="ListParagraph"/>
              <w:numPr>
                <w:ilvl w:val="1"/>
                <w:numId w:val="29"/>
              </w:numPr>
              <w:tabs>
                <w:tab w:val="left" w:pos="720"/>
                <w:tab w:val="left" w:pos="1440"/>
              </w:tabs>
              <w:spacing w:after="0" w:line="240" w:lineRule="auto"/>
              <w:ind w:left="1152"/>
              <w:jc w:val="left"/>
              <w:rPr>
                <w:spacing w:val="-5"/>
                <w:szCs w:val="24"/>
              </w:rPr>
            </w:pPr>
            <w:r w:rsidRPr="00822D7A">
              <w:rPr>
                <w:spacing w:val="-5"/>
                <w:szCs w:val="24"/>
              </w:rPr>
              <w:t>Mixed use development should be constructed to optimize internal capture at each phase of build-out.</w:t>
            </w:r>
          </w:p>
          <w:p w:rsidR="00225952" w:rsidRPr="00822D7A" w:rsidRDefault="00225952" w:rsidP="008B4377">
            <w:pPr>
              <w:pStyle w:val="ListParagraph"/>
              <w:numPr>
                <w:ilvl w:val="1"/>
                <w:numId w:val="29"/>
              </w:numPr>
              <w:tabs>
                <w:tab w:val="left" w:pos="720"/>
                <w:tab w:val="left" w:pos="1440"/>
              </w:tabs>
              <w:spacing w:after="0" w:line="240" w:lineRule="auto"/>
              <w:ind w:left="1152"/>
              <w:jc w:val="left"/>
              <w:rPr>
                <w:spacing w:val="-5"/>
                <w:szCs w:val="24"/>
              </w:rPr>
            </w:pPr>
            <w:r w:rsidRPr="00822D7A">
              <w:rPr>
                <w:spacing w:val="-5"/>
                <w:szCs w:val="24"/>
              </w:rPr>
              <w:t>Internal circulation roadways must be in place to accommodate internal capture trips.</w:t>
            </w:r>
          </w:p>
          <w:p w:rsidR="00225952" w:rsidRPr="00822D7A" w:rsidRDefault="00225952" w:rsidP="008B4377">
            <w:pPr>
              <w:pStyle w:val="ListParagraph"/>
              <w:numPr>
                <w:ilvl w:val="1"/>
                <w:numId w:val="29"/>
              </w:numPr>
              <w:tabs>
                <w:tab w:val="left" w:pos="720"/>
                <w:tab w:val="left" w:pos="1440"/>
              </w:tabs>
              <w:spacing w:after="120" w:line="240" w:lineRule="auto"/>
              <w:ind w:left="1152"/>
              <w:jc w:val="left"/>
              <w:rPr>
                <w:spacing w:val="-5"/>
                <w:szCs w:val="24"/>
              </w:rPr>
            </w:pPr>
            <w:r w:rsidRPr="00822D7A">
              <w:rPr>
                <w:spacing w:val="-5"/>
                <w:szCs w:val="24"/>
              </w:rPr>
              <w:t>Trips that cross or use public roads are not internal capture trips.</w:t>
            </w:r>
          </w:p>
          <w:p w:rsidR="00225952" w:rsidRPr="00D81EF0" w:rsidRDefault="00225952" w:rsidP="008B4377">
            <w:pPr>
              <w:pStyle w:val="AppText"/>
              <w:jc w:val="left"/>
            </w:pPr>
            <w:r w:rsidRPr="00822D7A">
              <w:t>It should also be noted, depending on model project setup, that FSUTMS will internally capture project trips.  Because ITE procedures will be used by the Applicant to determi</w:t>
            </w:r>
            <w:r>
              <w:t>ne capture rates</w:t>
            </w:r>
            <w:r w:rsidRPr="00822D7A">
              <w:t xml:space="preserve">, before modeling the project, internal capture calculated with a model is not acceptable.  Concern with this modeling issue is the double counting of internal </w:t>
            </w:r>
            <w:r w:rsidRPr="00822D7A">
              <w:lastRenderedPageBreak/>
              <w:t>project trips, once when determining external trip production and again via the model assignment.</w:t>
            </w:r>
          </w:p>
          <w:p w:rsidR="00225952" w:rsidRPr="00F26ABE" w:rsidRDefault="00225952" w:rsidP="008B4377">
            <w:pPr>
              <w:pStyle w:val="AppText"/>
              <w:jc w:val="left"/>
              <w:rPr>
                <w:rFonts w:cs="Arial"/>
                <w:sz w:val="20"/>
              </w:rPr>
            </w:pPr>
            <w:r w:rsidRPr="00822D7A">
              <w:t>Model reported distribution rates for project related traffic shall be adjusted to account for those trips internally captured by a TAZ or between project TAZs.  The total model project trip generation produced by the model shall be determined by performing a screen line analysis around the project TAZs.  The total project traffic that leaves a project TAZ</w:t>
            </w:r>
            <w:r>
              <w:t>,</w:t>
            </w:r>
            <w:r w:rsidRPr="00822D7A">
              <w:t xml:space="preserve"> and does not traverse from one project TAZ to another, is the project traffic number used to calculate project share on the roadway links</w:t>
            </w:r>
          </w:p>
        </w:tc>
      </w:tr>
      <w:tr w:rsidR="00225952" w:rsidRPr="00E84AE9" w:rsidTr="005B5AFE">
        <w:tc>
          <w:tcPr>
            <w:tcW w:w="2545" w:type="dxa"/>
          </w:tcPr>
          <w:p w:rsidR="00225952" w:rsidRPr="00822D7A" w:rsidRDefault="00225952" w:rsidP="00225952">
            <w:pPr>
              <w:pStyle w:val="Heading4"/>
            </w:pPr>
            <w:r w:rsidRPr="00822D7A">
              <w:lastRenderedPageBreak/>
              <w:t>Pass-by Trips</w:t>
            </w:r>
          </w:p>
          <w:p w:rsidR="00225952" w:rsidRPr="00E84AE9" w:rsidRDefault="00225952" w:rsidP="00225952">
            <w:pPr>
              <w:pStyle w:val="SidebarSentence"/>
            </w:pPr>
          </w:p>
        </w:tc>
        <w:tc>
          <w:tcPr>
            <w:tcW w:w="7920" w:type="dxa"/>
          </w:tcPr>
          <w:p w:rsidR="00225952" w:rsidRPr="00282A71" w:rsidRDefault="00225952" w:rsidP="008B4377">
            <w:pPr>
              <w:pStyle w:val="AppText"/>
              <w:jc w:val="left"/>
            </w:pPr>
            <w:r w:rsidRPr="00822D7A">
              <w:t>Pass-by trips for all phases will be calculated consistent with ITE methodology. However, pass-by trips shall not exceed 10 percent of the main adjacent street traffic during the peak hour.  Consistent with ITE and FDOT methodology, internal trips will be subtracted before calculating the number of pass-by trips.</w:t>
            </w:r>
          </w:p>
        </w:tc>
      </w:tr>
      <w:tr w:rsidR="00225952" w:rsidRPr="00E84AE9" w:rsidTr="005B5AFE">
        <w:tc>
          <w:tcPr>
            <w:tcW w:w="10465" w:type="dxa"/>
            <w:gridSpan w:val="2"/>
          </w:tcPr>
          <w:p w:rsidR="00225952" w:rsidRPr="00282A71" w:rsidRDefault="00225952" w:rsidP="00225952">
            <w:pPr>
              <w:pStyle w:val="Heading2"/>
            </w:pPr>
            <w:bookmarkStart w:id="381" w:name="_Toc263521896"/>
            <w:bookmarkStart w:id="382" w:name="_Toc263596067"/>
            <w:bookmarkStart w:id="383" w:name="_Toc263613642"/>
            <w:bookmarkStart w:id="384" w:name="_Toc264274198"/>
            <w:r>
              <w:t xml:space="preserve">II. </w:t>
            </w:r>
            <w:r w:rsidRPr="00846584">
              <w:t>Existing Conditions</w:t>
            </w:r>
            <w:bookmarkEnd w:id="381"/>
            <w:bookmarkEnd w:id="382"/>
            <w:bookmarkEnd w:id="383"/>
            <w:bookmarkEnd w:id="384"/>
          </w:p>
        </w:tc>
      </w:tr>
      <w:tr w:rsidR="00225952" w:rsidRPr="00E84AE9" w:rsidTr="005B5AFE">
        <w:tc>
          <w:tcPr>
            <w:tcW w:w="2545" w:type="dxa"/>
          </w:tcPr>
          <w:p w:rsidR="00225952" w:rsidRPr="00616F03" w:rsidRDefault="00225952" w:rsidP="00225952">
            <w:pPr>
              <w:pStyle w:val="Heading4"/>
            </w:pPr>
            <w:r w:rsidRPr="00616F03">
              <w:t>Existing Level Of Service (LOS)</w:t>
            </w:r>
          </w:p>
          <w:p w:rsidR="00225952" w:rsidRPr="00E84AE9" w:rsidRDefault="00225952" w:rsidP="00225952">
            <w:pPr>
              <w:pStyle w:val="Heading4"/>
            </w:pPr>
          </w:p>
        </w:tc>
        <w:tc>
          <w:tcPr>
            <w:tcW w:w="7920" w:type="dxa"/>
          </w:tcPr>
          <w:p w:rsidR="00225952" w:rsidRPr="00D81EF0" w:rsidRDefault="00225952" w:rsidP="008B4377">
            <w:pPr>
              <w:pStyle w:val="AppText"/>
              <w:jc w:val="left"/>
            </w:pPr>
            <w:r w:rsidRPr="00822D7A">
              <w:t xml:space="preserve">For all roadways on FDOT’s Strategic Intermodal System (SIS), the applicant must adhere to the FDOT’s adopted level of service standards and corresponding maximum service volumes (MSVs) consistent with information provided in </w:t>
            </w:r>
            <w:r w:rsidRPr="00616F03">
              <w:rPr>
                <w:i/>
              </w:rPr>
              <w:t>FDOT District Two Level of Service Report</w:t>
            </w:r>
            <w:r w:rsidRPr="00822D7A">
              <w:t xml:space="preserve">, latest edition.  Other state roads shall use the locally adopted LOS, however the corresponding MSV for that adopted LOS shall be determined using the </w:t>
            </w:r>
            <w:r w:rsidRPr="00616F03">
              <w:rPr>
                <w:i/>
              </w:rPr>
              <w:t>FDOT Generalized Tables</w:t>
            </w:r>
            <w:r w:rsidRPr="00822D7A">
              <w:t>, latest edition.</w:t>
            </w:r>
          </w:p>
        </w:tc>
      </w:tr>
      <w:tr w:rsidR="00225952" w:rsidRPr="00E84AE9" w:rsidTr="005B5AFE">
        <w:tc>
          <w:tcPr>
            <w:tcW w:w="2545" w:type="dxa"/>
          </w:tcPr>
          <w:p w:rsidR="00225952" w:rsidRPr="00822D7A" w:rsidRDefault="00225952" w:rsidP="00225952">
            <w:pPr>
              <w:pStyle w:val="Heading4"/>
            </w:pPr>
            <w:r w:rsidRPr="00822D7A">
              <w:t>Traffic Count Procedures</w:t>
            </w:r>
          </w:p>
          <w:p w:rsidR="00225952" w:rsidRPr="00E84AE9" w:rsidRDefault="00225952" w:rsidP="00225952">
            <w:pPr>
              <w:pStyle w:val="Heading4"/>
            </w:pPr>
          </w:p>
        </w:tc>
        <w:tc>
          <w:tcPr>
            <w:tcW w:w="7920" w:type="dxa"/>
          </w:tcPr>
          <w:p w:rsidR="00225952" w:rsidRPr="00D81EF0" w:rsidRDefault="00225952" w:rsidP="008B4377">
            <w:pPr>
              <w:pStyle w:val="AppText"/>
              <w:jc w:val="left"/>
            </w:pPr>
            <w:r w:rsidRPr="00822D7A">
              <w:rPr>
                <w:spacing w:val="-5"/>
              </w:rPr>
              <w:t>The Applicant will use &lt;Last Full Year&gt; or newer traffic counts.</w:t>
            </w:r>
            <w:r w:rsidRPr="00822D7A">
              <w:t xml:space="preserve"> </w:t>
            </w:r>
            <w:r>
              <w:t xml:space="preserve"> </w:t>
            </w:r>
            <w:r w:rsidRPr="00822D7A">
              <w:t xml:space="preserve">FDOT District Two provides the latest counts in the FDOT District Two Level of Service Report.  The applicant should contact FDOT to ensure that newer traffic counts are not available.  If the applicant performs traffic counts on state roads in support of this application, the counts must conform to the FDOTs </w:t>
            </w:r>
            <w:r w:rsidRPr="00616F03">
              <w:rPr>
                <w:i/>
              </w:rPr>
              <w:t>Quality Level of Service Handbook</w:t>
            </w:r>
            <w:r w:rsidRPr="00822D7A">
              <w:t xml:space="preserve">, </w:t>
            </w:r>
            <w:r w:rsidRPr="00822D7A">
              <w:rPr>
                <w:spacing w:val="-5"/>
              </w:rPr>
              <w:t>latest edition including posted addendums and corrections</w:t>
            </w:r>
            <w:r w:rsidRPr="00822D7A">
              <w:t xml:space="preserve">.  Special note is made that volume counts shall be a minimum of three days on Tuesday through Thursday, turning movements shall be eight hours with four hours during the AM peak and four hours in the PM peak. </w:t>
            </w:r>
            <w:r>
              <w:t xml:space="preserve"> </w:t>
            </w:r>
            <w:r w:rsidRPr="00822D7A">
              <w:t>All documentation, including the raw counts and factors used shall be included in the applicant’s technical appendix.</w:t>
            </w:r>
          </w:p>
        </w:tc>
      </w:tr>
      <w:tr w:rsidR="00225952" w:rsidRPr="00E84AE9" w:rsidTr="005B5AFE">
        <w:tc>
          <w:tcPr>
            <w:tcW w:w="2545" w:type="dxa"/>
          </w:tcPr>
          <w:p w:rsidR="00225952" w:rsidRPr="00822D7A" w:rsidRDefault="00225952" w:rsidP="00225952">
            <w:pPr>
              <w:pStyle w:val="Heading4"/>
            </w:pPr>
            <w:r w:rsidRPr="00822D7A">
              <w:t>Peak Hour Factors</w:t>
            </w:r>
          </w:p>
          <w:p w:rsidR="00225952" w:rsidRPr="00E84AE9" w:rsidRDefault="00225952" w:rsidP="00225952">
            <w:pPr>
              <w:pStyle w:val="Heading4"/>
            </w:pPr>
          </w:p>
        </w:tc>
        <w:tc>
          <w:tcPr>
            <w:tcW w:w="7920" w:type="dxa"/>
          </w:tcPr>
          <w:p w:rsidR="00225952" w:rsidRDefault="00225952" w:rsidP="008B4377">
            <w:pPr>
              <w:pStyle w:val="AppText"/>
              <w:jc w:val="left"/>
            </w:pPr>
            <w:r w:rsidRPr="00822D7A">
              <w:t xml:space="preserve">The determination of K and D factors, will follow FDOT’s guidelines established in the </w:t>
            </w:r>
            <w:r w:rsidRPr="00616F03">
              <w:rPr>
                <w:i/>
              </w:rPr>
              <w:t>Quality Level of Service Handbook</w:t>
            </w:r>
            <w:r w:rsidRPr="00822D7A">
              <w:t>, latest edition including posted addendums and corrections.  A “measured K” is not acceptable unless</w:t>
            </w:r>
            <w:r>
              <w:t xml:space="preserve"> it</w:t>
            </w:r>
            <w:r w:rsidRPr="00822D7A">
              <w:t xml:space="preserve"> is within FDOT’s recommended minimum K factors.  All sources of existing traffic counts will be provided in the analysis tables and actual counts, as well as calculations, will be provided in the applicant’s technical appendix.</w:t>
            </w:r>
          </w:p>
          <w:p w:rsidR="00225952" w:rsidRPr="00D81EF0" w:rsidRDefault="00225952" w:rsidP="008B4377">
            <w:pPr>
              <w:pStyle w:val="AppText"/>
              <w:jc w:val="left"/>
            </w:pPr>
            <w:r w:rsidRPr="00822D7A">
              <w:t xml:space="preserve">Peak hour counts shall be calculated by multiplying the AADT by the K100 factor pursuant to the </w:t>
            </w:r>
            <w:r w:rsidRPr="00616F03">
              <w:rPr>
                <w:i/>
              </w:rPr>
              <w:t>FDOT Quality Level of Service Handbook</w:t>
            </w:r>
            <w:r w:rsidRPr="00822D7A">
              <w:t xml:space="preserve">, latest edition including posted addendums and corrections.  Turning movement counts shall be used for purposes of determining the percentage of turning vehicles at an intersection.  Turning movements shall not be used to calculate existing or future traffic, the practice of growing turning movements to arrive at future traffic is an unacceptable methodology and often </w:t>
            </w:r>
            <w:r w:rsidRPr="00822D7A">
              <w:lastRenderedPageBreak/>
              <w:t>underestimates actual demand.  All sources of existing turning movement counts will be provided in the analysis tables and actual counts, as well as calculations, will be provided in the applicant’s technical appendix.</w:t>
            </w:r>
          </w:p>
        </w:tc>
      </w:tr>
      <w:tr w:rsidR="00225952" w:rsidRPr="00E84AE9" w:rsidTr="005B5AFE">
        <w:tc>
          <w:tcPr>
            <w:tcW w:w="2545" w:type="dxa"/>
          </w:tcPr>
          <w:p w:rsidR="00225952" w:rsidRPr="00D81EF0" w:rsidRDefault="00225952" w:rsidP="00225952">
            <w:pPr>
              <w:pStyle w:val="Heading4"/>
            </w:pPr>
            <w:r w:rsidRPr="00822D7A">
              <w:lastRenderedPageBreak/>
              <w:t>Study Area</w:t>
            </w:r>
          </w:p>
        </w:tc>
        <w:tc>
          <w:tcPr>
            <w:tcW w:w="7920" w:type="dxa"/>
          </w:tcPr>
          <w:p w:rsidR="00225952" w:rsidRPr="00822D7A" w:rsidRDefault="00225952" w:rsidP="008B4377">
            <w:pPr>
              <w:pStyle w:val="AppText"/>
              <w:jc w:val="left"/>
            </w:pPr>
            <w:r w:rsidRPr="00822D7A">
              <w:t xml:space="preserve">The study area shall be determined using the </w:t>
            </w:r>
            <w:r>
              <w:t>Transportation Planning Organization’s (TPO)</w:t>
            </w:r>
            <w:r w:rsidRPr="00822D7A">
              <w:t xml:space="preserve"> adopted model. The study area limits will be adjusted based upon the extent of the substantially impacted segments defined as the roadway segments where the project traffic share is 5 percent or more of the maximum service volume.  Maximum service volumes used to determine the study area shall be based on the </w:t>
            </w:r>
            <w:r w:rsidRPr="00616F03">
              <w:rPr>
                <w:i/>
              </w:rPr>
              <w:t>FDOT’s Generalized Tables</w:t>
            </w:r>
            <w:r w:rsidRPr="00822D7A">
              <w:t xml:space="preserve">, latest edition. Facility and area type shall be determined using the </w:t>
            </w:r>
            <w:r w:rsidRPr="00616F03">
              <w:rPr>
                <w:i/>
              </w:rPr>
              <w:t>FDOT District Two Level of Service Report</w:t>
            </w:r>
            <w:r w:rsidRPr="00822D7A">
              <w:t>, latest edition.</w:t>
            </w:r>
          </w:p>
          <w:p w:rsidR="00225952" w:rsidRPr="00D81EF0" w:rsidRDefault="00225952" w:rsidP="008B4377">
            <w:pPr>
              <w:pStyle w:val="AppText"/>
              <w:jc w:val="left"/>
              <w:rPr>
                <w:rFonts w:cs="Garamond"/>
              </w:rPr>
            </w:pPr>
            <w:r w:rsidRPr="00822D7A">
              <w:t>All supporting tables and maps shall identify significant roadway segments and at least one segment beyond the 5 percent significance threshold.</w:t>
            </w:r>
          </w:p>
        </w:tc>
      </w:tr>
      <w:tr w:rsidR="00225952" w:rsidRPr="00E84AE9" w:rsidTr="005B5AFE">
        <w:tc>
          <w:tcPr>
            <w:tcW w:w="2545" w:type="dxa"/>
          </w:tcPr>
          <w:p w:rsidR="00225952" w:rsidRPr="00E84AE9" w:rsidRDefault="00225952" w:rsidP="00225952">
            <w:pPr>
              <w:pStyle w:val="Heading4"/>
            </w:pPr>
            <w:r w:rsidRPr="00822D7A">
              <w:t xml:space="preserve">Roadway </w:t>
            </w:r>
            <w:r w:rsidRPr="00D81EF0">
              <w:t>Segmentation</w:t>
            </w:r>
          </w:p>
        </w:tc>
        <w:tc>
          <w:tcPr>
            <w:tcW w:w="7920" w:type="dxa"/>
          </w:tcPr>
          <w:p w:rsidR="00225952" w:rsidRPr="001646A5" w:rsidRDefault="00225952" w:rsidP="008B4377">
            <w:pPr>
              <w:pStyle w:val="AppText"/>
              <w:jc w:val="left"/>
            </w:pPr>
            <w:r w:rsidRPr="00822D7A">
              <w:t xml:space="preserve">All state roadway segmentation shall conform to the segmentation as provided in the </w:t>
            </w:r>
            <w:r w:rsidRPr="00616F03">
              <w:rPr>
                <w:i/>
              </w:rPr>
              <w:t>FDOT District Two Level of Service Report</w:t>
            </w:r>
            <w:r w:rsidRPr="00822D7A">
              <w:t>, latest edition.  The applicant shall provide maps and tables that document the existing level of service based on this segmentation.</w:t>
            </w:r>
          </w:p>
        </w:tc>
      </w:tr>
      <w:tr w:rsidR="00225952" w:rsidRPr="00E84AE9" w:rsidTr="005B5AFE">
        <w:tc>
          <w:tcPr>
            <w:tcW w:w="2545" w:type="dxa"/>
          </w:tcPr>
          <w:p w:rsidR="00225952" w:rsidRPr="00822D7A" w:rsidRDefault="00225952" w:rsidP="00225952">
            <w:pPr>
              <w:pStyle w:val="Heading4"/>
            </w:pPr>
            <w:r w:rsidRPr="00822D7A">
              <w:t>Existing Intersection Analysis</w:t>
            </w:r>
          </w:p>
          <w:p w:rsidR="00225952" w:rsidRPr="00E84AE9" w:rsidRDefault="00225952" w:rsidP="00225952">
            <w:pPr>
              <w:pStyle w:val="Heading4"/>
            </w:pPr>
          </w:p>
        </w:tc>
        <w:tc>
          <w:tcPr>
            <w:tcW w:w="7920" w:type="dxa"/>
          </w:tcPr>
          <w:p w:rsidR="00225952" w:rsidRPr="00D81EF0" w:rsidRDefault="00225952" w:rsidP="008B4377">
            <w:pPr>
              <w:pStyle w:val="AppText"/>
              <w:jc w:val="left"/>
            </w:pPr>
            <w:r w:rsidRPr="00822D7A">
              <w:t xml:space="preserve">The applicant shall provide existing LOS for all intersections on any roadway determined to be significant (A general list of intersections shall be agreed to at the pre-application meeting).  The applicant shall perform the analysis using the </w:t>
            </w:r>
            <w:r w:rsidRPr="00616F03">
              <w:rPr>
                <w:i/>
              </w:rPr>
              <w:t>Highway Capacity Manual</w:t>
            </w:r>
            <w:r w:rsidRPr="00822D7A">
              <w:t xml:space="preserve"> procedures using existing signal timings at signalized intersections.  The applicant shall provide maps and tables that document the intersection existing level of service. </w:t>
            </w:r>
          </w:p>
          <w:p w:rsidR="00225952" w:rsidRPr="00D81EF0" w:rsidRDefault="00225952" w:rsidP="008B4377">
            <w:pPr>
              <w:pStyle w:val="AppText"/>
              <w:jc w:val="left"/>
            </w:pPr>
            <w:r w:rsidRPr="00822D7A">
              <w:t>All interchange ramps, ramp terminals and adjacent intersections shall be modeled in Synchro software, latest edition, using existing signal timings for signalized intersections.  The applicant shall provide the HCM long form printouts and Synchro output with V/C ratio and queuing analysis in the technical appendix.  The applicant shall also provide the electronic files for the HCM and Synchro analysis.</w:t>
            </w:r>
          </w:p>
        </w:tc>
      </w:tr>
      <w:tr w:rsidR="00225952" w:rsidRPr="00E84AE9" w:rsidTr="005B5AFE">
        <w:tc>
          <w:tcPr>
            <w:tcW w:w="10465" w:type="dxa"/>
            <w:gridSpan w:val="2"/>
          </w:tcPr>
          <w:p w:rsidR="00225952" w:rsidRPr="00F26ABE" w:rsidRDefault="00225952" w:rsidP="008B4377">
            <w:pPr>
              <w:pStyle w:val="Heading2"/>
              <w:rPr>
                <w:rFonts w:cs="Arial"/>
                <w:sz w:val="20"/>
              </w:rPr>
            </w:pPr>
            <w:bookmarkStart w:id="385" w:name="_Toc263521897"/>
            <w:bookmarkStart w:id="386" w:name="_Toc263596068"/>
            <w:bookmarkStart w:id="387" w:name="_Toc263613643"/>
            <w:bookmarkStart w:id="388" w:name="_Toc264274199"/>
            <w:r>
              <w:t xml:space="preserve">III. </w:t>
            </w:r>
            <w:r w:rsidRPr="00846584">
              <w:t>Future Years Analysis</w:t>
            </w:r>
            <w:bookmarkEnd w:id="385"/>
            <w:bookmarkEnd w:id="386"/>
            <w:bookmarkEnd w:id="387"/>
            <w:bookmarkEnd w:id="388"/>
          </w:p>
        </w:tc>
      </w:tr>
      <w:tr w:rsidR="00225952" w:rsidRPr="00E84AE9" w:rsidTr="005B5AFE">
        <w:tc>
          <w:tcPr>
            <w:tcW w:w="2545" w:type="dxa"/>
          </w:tcPr>
          <w:p w:rsidR="00225952" w:rsidRDefault="00225952">
            <w:pPr>
              <w:pStyle w:val="Heading4"/>
            </w:pPr>
            <w:r w:rsidRPr="00E7717C">
              <w:t>Roadway Network Modifications</w:t>
            </w:r>
          </w:p>
          <w:p w:rsidR="00225952" w:rsidRPr="00E84AE9" w:rsidRDefault="00225952" w:rsidP="00225952">
            <w:pPr>
              <w:pStyle w:val="Heading4"/>
            </w:pPr>
          </w:p>
        </w:tc>
        <w:tc>
          <w:tcPr>
            <w:tcW w:w="7920" w:type="dxa"/>
          </w:tcPr>
          <w:p w:rsidR="00225952" w:rsidRPr="00D81EF0" w:rsidRDefault="00225952" w:rsidP="008B4377">
            <w:pPr>
              <w:pStyle w:val="AppText"/>
              <w:jc w:val="left"/>
              <w:rPr>
                <w:u w:val="single"/>
              </w:rPr>
            </w:pPr>
            <w:r w:rsidRPr="00500378">
              <w:t xml:space="preserve">Transportation system modifications, scheduled for construction and funded, located within the project study area and specified in the latest adopted FDOT </w:t>
            </w:r>
            <w:r w:rsidRPr="00500378">
              <w:rPr>
                <w:bCs/>
              </w:rPr>
              <w:t>Five-Year</w:t>
            </w:r>
            <w:r w:rsidRPr="00500378">
              <w:t xml:space="preserve"> Work Program shall be identified and mapped.  </w:t>
            </w:r>
            <w:r w:rsidRPr="00500378">
              <w:rPr>
                <w:bCs/>
              </w:rPr>
              <w:t xml:space="preserve">Only those projects identified for construction within the first three years of the </w:t>
            </w:r>
            <w:r w:rsidRPr="00500378">
              <w:t xml:space="preserve">FDOT </w:t>
            </w:r>
            <w:r w:rsidRPr="00500378">
              <w:rPr>
                <w:bCs/>
              </w:rPr>
              <w:t>Five-Year</w:t>
            </w:r>
            <w:r w:rsidRPr="00500378">
              <w:t xml:space="preserve"> Work Program</w:t>
            </w:r>
            <w:r w:rsidRPr="00500378">
              <w:rPr>
                <w:bCs/>
              </w:rPr>
              <w:t xml:space="preserve"> shall be considered for the future roadway network as applicable.</w:t>
            </w:r>
            <w:r w:rsidRPr="00500378">
              <w:t xml:space="preserve">  Also, any roadway modifications committed by other approved developments (if applicable), and incorporated in the future networks of the applicant’s project, may create a condition that would require these improvements to be in place before this applicant’s project can move forward. The applicant can make network additions to the phase models with the understanding that they must be in the first three years of the FDOT Five-Year Work Program, or the applicant will </w:t>
            </w:r>
            <w:r>
              <w:t xml:space="preserve">be required </w:t>
            </w:r>
            <w:r w:rsidRPr="00500378">
              <w:t>provide full cost for the improvements proposed.</w:t>
            </w:r>
          </w:p>
        </w:tc>
      </w:tr>
      <w:tr w:rsidR="00225952" w:rsidRPr="00E84AE9" w:rsidTr="005B5AFE">
        <w:tc>
          <w:tcPr>
            <w:tcW w:w="2545" w:type="dxa"/>
          </w:tcPr>
          <w:p w:rsidR="00225952" w:rsidRDefault="00225952">
            <w:pPr>
              <w:pStyle w:val="Heading4"/>
            </w:pPr>
            <w:r w:rsidRPr="00500378">
              <w:t>Adopted Model</w:t>
            </w:r>
          </w:p>
          <w:p w:rsidR="00225952" w:rsidRPr="00E84AE9" w:rsidRDefault="00225952" w:rsidP="00225952">
            <w:pPr>
              <w:pStyle w:val="Heading4"/>
            </w:pPr>
          </w:p>
        </w:tc>
        <w:tc>
          <w:tcPr>
            <w:tcW w:w="7920" w:type="dxa"/>
          </w:tcPr>
          <w:p w:rsidR="00225952" w:rsidRPr="00D81EF0" w:rsidRDefault="00225952" w:rsidP="008B4377">
            <w:pPr>
              <w:pStyle w:val="AppText"/>
              <w:jc w:val="left"/>
            </w:pPr>
            <w:r w:rsidRPr="00500378">
              <w:t xml:space="preserve">The applicant shall obtain the latest adopted model from the </w:t>
            </w:r>
            <w:r w:rsidRPr="00500378">
              <w:rPr>
                <w:rFonts w:cs="Garamond"/>
                <w:color w:val="000000"/>
              </w:rPr>
              <w:t>TPO</w:t>
            </w:r>
            <w:r w:rsidRPr="00500378">
              <w:t xml:space="preserve">. </w:t>
            </w:r>
            <w:r w:rsidRPr="007722AD">
              <w:rPr>
                <w:spacing w:val="-2"/>
              </w:rPr>
              <w:t>No modifications by the applicant to the factors used for validating the adopted model are acceptable. The applicant shall use the model as validated.</w:t>
            </w:r>
          </w:p>
        </w:tc>
      </w:tr>
      <w:tr w:rsidR="00225952" w:rsidRPr="00E84AE9" w:rsidTr="005B5AFE">
        <w:tc>
          <w:tcPr>
            <w:tcW w:w="2545" w:type="dxa"/>
          </w:tcPr>
          <w:p w:rsidR="00225952" w:rsidRPr="00846584" w:rsidRDefault="00225952" w:rsidP="00225952">
            <w:pPr>
              <w:pStyle w:val="Heading4"/>
            </w:pPr>
            <w:r w:rsidRPr="00846584">
              <w:lastRenderedPageBreak/>
              <w:t>Developing Background Traffic</w:t>
            </w:r>
          </w:p>
          <w:p w:rsidR="00225952" w:rsidRPr="00E84AE9" w:rsidRDefault="00225952" w:rsidP="00225952">
            <w:pPr>
              <w:pStyle w:val="Heading4"/>
            </w:pPr>
          </w:p>
        </w:tc>
        <w:tc>
          <w:tcPr>
            <w:tcW w:w="7920" w:type="dxa"/>
          </w:tcPr>
          <w:p w:rsidR="00225952" w:rsidRPr="00822D7A" w:rsidRDefault="00225952" w:rsidP="008B4377">
            <w:pPr>
              <w:pStyle w:val="AppText"/>
              <w:jc w:val="left"/>
            </w:pPr>
            <w:r w:rsidRPr="00822D7A">
              <w:t>The applicant shall develop background traffic as follows:</w:t>
            </w:r>
          </w:p>
          <w:p w:rsidR="00225952" w:rsidRPr="00822D7A" w:rsidRDefault="00225952" w:rsidP="008B4377">
            <w:pPr>
              <w:pStyle w:val="ListParagraph"/>
              <w:numPr>
                <w:ilvl w:val="0"/>
                <w:numId w:val="30"/>
              </w:numPr>
              <w:spacing w:after="0" w:line="240" w:lineRule="auto"/>
              <w:ind w:left="425" w:hanging="270"/>
              <w:jc w:val="left"/>
            </w:pPr>
            <w:r w:rsidRPr="00822D7A">
              <w:t xml:space="preserve">Applicant shall run the </w:t>
            </w:r>
            <w:r>
              <w:t>&lt;base year&gt;</w:t>
            </w:r>
            <w:r w:rsidRPr="00822D7A">
              <w:t xml:space="preserve"> model and the model for the first phase of their development.</w:t>
            </w:r>
          </w:p>
          <w:p w:rsidR="00225952" w:rsidRPr="00822D7A" w:rsidRDefault="00225952" w:rsidP="008B4377">
            <w:pPr>
              <w:pStyle w:val="ListParagraph"/>
              <w:numPr>
                <w:ilvl w:val="0"/>
                <w:numId w:val="30"/>
              </w:numPr>
              <w:spacing w:after="0" w:line="240" w:lineRule="auto"/>
              <w:ind w:left="425" w:hanging="270"/>
              <w:jc w:val="left"/>
            </w:pPr>
            <w:r w:rsidRPr="00822D7A">
              <w:t>For any given link as defined by the maintaining agency, the applicant shall select the model link with the highest number of background trips for analysis.</w:t>
            </w:r>
          </w:p>
          <w:p w:rsidR="00225952" w:rsidRPr="00822D7A" w:rsidRDefault="00225952" w:rsidP="008B4377">
            <w:pPr>
              <w:pStyle w:val="ListParagraph"/>
              <w:numPr>
                <w:ilvl w:val="0"/>
                <w:numId w:val="30"/>
              </w:numPr>
              <w:spacing w:after="0" w:line="240" w:lineRule="auto"/>
              <w:ind w:left="425" w:hanging="270"/>
              <w:jc w:val="left"/>
            </w:pPr>
            <w:r w:rsidRPr="00822D7A">
              <w:t xml:space="preserve">The difference between the </w:t>
            </w:r>
            <w:r>
              <w:t>&lt;base year&gt;</w:t>
            </w:r>
            <w:r w:rsidRPr="00822D7A">
              <w:t xml:space="preserve"> model and the applicant’s first phase model on any given link (minus the applicant’s traffic), adjusted to the number of years between the existing count year and the applicants first phase, shall be added to the existing count for that link. </w:t>
            </w:r>
          </w:p>
          <w:p w:rsidR="00225952" w:rsidRPr="00822D7A" w:rsidRDefault="00225952" w:rsidP="008B4377">
            <w:pPr>
              <w:pStyle w:val="ListParagraph"/>
              <w:numPr>
                <w:ilvl w:val="0"/>
                <w:numId w:val="30"/>
              </w:numPr>
              <w:spacing w:after="0" w:line="240" w:lineRule="auto"/>
              <w:ind w:left="425" w:hanging="270"/>
              <w:jc w:val="left"/>
            </w:pPr>
            <w:r w:rsidRPr="00822D7A">
              <w:t xml:space="preserve">The number from step 2 shall be checked against a minimum growth rate of </w:t>
            </w:r>
            <w:r>
              <w:t>2</w:t>
            </w:r>
            <w:r w:rsidRPr="00822D7A">
              <w:t xml:space="preserve"> percent per year for the number of years between the existing counts year and the applicant’s first phase year.</w:t>
            </w:r>
          </w:p>
          <w:p w:rsidR="00225952" w:rsidRPr="00822D7A" w:rsidRDefault="00225952" w:rsidP="008B4377">
            <w:pPr>
              <w:pStyle w:val="ListParagraph"/>
              <w:numPr>
                <w:ilvl w:val="0"/>
                <w:numId w:val="30"/>
              </w:numPr>
              <w:spacing w:after="0" w:line="240" w:lineRule="auto"/>
              <w:ind w:left="425" w:hanging="270"/>
              <w:jc w:val="left"/>
            </w:pPr>
            <w:r w:rsidRPr="00822D7A">
              <w:t>The applicant shall select the higher of the two (model difference number added to existing count or 2 percent per year growth rate) as the background traffic number.</w:t>
            </w:r>
          </w:p>
          <w:p w:rsidR="00225952" w:rsidRPr="00D81EF0" w:rsidRDefault="00225952" w:rsidP="008B4377">
            <w:pPr>
              <w:pStyle w:val="ListParagraph"/>
              <w:numPr>
                <w:ilvl w:val="0"/>
                <w:numId w:val="30"/>
              </w:numPr>
              <w:spacing w:after="240" w:line="240" w:lineRule="auto"/>
              <w:ind w:left="425" w:hanging="270"/>
              <w:jc w:val="left"/>
            </w:pPr>
            <w:r w:rsidRPr="00822D7A">
              <w:t>The applicant shall calculate background traffic for any phase after Phase I by taking the difference on any given link between the phase models and adding it to the previous phase calculated. All background traffic for phases after Phase I shall be checked against a 2 percent minimum growth rate and the higher of the two (model difference number added to existing count or 2 percent per year growth rate) shall be reported as the background traffic number.</w:t>
            </w:r>
          </w:p>
        </w:tc>
      </w:tr>
      <w:tr w:rsidR="00225952" w:rsidRPr="00E84AE9" w:rsidTr="005B5AFE">
        <w:tc>
          <w:tcPr>
            <w:tcW w:w="2545" w:type="dxa"/>
          </w:tcPr>
          <w:p w:rsidR="00225952" w:rsidRPr="00E7717C" w:rsidRDefault="00225952" w:rsidP="00225952">
            <w:pPr>
              <w:pStyle w:val="Heading4"/>
            </w:pPr>
            <w:r w:rsidRPr="00E7717C">
              <w:t>Developing Project Traffic</w:t>
            </w:r>
          </w:p>
          <w:p w:rsidR="00225952" w:rsidRPr="00846584" w:rsidRDefault="00225952" w:rsidP="00225952">
            <w:pPr>
              <w:pStyle w:val="Heading4"/>
            </w:pPr>
          </w:p>
        </w:tc>
        <w:tc>
          <w:tcPr>
            <w:tcW w:w="7920" w:type="dxa"/>
          </w:tcPr>
          <w:p w:rsidR="00225952" w:rsidRPr="00822D7A" w:rsidRDefault="00225952" w:rsidP="008B4377">
            <w:pPr>
              <w:pStyle w:val="AppText"/>
              <w:jc w:val="left"/>
            </w:pPr>
            <w:r w:rsidRPr="00822D7A">
              <w:t>The applicant shall determine the project trip assignment as follows:</w:t>
            </w:r>
          </w:p>
          <w:p w:rsidR="00225952" w:rsidRDefault="00225952" w:rsidP="008B4377">
            <w:pPr>
              <w:pStyle w:val="ListParagraph"/>
              <w:numPr>
                <w:ilvl w:val="0"/>
                <w:numId w:val="31"/>
              </w:numPr>
              <w:spacing w:after="0" w:line="240" w:lineRule="auto"/>
              <w:jc w:val="left"/>
            </w:pPr>
            <w:r>
              <w:t>The applicant shall determine the socio-economic (SE) data for each phase of the proposed project.</w:t>
            </w:r>
          </w:p>
          <w:p w:rsidR="00225952" w:rsidRDefault="00225952" w:rsidP="008B4377">
            <w:pPr>
              <w:pStyle w:val="ListParagraph"/>
              <w:numPr>
                <w:ilvl w:val="0"/>
                <w:numId w:val="31"/>
              </w:numPr>
              <w:spacing w:after="0" w:line="240" w:lineRule="auto"/>
              <w:jc w:val="left"/>
            </w:pPr>
            <w:r>
              <w:t>The applicant shall input the SE data in the model for each phase and shall provide documentation for the SE changes in the technical appendix.</w:t>
            </w:r>
          </w:p>
          <w:p w:rsidR="00225952" w:rsidRDefault="00225952" w:rsidP="008B4377">
            <w:pPr>
              <w:pStyle w:val="ListParagraph"/>
              <w:numPr>
                <w:ilvl w:val="0"/>
                <w:numId w:val="31"/>
              </w:numPr>
              <w:spacing w:after="0" w:line="240" w:lineRule="auto"/>
              <w:jc w:val="left"/>
            </w:pPr>
            <w:r>
              <w:t>The applicant shall ensure that the number of trips external to the project TAZ(s) (excluding those trips that are internal to the model or travel from a project TAZ to another project TAZ) are within 10 percent of the ITE total external project trips the applicant has calculated for the project trip generation.</w:t>
            </w:r>
          </w:p>
          <w:p w:rsidR="00225952" w:rsidRPr="00822D7A" w:rsidRDefault="00225952" w:rsidP="008B4377">
            <w:pPr>
              <w:pStyle w:val="ListParagraph"/>
              <w:numPr>
                <w:ilvl w:val="0"/>
                <w:numId w:val="31"/>
              </w:numPr>
              <w:spacing w:after="0" w:line="240" w:lineRule="auto"/>
              <w:jc w:val="left"/>
            </w:pPr>
            <w:r w:rsidRPr="00822D7A">
              <w:t xml:space="preserve">For any phase model, the applicant shall determine by screen line the actual number of trips to leave the project Transportation Analysis Zones (TAZ). </w:t>
            </w:r>
          </w:p>
          <w:p w:rsidR="00225952" w:rsidRPr="00822D7A" w:rsidRDefault="00225952" w:rsidP="008B4377">
            <w:pPr>
              <w:pStyle w:val="ListParagraph"/>
              <w:numPr>
                <w:ilvl w:val="0"/>
                <w:numId w:val="31"/>
              </w:numPr>
              <w:spacing w:after="0" w:line="240" w:lineRule="auto"/>
              <w:jc w:val="left"/>
            </w:pPr>
            <w:r w:rsidRPr="00822D7A">
              <w:t>For any given link the applicant shall select the model link with the highest number of project trips for analysis.</w:t>
            </w:r>
          </w:p>
          <w:p w:rsidR="00225952" w:rsidRDefault="00225952" w:rsidP="008B4377">
            <w:pPr>
              <w:pStyle w:val="ListParagraph"/>
              <w:numPr>
                <w:ilvl w:val="0"/>
                <w:numId w:val="31"/>
              </w:numPr>
              <w:spacing w:after="0" w:line="240" w:lineRule="auto"/>
              <w:jc w:val="left"/>
            </w:pPr>
            <w:r w:rsidRPr="00822D7A">
              <w:t xml:space="preserve">The number calculated from step </w:t>
            </w:r>
            <w:r>
              <w:t>4</w:t>
            </w:r>
            <w:r w:rsidRPr="00822D7A">
              <w:t xml:space="preserve"> shall be used to determine the percentage of project traffic on any given link by dividing the project traffic by the number from step </w:t>
            </w:r>
            <w:r>
              <w:t>4</w:t>
            </w:r>
            <w:r w:rsidRPr="00822D7A">
              <w:t>.</w:t>
            </w:r>
          </w:p>
          <w:p w:rsidR="00225952" w:rsidRPr="00822D7A" w:rsidRDefault="00225952" w:rsidP="008B4377">
            <w:pPr>
              <w:pStyle w:val="ListParagraph"/>
              <w:numPr>
                <w:ilvl w:val="0"/>
                <w:numId w:val="31"/>
              </w:numPr>
              <w:spacing w:after="0" w:line="240" w:lineRule="auto"/>
              <w:jc w:val="left"/>
            </w:pPr>
            <w:r>
              <w:t>The percentage from step 6 is applied the applicants PM peak hour ITE external trip generation to determine the trip number used for calculating proportionate share.</w:t>
            </w:r>
          </w:p>
        </w:tc>
      </w:tr>
      <w:tr w:rsidR="00225952" w:rsidRPr="00E84AE9" w:rsidTr="005B5AFE">
        <w:tc>
          <w:tcPr>
            <w:tcW w:w="2545" w:type="dxa"/>
          </w:tcPr>
          <w:p w:rsidR="00225952" w:rsidRDefault="00225952" w:rsidP="008B4377">
            <w:pPr>
              <w:pStyle w:val="Heading3"/>
            </w:pPr>
            <w:bookmarkStart w:id="389" w:name="_Toc263521898"/>
            <w:bookmarkStart w:id="390" w:name="_Toc263596069"/>
            <w:bookmarkStart w:id="391" w:name="_Toc263613644"/>
            <w:bookmarkStart w:id="392" w:name="_Toc264274200"/>
            <w:r w:rsidRPr="000C2A6D">
              <w:lastRenderedPageBreak/>
              <w:t>Model Results</w:t>
            </w:r>
            <w:bookmarkEnd w:id="389"/>
            <w:bookmarkEnd w:id="390"/>
            <w:bookmarkEnd w:id="391"/>
            <w:bookmarkEnd w:id="392"/>
          </w:p>
          <w:p w:rsidR="00225952" w:rsidRPr="00846584" w:rsidRDefault="00225952" w:rsidP="008B4377">
            <w:pPr>
              <w:pStyle w:val="Heading4"/>
            </w:pPr>
          </w:p>
        </w:tc>
        <w:tc>
          <w:tcPr>
            <w:tcW w:w="7920" w:type="dxa"/>
          </w:tcPr>
          <w:p w:rsidR="00225952" w:rsidRPr="00822D7A" w:rsidRDefault="00225952" w:rsidP="008B4377">
            <w:pPr>
              <w:pStyle w:val="AppText"/>
              <w:jc w:val="left"/>
            </w:pPr>
            <w:r w:rsidRPr="000C2A6D">
              <w:t xml:space="preserve">The applicant shall provide maps and tables that detail the background and project trips for each phase.  The applicant shall also provide </w:t>
            </w:r>
            <w:r w:rsidRPr="000C2A6D">
              <w:rPr>
                <w:b/>
                <w:u w:val="single"/>
              </w:rPr>
              <w:t>all</w:t>
            </w:r>
            <w:r w:rsidRPr="000C2A6D">
              <w:t xml:space="preserve"> modeling files. The applicant shall provide a DVD of the complete model folder structure with completed model runs.</w:t>
            </w:r>
          </w:p>
        </w:tc>
      </w:tr>
      <w:tr w:rsidR="00225952" w:rsidRPr="00E84AE9" w:rsidTr="005B5AFE">
        <w:tc>
          <w:tcPr>
            <w:tcW w:w="2545" w:type="dxa"/>
          </w:tcPr>
          <w:p w:rsidR="00225952" w:rsidRPr="00846584" w:rsidRDefault="00225952" w:rsidP="008B4377">
            <w:pPr>
              <w:pStyle w:val="Heading4"/>
            </w:pPr>
            <w:r w:rsidRPr="00E07960">
              <w:t xml:space="preserve">Future Level </w:t>
            </w:r>
            <w:r w:rsidRPr="00D81EF0">
              <w:t>of</w:t>
            </w:r>
            <w:r w:rsidRPr="00E07960">
              <w:t xml:space="preserve"> Service Analysis</w:t>
            </w:r>
          </w:p>
        </w:tc>
        <w:tc>
          <w:tcPr>
            <w:tcW w:w="7920" w:type="dxa"/>
          </w:tcPr>
          <w:p w:rsidR="00225952" w:rsidRPr="00E07960" w:rsidRDefault="00225952" w:rsidP="008B4377">
            <w:pPr>
              <w:pStyle w:val="AppText"/>
              <w:jc w:val="left"/>
            </w:pPr>
            <w:r w:rsidRPr="00E07960">
              <w:t xml:space="preserve">Roadway segments that carry peak hour project trip volumes greater than five percent of the adopted LOS standard maximum volume will be identified.  Segments that meet this criterion, and whose peak hour traffic exceeds the adopted LOS standard maximum volumes, will be considered adverse (deficient).  These segments will be analyzed to determine what modifications are needed to correct those deficiencies. To determine the adverse links within the study area, the Applicant will use the maximum service volumes (MSVs) contained in </w:t>
            </w:r>
            <w:r w:rsidRPr="00CC496D">
              <w:rPr>
                <w:i/>
              </w:rPr>
              <w:t>FDOT’s Generalized Tables</w:t>
            </w:r>
            <w:r w:rsidRPr="00E07960">
              <w:t xml:space="preserve"> for the adopted level of service standard.  </w:t>
            </w:r>
          </w:p>
          <w:p w:rsidR="00225952" w:rsidRPr="00E07960" w:rsidRDefault="00225952" w:rsidP="008B4377">
            <w:pPr>
              <w:pStyle w:val="AppText"/>
              <w:jc w:val="left"/>
            </w:pPr>
            <w:r w:rsidRPr="00E07960">
              <w:t>The analysis shall be provided for the following scenarios:</w:t>
            </w:r>
          </w:p>
          <w:p w:rsidR="00225952" w:rsidRDefault="00225952" w:rsidP="008B4377">
            <w:pPr>
              <w:pStyle w:val="ListParagraph"/>
              <w:numPr>
                <w:ilvl w:val="0"/>
                <w:numId w:val="32"/>
              </w:numPr>
              <w:spacing w:after="0" w:line="240" w:lineRule="auto"/>
              <w:ind w:left="1152" w:firstLine="0"/>
              <w:contextualSpacing w:val="0"/>
              <w:jc w:val="left"/>
            </w:pPr>
            <w:r w:rsidRPr="00E07960">
              <w:rPr>
                <w:spacing w:val="-5"/>
              </w:rPr>
              <w:t>E</w:t>
            </w:r>
            <w:r w:rsidRPr="00E07960">
              <w:t>xisting (Base) year;</w:t>
            </w:r>
          </w:p>
          <w:p w:rsidR="00225952" w:rsidRDefault="00225952" w:rsidP="008B4377">
            <w:pPr>
              <w:pStyle w:val="ListParagraph"/>
              <w:numPr>
                <w:ilvl w:val="0"/>
                <w:numId w:val="32"/>
              </w:numPr>
              <w:spacing w:after="0" w:line="240" w:lineRule="auto"/>
              <w:ind w:left="1152" w:firstLine="0"/>
              <w:contextualSpacing w:val="0"/>
              <w:jc w:val="left"/>
            </w:pPr>
            <w:r w:rsidRPr="00E07960">
              <w:t>Future year (Base + Growth + Project) without modifications (for each phase); and</w:t>
            </w:r>
          </w:p>
          <w:p w:rsidR="00225952" w:rsidRDefault="00225952" w:rsidP="008B4377">
            <w:pPr>
              <w:pStyle w:val="ListParagraph"/>
              <w:numPr>
                <w:ilvl w:val="0"/>
                <w:numId w:val="32"/>
              </w:numPr>
              <w:spacing w:after="0" w:line="240" w:lineRule="auto"/>
              <w:ind w:left="1152" w:firstLine="0"/>
              <w:contextualSpacing w:val="0"/>
              <w:jc w:val="left"/>
            </w:pPr>
            <w:r w:rsidRPr="00E07960">
              <w:t>Future year with modifications (as needed, for each phase).</w:t>
            </w:r>
          </w:p>
          <w:p w:rsidR="00225952" w:rsidRPr="00822D7A" w:rsidRDefault="00225952" w:rsidP="008B4377">
            <w:pPr>
              <w:spacing w:after="0" w:line="240" w:lineRule="auto"/>
              <w:contextualSpacing/>
              <w:jc w:val="left"/>
            </w:pPr>
          </w:p>
        </w:tc>
      </w:tr>
      <w:tr w:rsidR="00225952" w:rsidRPr="00E84AE9" w:rsidTr="005B5AFE">
        <w:tc>
          <w:tcPr>
            <w:tcW w:w="2545" w:type="dxa"/>
          </w:tcPr>
          <w:p w:rsidR="00225952" w:rsidRPr="00E07960" w:rsidRDefault="00225952" w:rsidP="008B4377">
            <w:pPr>
              <w:spacing w:after="0" w:line="240" w:lineRule="auto"/>
              <w:jc w:val="left"/>
              <w:rPr>
                <w:b/>
                <w:u w:val="single"/>
              </w:rPr>
            </w:pPr>
            <w:r w:rsidRPr="00E07960">
              <w:rPr>
                <w:b/>
                <w:u w:val="single"/>
              </w:rPr>
              <w:t>Intersection Analysis</w:t>
            </w:r>
          </w:p>
          <w:p w:rsidR="00225952" w:rsidRPr="00846584" w:rsidRDefault="00225952" w:rsidP="008B4377">
            <w:pPr>
              <w:pStyle w:val="Heading4"/>
            </w:pPr>
          </w:p>
        </w:tc>
        <w:tc>
          <w:tcPr>
            <w:tcW w:w="7920" w:type="dxa"/>
          </w:tcPr>
          <w:p w:rsidR="00225952" w:rsidRPr="00E07960" w:rsidRDefault="00225952" w:rsidP="008B4377">
            <w:pPr>
              <w:pStyle w:val="AppText"/>
              <w:jc w:val="left"/>
            </w:pPr>
            <w:r w:rsidRPr="00E07960">
              <w:t>Where roadway segments have been determined to be significant, the signalized intersections along significant segments are deemed to be significant. The Applicant will be responsible for analyzing all critical intersections identified and will provide graphics indicating project, background, and total volumes by movement.</w:t>
            </w:r>
          </w:p>
          <w:p w:rsidR="00225952" w:rsidRPr="00E07960" w:rsidRDefault="00225952" w:rsidP="008B4377">
            <w:pPr>
              <w:pStyle w:val="AppText"/>
              <w:jc w:val="left"/>
            </w:pPr>
            <w:r w:rsidRPr="00E07960">
              <w:t>Intersections shall be analyzed using HCM or Synchro software.  The applicant shall perform the analysis using the Highway Capacity Manual procedures using existing signal timings at signalized intersections.  The applicant shall provide maps and tables that document the intersection existing level of service.</w:t>
            </w:r>
          </w:p>
          <w:p w:rsidR="00225952" w:rsidRPr="00E07960" w:rsidRDefault="00225952" w:rsidP="008B4377">
            <w:pPr>
              <w:pStyle w:val="AppText"/>
              <w:jc w:val="left"/>
            </w:pPr>
            <w:r w:rsidRPr="00E07960">
              <w:t xml:space="preserve">All future year analyses shall maintain the adopted level of service and the volume to capacity ratio (v/c) shall not exceed 0.99 on all approach movements.  The intersection level of service shall be based on the most restrictive level of service standard for the intersecting roadways.  </w:t>
            </w:r>
          </w:p>
          <w:p w:rsidR="00225952" w:rsidRPr="00822D7A" w:rsidRDefault="00225952" w:rsidP="008B4377">
            <w:pPr>
              <w:pStyle w:val="AppText"/>
              <w:jc w:val="left"/>
            </w:pPr>
            <w:r w:rsidRPr="00E07960">
              <w:t xml:space="preserve">All interchange ramps, ramp terminals and adjacent intersections shall be modeled in Synchro software, latest edition.  The applicant shall provide the HCM long form printouts and Synchro output with </w:t>
            </w:r>
            <w:r>
              <w:t>v</w:t>
            </w:r>
            <w:r w:rsidRPr="00E07960">
              <w:t>/</w:t>
            </w:r>
            <w:r>
              <w:t>c</w:t>
            </w:r>
            <w:r w:rsidRPr="00E07960">
              <w:t xml:space="preserve"> ration and queuing analysis in the technical appendix.  The applicant shall also provide the electronic files for the HCM and Synchro analysis.</w:t>
            </w:r>
          </w:p>
        </w:tc>
      </w:tr>
      <w:tr w:rsidR="00225952" w:rsidRPr="00E84AE9" w:rsidTr="005B5AFE">
        <w:tc>
          <w:tcPr>
            <w:tcW w:w="2545" w:type="dxa"/>
          </w:tcPr>
          <w:p w:rsidR="00225952" w:rsidRPr="00846584" w:rsidRDefault="00225952" w:rsidP="008B4377">
            <w:pPr>
              <w:pStyle w:val="Heading4"/>
            </w:pPr>
          </w:p>
        </w:tc>
        <w:tc>
          <w:tcPr>
            <w:tcW w:w="7920" w:type="dxa"/>
          </w:tcPr>
          <w:p w:rsidR="00225952" w:rsidRPr="00822D7A" w:rsidRDefault="00225952" w:rsidP="008B4377">
            <w:pPr>
              <w:pStyle w:val="AppText"/>
              <w:jc w:val="left"/>
            </w:pPr>
            <w:r w:rsidRPr="00E07960">
              <w:t xml:space="preserve">For State roadways, the percent trucks shall be 50 percent of the T-factor included in the most recent FDOT Florida Traffic Information (FTI) </w:t>
            </w:r>
            <w:r>
              <w:t>DVD</w:t>
            </w:r>
            <w:r w:rsidRPr="00E07960">
              <w:t>.</w:t>
            </w:r>
          </w:p>
        </w:tc>
      </w:tr>
    </w:tbl>
    <w:p w:rsidR="008B4377" w:rsidRDefault="008B4377" w:rsidP="008B4377">
      <w:pPr>
        <w:jc w:val="left"/>
      </w:pPr>
      <w:r>
        <w:rPr>
          <w:b/>
          <w:bCs/>
        </w:rPr>
        <w:br w:type="page"/>
      </w:r>
    </w:p>
    <w:tbl>
      <w:tblPr>
        <w:tblW w:w="10465" w:type="dxa"/>
        <w:tblLayout w:type="fixed"/>
        <w:tblCellMar>
          <w:left w:w="115" w:type="dxa"/>
          <w:right w:w="115" w:type="dxa"/>
        </w:tblCellMar>
        <w:tblLook w:val="0000"/>
      </w:tblPr>
      <w:tblGrid>
        <w:gridCol w:w="2545"/>
        <w:gridCol w:w="7920"/>
      </w:tblGrid>
      <w:tr w:rsidR="00225952" w:rsidRPr="00E84AE9" w:rsidTr="005B5AFE">
        <w:tc>
          <w:tcPr>
            <w:tcW w:w="2545" w:type="dxa"/>
          </w:tcPr>
          <w:p w:rsidR="00225952" w:rsidRPr="00846584" w:rsidRDefault="00225952" w:rsidP="008B4377">
            <w:pPr>
              <w:pStyle w:val="Heading4"/>
            </w:pPr>
          </w:p>
        </w:tc>
        <w:tc>
          <w:tcPr>
            <w:tcW w:w="7920" w:type="dxa"/>
          </w:tcPr>
          <w:p w:rsidR="00225952" w:rsidRPr="00E07960" w:rsidRDefault="00225952" w:rsidP="008B4377">
            <w:pPr>
              <w:pStyle w:val="AppText"/>
              <w:jc w:val="left"/>
            </w:pPr>
            <w:r w:rsidRPr="00E07960">
              <w:t>The analysis shall be provided for the following scenarios:</w:t>
            </w:r>
          </w:p>
          <w:p w:rsidR="00225952" w:rsidRPr="00E07960" w:rsidRDefault="00225952" w:rsidP="008B4377">
            <w:pPr>
              <w:pStyle w:val="ListParagraph"/>
              <w:numPr>
                <w:ilvl w:val="0"/>
                <w:numId w:val="33"/>
              </w:numPr>
              <w:spacing w:after="0" w:line="240" w:lineRule="auto"/>
              <w:ind w:left="1152" w:firstLine="0"/>
              <w:contextualSpacing w:val="0"/>
              <w:jc w:val="left"/>
            </w:pPr>
            <w:r w:rsidRPr="00E07960">
              <w:rPr>
                <w:spacing w:val="-5"/>
              </w:rPr>
              <w:t>E</w:t>
            </w:r>
            <w:r w:rsidRPr="00E07960">
              <w:t>xisting (Base) year;</w:t>
            </w:r>
          </w:p>
          <w:p w:rsidR="00225952" w:rsidRPr="00E07960" w:rsidRDefault="00225952" w:rsidP="008B4377">
            <w:pPr>
              <w:pStyle w:val="ListParagraph"/>
              <w:numPr>
                <w:ilvl w:val="0"/>
                <w:numId w:val="33"/>
              </w:numPr>
              <w:spacing w:after="0" w:line="240" w:lineRule="auto"/>
              <w:ind w:left="1152" w:firstLine="0"/>
              <w:contextualSpacing w:val="0"/>
              <w:jc w:val="left"/>
            </w:pPr>
            <w:r w:rsidRPr="00E07960">
              <w:t>Future year (Base + Growth + Project) without modifications (for each phase); and</w:t>
            </w:r>
          </w:p>
          <w:p w:rsidR="00225952" w:rsidRDefault="00225952" w:rsidP="008B4377">
            <w:pPr>
              <w:pStyle w:val="ListParagraph"/>
              <w:numPr>
                <w:ilvl w:val="0"/>
                <w:numId w:val="33"/>
              </w:numPr>
              <w:spacing w:after="120" w:line="240" w:lineRule="auto"/>
              <w:ind w:left="1152" w:firstLine="0"/>
              <w:contextualSpacing w:val="0"/>
              <w:jc w:val="left"/>
            </w:pPr>
            <w:r w:rsidRPr="00E07960">
              <w:t>Future year with modifications (as needed, for each phase).</w:t>
            </w:r>
          </w:p>
          <w:p w:rsidR="00225952" w:rsidRPr="001209A5" w:rsidRDefault="00225952" w:rsidP="008B4377">
            <w:pPr>
              <w:pStyle w:val="AppText"/>
              <w:jc w:val="left"/>
            </w:pPr>
            <w:r w:rsidRPr="001209A5">
              <w:t xml:space="preserve">To determine turning movement volumes for future background traffic, the existing peak hour link volumes and the future year link volumes without the project shall be multiplied by the percent turns obtained from the present day turning movement counts.  Peak hour link volumes shall be obtained consistent with the procedures previously identified in this methodology.  </w:t>
            </w:r>
          </w:p>
          <w:p w:rsidR="00225952" w:rsidRPr="00D641B9" w:rsidRDefault="00225952" w:rsidP="008B4377">
            <w:pPr>
              <w:pStyle w:val="AppText"/>
              <w:jc w:val="left"/>
            </w:pPr>
            <w:r w:rsidRPr="001209A5">
              <w:t xml:space="preserve">Project traffic will be added to all intersection movements once the future year intersection volumes have been determined.  The analysis shall be performed for the </w:t>
            </w:r>
            <w:r>
              <w:t>PM</w:t>
            </w:r>
            <w:r w:rsidRPr="001209A5">
              <w:t xml:space="preserve"> peak hour.  Intersection turning movement illustrations shall be provided for existing and future year scenarios.  For the future year, the illustrations shall clearly indicate the breakdown of existing traffic, background growth, project tr</w:t>
            </w:r>
            <w:r>
              <w:t xml:space="preserve">affic and total traffic.  </w:t>
            </w:r>
          </w:p>
          <w:p w:rsidR="00225952" w:rsidRPr="00D81EF0" w:rsidRDefault="00225952" w:rsidP="008B4377">
            <w:pPr>
              <w:pStyle w:val="AppText"/>
              <w:jc w:val="left"/>
              <w:rPr>
                <w:strike/>
              </w:rPr>
            </w:pPr>
            <w:r w:rsidRPr="001209A5">
              <w:t>Adequate turn lane storage must be provided where needed to accommodate the average back of queue.  Supporting documentation shall be provided that shows that adequate turn lane storage has been provided.  Intersection modifications will include the provision of receiving lanes where needed.</w:t>
            </w:r>
          </w:p>
          <w:p w:rsidR="00225952" w:rsidRPr="00822D7A" w:rsidRDefault="00225952" w:rsidP="008B4377">
            <w:pPr>
              <w:pStyle w:val="AppText"/>
              <w:jc w:val="left"/>
            </w:pPr>
            <w:r w:rsidRPr="001209A5">
              <w:t>The Applicant shall provide concept sketches that illustrate any proposed intersection geometric modifications.</w:t>
            </w:r>
          </w:p>
        </w:tc>
      </w:tr>
      <w:tr w:rsidR="00225952" w:rsidRPr="00E84AE9" w:rsidTr="005B5AFE">
        <w:tc>
          <w:tcPr>
            <w:tcW w:w="10465" w:type="dxa"/>
            <w:gridSpan w:val="2"/>
          </w:tcPr>
          <w:p w:rsidR="00225952" w:rsidRPr="00822D7A" w:rsidRDefault="00225952" w:rsidP="008B4377">
            <w:pPr>
              <w:pStyle w:val="Heading2"/>
            </w:pPr>
            <w:bookmarkStart w:id="393" w:name="_Toc263521899"/>
            <w:bookmarkStart w:id="394" w:name="_Toc263596070"/>
            <w:bookmarkStart w:id="395" w:name="_Toc263613645"/>
            <w:bookmarkStart w:id="396" w:name="_Toc264274201"/>
            <w:r>
              <w:t xml:space="preserve">IV. </w:t>
            </w:r>
            <w:r w:rsidRPr="00E9570B">
              <w:t>Proportionate</w:t>
            </w:r>
            <w:r>
              <w:t xml:space="preserve"> Share Analysis</w:t>
            </w:r>
            <w:bookmarkEnd w:id="393"/>
            <w:bookmarkEnd w:id="394"/>
            <w:bookmarkEnd w:id="395"/>
            <w:bookmarkEnd w:id="396"/>
          </w:p>
        </w:tc>
      </w:tr>
      <w:tr w:rsidR="00225952" w:rsidRPr="00E84AE9" w:rsidTr="005B5AFE">
        <w:tc>
          <w:tcPr>
            <w:tcW w:w="2545" w:type="dxa"/>
          </w:tcPr>
          <w:p w:rsidR="00225952" w:rsidRDefault="00225952" w:rsidP="008B4377">
            <w:pPr>
              <w:pStyle w:val="Heading4"/>
            </w:pPr>
            <w:r>
              <w:t>Proportionate Share Calculations</w:t>
            </w:r>
          </w:p>
          <w:p w:rsidR="00225952" w:rsidRPr="00846584" w:rsidRDefault="00225952" w:rsidP="008B4377">
            <w:pPr>
              <w:pStyle w:val="Heading4"/>
            </w:pPr>
          </w:p>
        </w:tc>
        <w:tc>
          <w:tcPr>
            <w:tcW w:w="7920" w:type="dxa"/>
          </w:tcPr>
          <w:p w:rsidR="00225952" w:rsidRPr="001209A5" w:rsidRDefault="00225952" w:rsidP="008B4377">
            <w:pPr>
              <w:pStyle w:val="AppText"/>
              <w:jc w:val="left"/>
            </w:pPr>
            <w:r>
              <w:t>All proportionate share calculations shall conform to F.A.C. Transportation Uniform Standard Rule 9J-2.045 (h).  All cost estimations shall be calculated using the latest FDOT Transportation Costs per mile models, inflation factors, rights-of-way, and engineering costs from the FDOT website. The applicant shall detail all proportionate share cumulatively by phase. The applicant shall contact the District for any costs not included in the FDOT Transportation Cost models.</w:t>
            </w:r>
          </w:p>
          <w:p w:rsidR="00225952" w:rsidRPr="00822D7A" w:rsidRDefault="00225952" w:rsidP="008B4377">
            <w:pPr>
              <w:spacing w:after="0" w:line="240" w:lineRule="auto"/>
              <w:contextualSpacing/>
              <w:jc w:val="left"/>
            </w:pPr>
          </w:p>
        </w:tc>
      </w:tr>
    </w:tbl>
    <w:p w:rsidR="00225952" w:rsidRDefault="00225952" w:rsidP="00225952">
      <w:pPr>
        <w:pStyle w:val="Heading2"/>
        <w:sectPr w:rsidR="00225952" w:rsidSect="00832911">
          <w:headerReference w:type="default" r:id="rId411"/>
          <w:pgSz w:w="12240" w:h="15840"/>
          <w:pgMar w:top="1440" w:right="720" w:bottom="1440" w:left="1152" w:header="720" w:footer="720" w:gutter="0"/>
          <w:cols w:space="720"/>
          <w:docGrid w:linePitch="360"/>
        </w:sectPr>
      </w:pPr>
    </w:p>
    <w:p w:rsidR="00225952" w:rsidRDefault="00225952" w:rsidP="00225952">
      <w:pPr>
        <w:pStyle w:val="Heading2"/>
        <w:sectPr w:rsidR="00225952" w:rsidSect="00832911">
          <w:type w:val="continuous"/>
          <w:pgSz w:w="12240" w:h="15840"/>
          <w:pgMar w:top="1440" w:right="720" w:bottom="1440" w:left="1152" w:header="720" w:footer="720" w:gutter="0"/>
          <w:cols w:space="720"/>
          <w:docGrid w:linePitch="360"/>
        </w:sectPr>
      </w:pPr>
    </w:p>
    <w:tbl>
      <w:tblPr>
        <w:tblW w:w="10465" w:type="dxa"/>
        <w:tblLayout w:type="fixed"/>
        <w:tblCellMar>
          <w:left w:w="115" w:type="dxa"/>
          <w:right w:w="115" w:type="dxa"/>
        </w:tblCellMar>
        <w:tblLook w:val="0000"/>
      </w:tblPr>
      <w:tblGrid>
        <w:gridCol w:w="2545"/>
        <w:gridCol w:w="7920"/>
      </w:tblGrid>
      <w:tr w:rsidR="00225952" w:rsidRPr="00E84AE9" w:rsidTr="005B5AFE">
        <w:tc>
          <w:tcPr>
            <w:tcW w:w="10465" w:type="dxa"/>
            <w:gridSpan w:val="2"/>
          </w:tcPr>
          <w:p w:rsidR="00225952" w:rsidRDefault="00225952" w:rsidP="00C86195">
            <w:pPr>
              <w:pStyle w:val="Heading1"/>
            </w:pPr>
            <w:bookmarkStart w:id="397" w:name="APXD"/>
            <w:bookmarkEnd w:id="397"/>
            <w:r>
              <w:lastRenderedPageBreak/>
              <w:t xml:space="preserve"> </w:t>
            </w:r>
            <w:bookmarkStart w:id="398" w:name="_Toc260316467"/>
            <w:bookmarkStart w:id="399" w:name="_Toc264274202"/>
            <w:r w:rsidR="009A5DBF" w:rsidRPr="00AC2749">
              <w:t xml:space="preserve">APPENDIX </w:t>
            </w:r>
            <w:r w:rsidRPr="00AC2749">
              <w:t xml:space="preserve">D – </w:t>
            </w:r>
            <w:r w:rsidRPr="00C86195">
              <w:rPr>
                <w:b w:val="0"/>
                <w:sz w:val="28"/>
              </w:rPr>
              <w:t>Sample Proposed Transportation Methodology Comments</w:t>
            </w:r>
            <w:bookmarkEnd w:id="398"/>
            <w:bookmarkEnd w:id="399"/>
            <w:r w:rsidRPr="00AC2749">
              <w:t xml:space="preserve"> </w:t>
            </w:r>
          </w:p>
          <w:p w:rsidR="00225952" w:rsidRPr="00822D7A" w:rsidRDefault="00225952" w:rsidP="00225952">
            <w:pPr>
              <w:spacing w:after="0" w:line="240" w:lineRule="auto"/>
              <w:contextualSpacing/>
            </w:pPr>
          </w:p>
        </w:tc>
      </w:tr>
      <w:tr w:rsidR="00225952" w:rsidRPr="00E84AE9" w:rsidTr="005B5AFE">
        <w:tc>
          <w:tcPr>
            <w:tcW w:w="2545" w:type="dxa"/>
          </w:tcPr>
          <w:p w:rsidR="00225952" w:rsidRPr="005430AF" w:rsidRDefault="00225952" w:rsidP="00225952">
            <w:pPr>
              <w:pStyle w:val="Heading3"/>
            </w:pPr>
            <w:bookmarkStart w:id="400" w:name="_Toc263521901"/>
            <w:bookmarkStart w:id="401" w:name="_Toc263596072"/>
            <w:bookmarkStart w:id="402" w:name="_Toc263613647"/>
            <w:bookmarkStart w:id="403" w:name="_Toc264274203"/>
            <w:r w:rsidRPr="00B33854">
              <w:t>Orchard Park DRI</w:t>
            </w:r>
            <w:r w:rsidRPr="005430AF">
              <w:rPr>
                <w:rStyle w:val="FootnoteReference"/>
              </w:rPr>
              <w:footnoteReference w:id="1"/>
            </w:r>
            <w:bookmarkEnd w:id="400"/>
            <w:bookmarkEnd w:id="401"/>
            <w:bookmarkEnd w:id="402"/>
            <w:bookmarkEnd w:id="403"/>
          </w:p>
          <w:p w:rsidR="00225952" w:rsidRPr="00846584" w:rsidRDefault="00225952" w:rsidP="00225952">
            <w:pPr>
              <w:pStyle w:val="Heading4"/>
            </w:pPr>
          </w:p>
        </w:tc>
        <w:tc>
          <w:tcPr>
            <w:tcW w:w="7920" w:type="dxa"/>
          </w:tcPr>
          <w:p w:rsidR="00225952" w:rsidRDefault="00225952" w:rsidP="008B4377">
            <w:pPr>
              <w:pStyle w:val="ListParagraph"/>
              <w:numPr>
                <w:ilvl w:val="0"/>
                <w:numId w:val="71"/>
              </w:numPr>
              <w:jc w:val="left"/>
            </w:pPr>
            <w:r w:rsidRPr="005430AF">
              <w:t>The coordination of land uses with adjacent uses is not apparent since the surrounding uses are not included on Map H or other maps in the ADA.  Coordination of land uses as well as internal street connectivity are important provisions in order to make progress towards providing traveler choices other than by single occupant vehicles.</w:t>
            </w:r>
          </w:p>
          <w:p w:rsidR="00225952" w:rsidRDefault="00225952" w:rsidP="008B4377">
            <w:pPr>
              <w:pStyle w:val="ListParagraph"/>
              <w:numPr>
                <w:ilvl w:val="0"/>
                <w:numId w:val="71"/>
              </w:numPr>
              <w:jc w:val="left"/>
            </w:pPr>
            <w:r w:rsidRPr="005430AF">
              <w:t>In order to foster desirable characteristics that result in sustainable development, including access to various modes of travel to and from adjacent land uses, the DRI applicant should be required to develop design guidelines that demonstrate how urban design, land use, and roadway characteristics will result in optimal mobility for the project and beyond.</w:t>
            </w:r>
          </w:p>
          <w:p w:rsidR="00225952" w:rsidRDefault="00225952" w:rsidP="008B4377">
            <w:pPr>
              <w:pStyle w:val="ListParagraph"/>
              <w:numPr>
                <w:ilvl w:val="0"/>
                <w:numId w:val="71"/>
              </w:numPr>
              <w:jc w:val="left"/>
            </w:pPr>
            <w:r w:rsidRPr="005430AF">
              <w:t xml:space="preserve">The DRI claims to be encouraging non-vehicular forms of travel.  However, no maps are provided which demonstrate the accessibility of land uses to bicycles, pedestrians, and future transit facilities.  The applicant should consider providing a transportation map for the DRI that overlays the vehicular, bicycle, pedestrian, and transit facilities and services that are expected to serve the DRI.  Key parking areas and parking strategies should also be identified to aid in assessing how this infrastructure affects the encouragement of alternative modes of travel.  The ADA indicates bicycle facilities will be provided to connect to other greenways.  It is important that bicycle and pedestrian facilities be created throughout the area to foster forms of mobility other than the single-occupant vehicle.  The project will not be marketed as retiree or second homes, and nearby and on-site research and development employment opportunities will abound.  As such, the project will draw families with children to the community and therefore bicycle and pedestrian access between residential areas, commercial areas, and community facilities, such as parks and schools, should be included with the development. </w:t>
            </w:r>
          </w:p>
          <w:p w:rsidR="00225952" w:rsidRPr="005430AF" w:rsidRDefault="00225952" w:rsidP="008B4377">
            <w:pPr>
              <w:pStyle w:val="ListParagraph"/>
              <w:numPr>
                <w:ilvl w:val="0"/>
                <w:numId w:val="71"/>
              </w:numPr>
              <w:jc w:val="left"/>
            </w:pPr>
            <w:r w:rsidRPr="005430AF">
              <w:t xml:space="preserve">Many of the previous comments also relate to making the community “Transit Ready.” The application proposes clustered development with residential densities of nine to fifteen units per acre. These densities are sufficient to support fixed route transit service and should be located on Map H of the </w:t>
            </w:r>
            <w:smartTag w:uri="urn:schemas-microsoft-com:office:smarttags" w:element="place">
              <w:smartTag w:uri="urn:schemas-microsoft-com:office:smarttags" w:element="City">
                <w:r w:rsidRPr="005430AF">
                  <w:t>ADA</w:t>
                </w:r>
              </w:smartTag>
            </w:smartTag>
            <w:r w:rsidRPr="005430AF">
              <w:t xml:space="preserve"> as well as the transportation map requested above.  Although transit does not </w:t>
            </w:r>
            <w:r w:rsidRPr="005430AF">
              <w:lastRenderedPageBreak/>
              <w:t xml:space="preserve">service the area at this time, the application should not only make a commitment to accommodate future service but also to maximize it through supportive land uses, urban design, and connectivity. The demand between the research and development uses to the north and the commercial/mixed use areas along SR-70 will also support transit service. The applicant should coordinate with the St. Lucie Council on Aging to discuss the potential for future extension of existing transit service on Okeechobee Road from east of the Turnpike to the development.  Such discussion should also be documented and reported as part of the </w:t>
            </w:r>
            <w:smartTag w:uri="urn:schemas-microsoft-com:office:smarttags" w:element="place">
              <w:smartTag w:uri="urn:schemas-microsoft-com:office:smarttags" w:element="City">
                <w:r w:rsidRPr="005430AF">
                  <w:t>ADA</w:t>
                </w:r>
              </w:smartTag>
            </w:smartTag>
            <w:r w:rsidRPr="005430AF">
              <w:t xml:space="preserve">. </w:t>
            </w:r>
          </w:p>
          <w:p w:rsidR="00225952" w:rsidRPr="005430AF" w:rsidRDefault="00225952" w:rsidP="008B4377">
            <w:pPr>
              <w:pStyle w:val="ListParagraph"/>
              <w:numPr>
                <w:ilvl w:val="0"/>
                <w:numId w:val="71"/>
              </w:numPr>
              <w:jc w:val="left"/>
            </w:pPr>
            <w:r w:rsidRPr="005430AF">
              <w:t xml:space="preserve">Local governments must adopt the LOS standards set by the Department for Strategic Intermodal System (SIS) facilities. As such, the applicant and County will need to ensure the level of service set for </w:t>
            </w:r>
            <w:smartTag w:uri="urn:schemas-microsoft-com:office:smarttags" w:element="Street">
              <w:smartTag w:uri="urn:schemas-microsoft-com:office:smarttags" w:element="address">
                <w:r w:rsidRPr="005430AF">
                  <w:t>State Road</w:t>
                </w:r>
              </w:smartTag>
            </w:smartTag>
            <w:r w:rsidRPr="005430AF">
              <w:t xml:space="preserve"> 70/Okeechobee Road is not exceeded.  Consideration should be given to increasing the grid pattern of local and regional roads to provide alternate routes. To address potential congestion, the applicant also could commit to the development and implementation of transportation demand management strategies to reduce project related peak hour automobile trips.  The applicant might consider integrating a park and ride lot with the commercial development along SR-70. This will enable commuters to accommodate various trip purposes from one location and will thus reduce vehicles miles traveled and impacts to area roadways, including the SIS. </w:t>
            </w:r>
          </w:p>
          <w:p w:rsidR="00225952" w:rsidRPr="005430AF" w:rsidRDefault="00225952" w:rsidP="008B4377">
            <w:pPr>
              <w:pStyle w:val="ListParagraph"/>
              <w:numPr>
                <w:ilvl w:val="0"/>
                <w:numId w:val="71"/>
              </w:numPr>
              <w:spacing w:after="120"/>
              <w:jc w:val="left"/>
            </w:pPr>
            <w:r w:rsidRPr="005430AF">
              <w:t>Much of the above information is necessary to enable the Department to conduct a thorough review of the DRI for Question 21(I) of the ADA.  The information will also aid in the review of anticipated comprehensive plan amendments for consistency with the following County policies:</w:t>
            </w:r>
          </w:p>
          <w:p w:rsidR="00225952" w:rsidRPr="007722AD" w:rsidRDefault="00225952" w:rsidP="008B4377">
            <w:pPr>
              <w:pStyle w:val="BulletA"/>
              <w:numPr>
                <w:ilvl w:val="0"/>
                <w:numId w:val="126"/>
              </w:numPr>
            </w:pPr>
            <w:r w:rsidRPr="007722AD">
              <w:t>establish bicycle and pedestrian facilities;</w:t>
            </w:r>
          </w:p>
          <w:p w:rsidR="00225952" w:rsidRDefault="00225952" w:rsidP="008B4377">
            <w:pPr>
              <w:pStyle w:val="BulletA"/>
              <w:numPr>
                <w:ilvl w:val="0"/>
                <w:numId w:val="126"/>
              </w:numPr>
            </w:pPr>
            <w:r w:rsidRPr="007722AD">
              <w:t>ensure sidewalk connectivity and completion of missing sidewalk segments;</w:t>
            </w:r>
          </w:p>
          <w:p w:rsidR="00225952" w:rsidRPr="007722AD" w:rsidRDefault="00225952" w:rsidP="008B4377">
            <w:pPr>
              <w:pStyle w:val="BulletA"/>
              <w:numPr>
                <w:ilvl w:val="0"/>
                <w:numId w:val="126"/>
              </w:numPr>
            </w:pPr>
            <w:r w:rsidRPr="007722AD">
              <w:t>review all future development plans for compatibility with transit</w:t>
            </w:r>
          </w:p>
          <w:p w:rsidR="00225952" w:rsidRPr="00822D7A" w:rsidRDefault="00225952" w:rsidP="00225952">
            <w:pPr>
              <w:spacing w:after="0" w:line="240" w:lineRule="auto"/>
              <w:contextualSpacing/>
            </w:pPr>
          </w:p>
        </w:tc>
      </w:tr>
    </w:tbl>
    <w:p w:rsidR="00225952" w:rsidRPr="00822D7A" w:rsidRDefault="00225952" w:rsidP="00225952">
      <w:pPr>
        <w:pStyle w:val="Default"/>
        <w:contextualSpacing/>
        <w:jc w:val="both"/>
        <w:rPr>
          <w:sz w:val="22"/>
        </w:rPr>
      </w:pPr>
    </w:p>
    <w:p w:rsidR="00225952" w:rsidRDefault="00225952" w:rsidP="00225952">
      <w:pPr>
        <w:spacing w:after="50" w:line="240" w:lineRule="auto"/>
        <w:ind w:left="180"/>
        <w:sectPr w:rsidR="00225952" w:rsidSect="00832911">
          <w:headerReference w:type="default" r:id="rId412"/>
          <w:pgSz w:w="12240" w:h="15840"/>
          <w:pgMar w:top="1440" w:right="720" w:bottom="1440" w:left="1152" w:header="720" w:footer="720" w:gutter="0"/>
          <w:cols w:space="720"/>
          <w:docGrid w:linePitch="360"/>
        </w:sectPr>
      </w:pPr>
    </w:p>
    <w:p w:rsidR="00225952" w:rsidRDefault="00225952" w:rsidP="00225952">
      <w:pPr>
        <w:pStyle w:val="Heading1"/>
        <w:spacing w:after="0" w:line="240" w:lineRule="auto"/>
        <w:sectPr w:rsidR="00225952" w:rsidSect="00832911">
          <w:headerReference w:type="default" r:id="rId413"/>
          <w:type w:val="continuous"/>
          <w:pgSz w:w="12240" w:h="15840"/>
          <w:pgMar w:top="1440" w:right="720" w:bottom="1440" w:left="1152" w:header="720" w:footer="720" w:gutter="0"/>
          <w:cols w:space="720"/>
          <w:docGrid w:linePitch="360"/>
        </w:sectPr>
      </w:pPr>
      <w:r>
        <w:lastRenderedPageBreak/>
        <w:br w:type="page"/>
      </w:r>
    </w:p>
    <w:p w:rsidR="00225952" w:rsidRPr="009A5DBF" w:rsidRDefault="009A5DBF" w:rsidP="00C86195">
      <w:pPr>
        <w:pStyle w:val="Heading1"/>
        <w:rPr>
          <w:sz w:val="30"/>
          <w:szCs w:val="30"/>
        </w:rPr>
      </w:pPr>
      <w:bookmarkStart w:id="404" w:name="APXE"/>
      <w:bookmarkStart w:id="405" w:name="_Toc205865734"/>
      <w:bookmarkStart w:id="406" w:name="_Toc205865916"/>
      <w:bookmarkStart w:id="407" w:name="_Toc205865975"/>
      <w:bookmarkStart w:id="408" w:name="_Toc205866104"/>
      <w:bookmarkStart w:id="409" w:name="_Toc205866202"/>
      <w:bookmarkStart w:id="410" w:name="_Toc205866287"/>
      <w:bookmarkStart w:id="411" w:name="_Toc205866330"/>
      <w:bookmarkStart w:id="412" w:name="_Toc205866411"/>
      <w:bookmarkStart w:id="413" w:name="_Toc205866454"/>
      <w:bookmarkStart w:id="414" w:name="_Toc260316468"/>
      <w:bookmarkStart w:id="415" w:name="_Toc264274204"/>
      <w:bookmarkEnd w:id="404"/>
      <w:r w:rsidRPr="009A5DBF">
        <w:rPr>
          <w:sz w:val="30"/>
          <w:szCs w:val="30"/>
        </w:rPr>
        <w:lastRenderedPageBreak/>
        <w:t xml:space="preserve">APPENDIX </w:t>
      </w:r>
      <w:r w:rsidR="00225952" w:rsidRPr="009A5DBF">
        <w:rPr>
          <w:sz w:val="30"/>
          <w:szCs w:val="30"/>
        </w:rPr>
        <w:t xml:space="preserve">E – </w:t>
      </w:r>
      <w:r w:rsidR="00225952" w:rsidRPr="009A5DBF">
        <w:rPr>
          <w:b w:val="0"/>
          <w:sz w:val="30"/>
          <w:szCs w:val="30"/>
        </w:rPr>
        <w:t>Sample Proposed Transportation Methodology Comments</w:t>
      </w:r>
      <w:bookmarkEnd w:id="405"/>
      <w:bookmarkEnd w:id="406"/>
      <w:bookmarkEnd w:id="407"/>
      <w:bookmarkEnd w:id="408"/>
      <w:bookmarkEnd w:id="409"/>
      <w:bookmarkEnd w:id="410"/>
      <w:bookmarkEnd w:id="411"/>
      <w:bookmarkEnd w:id="412"/>
      <w:bookmarkEnd w:id="413"/>
      <w:bookmarkEnd w:id="414"/>
      <w:bookmarkEnd w:id="415"/>
      <w:r w:rsidR="00225952" w:rsidRPr="009A5DBF">
        <w:rPr>
          <w:sz w:val="30"/>
          <w:szCs w:val="30"/>
        </w:rPr>
        <w:t xml:space="preserve"> </w:t>
      </w:r>
    </w:p>
    <w:p w:rsidR="00494391" w:rsidRDefault="00494391" w:rsidP="00225952">
      <w:pPr>
        <w:sectPr w:rsidR="00494391" w:rsidSect="00832911">
          <w:headerReference w:type="default" r:id="rId414"/>
          <w:type w:val="continuous"/>
          <w:pgSz w:w="12240" w:h="15840"/>
          <w:pgMar w:top="1440" w:right="720" w:bottom="1440" w:left="1152" w:header="720" w:footer="720" w:gutter="0"/>
          <w:cols w:space="720"/>
          <w:docGrid w:linePitch="360"/>
        </w:sectPr>
      </w:pPr>
    </w:p>
    <w:p w:rsidR="00225952" w:rsidRDefault="00225952" w:rsidP="00225952">
      <w:r>
        <w:rPr>
          <w:noProof/>
        </w:rPr>
        <w:lastRenderedPageBreak/>
        <w:drawing>
          <wp:inline distT="0" distB="0" distL="0" distR="0">
            <wp:extent cx="5587388" cy="7421526"/>
            <wp:effectExtent l="19050" t="0" r="0" b="0"/>
            <wp:docPr id="53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5" cstate="print"/>
                    <a:srcRect r="2806"/>
                    <a:stretch>
                      <a:fillRect/>
                    </a:stretch>
                  </pic:blipFill>
                  <pic:spPr bwMode="auto">
                    <a:xfrm>
                      <a:off x="0" y="0"/>
                      <a:ext cx="5587388" cy="7421526"/>
                    </a:xfrm>
                    <a:prstGeom prst="rect">
                      <a:avLst/>
                    </a:prstGeom>
                    <a:noFill/>
                    <a:ln w="9525">
                      <a:noFill/>
                      <a:miter lim="800000"/>
                      <a:headEnd/>
                      <a:tailEnd/>
                    </a:ln>
                  </pic:spPr>
                </pic:pic>
              </a:graphicData>
            </a:graphic>
          </wp:inline>
        </w:drawing>
      </w:r>
      <w:r>
        <w:t xml:space="preserve"> </w:t>
      </w:r>
    </w:p>
    <w:p w:rsidR="00225952" w:rsidRDefault="00225952" w:rsidP="00225952">
      <w:r>
        <w:rPr>
          <w:noProof/>
        </w:rPr>
        <w:lastRenderedPageBreak/>
        <w:drawing>
          <wp:inline distT="0" distB="0" distL="0" distR="0">
            <wp:extent cx="5758815" cy="7423785"/>
            <wp:effectExtent l="19050" t="0" r="0" b="0"/>
            <wp:docPr id="53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6" cstate="print"/>
                    <a:srcRect/>
                    <a:stretch>
                      <a:fillRect/>
                    </a:stretch>
                  </pic:blipFill>
                  <pic:spPr bwMode="auto">
                    <a:xfrm>
                      <a:off x="0" y="0"/>
                      <a:ext cx="5758815" cy="7423785"/>
                    </a:xfrm>
                    <a:prstGeom prst="rect">
                      <a:avLst/>
                    </a:prstGeom>
                    <a:noFill/>
                    <a:ln w="9525">
                      <a:noFill/>
                      <a:miter lim="800000"/>
                      <a:headEnd/>
                      <a:tailEnd/>
                    </a:ln>
                  </pic:spPr>
                </pic:pic>
              </a:graphicData>
            </a:graphic>
          </wp:inline>
        </w:drawing>
      </w:r>
      <w:r>
        <w:t xml:space="preserve"> </w:t>
      </w:r>
    </w:p>
    <w:p w:rsidR="00225952" w:rsidRDefault="00225952" w:rsidP="00225952">
      <w:r>
        <w:br w:type="page"/>
      </w:r>
      <w:r>
        <w:rPr>
          <w:noProof/>
        </w:rPr>
        <w:lastRenderedPageBreak/>
        <w:drawing>
          <wp:inline distT="0" distB="0" distL="0" distR="0">
            <wp:extent cx="5758815" cy="7412990"/>
            <wp:effectExtent l="19050" t="0" r="0" b="0"/>
            <wp:docPr id="53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7" cstate="print"/>
                    <a:srcRect/>
                    <a:stretch>
                      <a:fillRect/>
                    </a:stretch>
                  </pic:blipFill>
                  <pic:spPr bwMode="auto">
                    <a:xfrm>
                      <a:off x="0" y="0"/>
                      <a:ext cx="5758815" cy="7412990"/>
                    </a:xfrm>
                    <a:prstGeom prst="rect">
                      <a:avLst/>
                    </a:prstGeom>
                    <a:noFill/>
                    <a:ln w="9525">
                      <a:noFill/>
                      <a:miter lim="800000"/>
                      <a:headEnd/>
                      <a:tailEnd/>
                    </a:ln>
                  </pic:spPr>
                </pic:pic>
              </a:graphicData>
            </a:graphic>
          </wp:inline>
        </w:drawing>
      </w:r>
      <w:r>
        <w:t xml:space="preserve"> </w:t>
      </w:r>
    </w:p>
    <w:p w:rsidR="00225952" w:rsidRDefault="00225952" w:rsidP="00225952">
      <w:pPr>
        <w:sectPr w:rsidR="00225952" w:rsidSect="00832911">
          <w:type w:val="continuous"/>
          <w:pgSz w:w="12240" w:h="15840"/>
          <w:pgMar w:top="1440" w:right="720" w:bottom="1440" w:left="1152" w:header="720" w:footer="720" w:gutter="0"/>
          <w:cols w:space="720"/>
          <w:docGrid w:linePitch="360"/>
        </w:sectPr>
      </w:pPr>
      <w:r>
        <w:rPr>
          <w:noProof/>
        </w:rPr>
        <w:lastRenderedPageBreak/>
        <w:drawing>
          <wp:inline distT="0" distB="0" distL="0" distR="0">
            <wp:extent cx="5758815" cy="7412990"/>
            <wp:effectExtent l="19050" t="0" r="0" b="0"/>
            <wp:docPr id="54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8" cstate="print"/>
                    <a:srcRect/>
                    <a:stretch>
                      <a:fillRect/>
                    </a:stretch>
                  </pic:blipFill>
                  <pic:spPr bwMode="auto">
                    <a:xfrm>
                      <a:off x="0" y="0"/>
                      <a:ext cx="5758815" cy="7412990"/>
                    </a:xfrm>
                    <a:prstGeom prst="rect">
                      <a:avLst/>
                    </a:prstGeom>
                    <a:noFill/>
                    <a:ln w="9525">
                      <a:noFill/>
                      <a:miter lim="800000"/>
                      <a:headEnd/>
                      <a:tailEnd/>
                    </a:ln>
                  </pic:spPr>
                </pic:pic>
              </a:graphicData>
            </a:graphic>
          </wp:inline>
        </w:drawing>
      </w:r>
      <w:r>
        <w:t xml:space="preserve"> </w:t>
      </w:r>
    </w:p>
    <w:tbl>
      <w:tblPr>
        <w:tblW w:w="10465" w:type="dxa"/>
        <w:tblLayout w:type="fixed"/>
        <w:tblCellMar>
          <w:left w:w="115" w:type="dxa"/>
          <w:right w:w="115" w:type="dxa"/>
        </w:tblCellMar>
        <w:tblLook w:val="0000"/>
      </w:tblPr>
      <w:tblGrid>
        <w:gridCol w:w="10465"/>
      </w:tblGrid>
      <w:tr w:rsidR="00225952" w:rsidRPr="00822D7A" w:rsidTr="005B5AFE">
        <w:tc>
          <w:tcPr>
            <w:tcW w:w="10465" w:type="dxa"/>
          </w:tcPr>
          <w:p w:rsidR="00225952" w:rsidRPr="00AB241F" w:rsidRDefault="009A5DBF" w:rsidP="00C86195">
            <w:pPr>
              <w:pStyle w:val="Heading1"/>
            </w:pPr>
            <w:bookmarkStart w:id="416" w:name="APXF"/>
            <w:bookmarkStart w:id="417" w:name="_Toc264274205"/>
            <w:bookmarkEnd w:id="416"/>
            <w:r w:rsidRPr="005B5AFE">
              <w:lastRenderedPageBreak/>
              <w:t xml:space="preserve">APPENDIX </w:t>
            </w:r>
            <w:r w:rsidR="00225952" w:rsidRPr="005B5AFE">
              <w:t xml:space="preserve">F – </w:t>
            </w:r>
            <w:r w:rsidR="00225952" w:rsidRPr="00C86195">
              <w:rPr>
                <w:b w:val="0"/>
              </w:rPr>
              <w:t>FDOT District 4 Example</w:t>
            </w:r>
            <w:r w:rsidR="00225952" w:rsidRPr="00AB241F">
              <w:rPr>
                <w:rStyle w:val="CommentSubjectChar"/>
              </w:rPr>
              <w:t xml:space="preserve"> </w:t>
            </w:r>
            <w:r w:rsidR="00225952">
              <w:rPr>
                <w:rStyle w:val="CommentSubjectChar"/>
                <w:sz w:val="32"/>
              </w:rPr>
              <w:br/>
            </w:r>
            <w:r w:rsidR="00225952" w:rsidRPr="00AB241F">
              <w:rPr>
                <w:rStyle w:val="CommentSubjectChar"/>
              </w:rPr>
              <w:t>Office of Modal Development (OMD) Multimodal Sufficiency Comments</w:t>
            </w:r>
            <w:bookmarkEnd w:id="417"/>
          </w:p>
        </w:tc>
      </w:tr>
    </w:tbl>
    <w:p w:rsidR="00C86195" w:rsidRDefault="00C86195" w:rsidP="00225952">
      <w:pPr>
        <w:pStyle w:val="Heading4"/>
        <w:sectPr w:rsidR="00C86195" w:rsidSect="00832911">
          <w:headerReference w:type="default" r:id="rId419"/>
          <w:pgSz w:w="12240" w:h="15840"/>
          <w:pgMar w:top="1440" w:right="720" w:bottom="1440" w:left="1152" w:header="720" w:footer="720" w:gutter="0"/>
          <w:cols w:space="720"/>
          <w:docGrid w:linePitch="360"/>
        </w:sectPr>
      </w:pPr>
    </w:p>
    <w:tbl>
      <w:tblPr>
        <w:tblW w:w="10465" w:type="dxa"/>
        <w:tblLayout w:type="fixed"/>
        <w:tblCellMar>
          <w:left w:w="115" w:type="dxa"/>
          <w:right w:w="115" w:type="dxa"/>
        </w:tblCellMar>
        <w:tblLook w:val="0000"/>
      </w:tblPr>
      <w:tblGrid>
        <w:gridCol w:w="2545"/>
        <w:gridCol w:w="3330"/>
        <w:gridCol w:w="4590"/>
      </w:tblGrid>
      <w:tr w:rsidR="00225952" w:rsidRPr="00822D7A" w:rsidTr="005B5AFE">
        <w:tc>
          <w:tcPr>
            <w:tcW w:w="2545" w:type="dxa"/>
          </w:tcPr>
          <w:p w:rsidR="00225952" w:rsidRPr="00846584" w:rsidRDefault="00225952" w:rsidP="00225952">
            <w:pPr>
              <w:pStyle w:val="Heading4"/>
            </w:pPr>
          </w:p>
        </w:tc>
        <w:tc>
          <w:tcPr>
            <w:tcW w:w="7920" w:type="dxa"/>
            <w:gridSpan w:val="2"/>
          </w:tcPr>
          <w:p w:rsidR="00225952" w:rsidRPr="007722AD" w:rsidRDefault="00225952" w:rsidP="00225952">
            <w:pPr>
              <w:pStyle w:val="AppText"/>
              <w:rPr>
                <w:i/>
              </w:rPr>
            </w:pPr>
            <w:r w:rsidRPr="007722AD">
              <w:rPr>
                <w:i/>
              </w:rPr>
              <w:t>The following sample sufficiency comments have been used in District 4 as general guidance on writing sufficiency comments.</w:t>
            </w:r>
          </w:p>
        </w:tc>
      </w:tr>
      <w:tr w:rsidR="00225952" w:rsidRPr="00822D7A" w:rsidTr="005B5AFE">
        <w:tc>
          <w:tcPr>
            <w:tcW w:w="2545" w:type="dxa"/>
          </w:tcPr>
          <w:p w:rsidR="00225952" w:rsidRPr="005B5AFE" w:rsidRDefault="00225952" w:rsidP="005B5AFE">
            <w:pPr>
              <w:pStyle w:val="Heading4"/>
              <w:rPr>
                <w:rStyle w:val="StyleUnderlineLeft025CharChar"/>
                <w:rFonts w:ascii="Calibri" w:hAnsi="Calibri"/>
                <w:bCs/>
                <w:u w:val="none"/>
              </w:rPr>
            </w:pPr>
            <w:r w:rsidRPr="005B5AFE">
              <w:rPr>
                <w:rStyle w:val="StyleUnderlineLeft025CharChar"/>
                <w:rFonts w:ascii="Calibri" w:hAnsi="Calibri"/>
                <w:bCs/>
                <w:u w:val="none"/>
              </w:rPr>
              <w:t>Alternative Transportation Modes</w:t>
            </w:r>
          </w:p>
          <w:p w:rsidR="00225952" w:rsidRPr="00846584" w:rsidRDefault="00225952" w:rsidP="00225952">
            <w:pPr>
              <w:pStyle w:val="Heading4"/>
            </w:pPr>
          </w:p>
        </w:tc>
        <w:tc>
          <w:tcPr>
            <w:tcW w:w="7920" w:type="dxa"/>
            <w:gridSpan w:val="2"/>
          </w:tcPr>
          <w:p w:rsidR="00225952" w:rsidRPr="00AB241F" w:rsidRDefault="00225952" w:rsidP="00225952">
            <w:pPr>
              <w:pStyle w:val="AppText"/>
            </w:pPr>
            <w:r w:rsidRPr="00AB241F">
              <w:t>The projected mode split of 3% is consistent with the projected total number of PM Peak Hour trips (96) and Daily trips (977). This number of trips would support a "Hub" stop, which should be at locations with over 50 average daily boardings and serve multiple transit routes. (Gulfstream)</w:t>
            </w:r>
          </w:p>
          <w:p w:rsidR="00225952" w:rsidRPr="00AB241F" w:rsidRDefault="00225952" w:rsidP="00492913">
            <w:pPr>
              <w:pStyle w:val="AppText"/>
              <w:spacing w:after="60"/>
            </w:pPr>
            <w:r w:rsidRPr="00AB241F">
              <w:t>The applicant should more clearly define the bicycle, pedestrian, and transit facilities and services that are expected to serve the DRI so that the planning and provision of these facilities and services can be addressed in a comprehensive manner, rather than wait for future piecemeal site plan review as indicated on page ... Key parking areas and parking strategies should also be identified to aid in assessing how this infrastructure affects the encouragement of alternative modes of travel. (Provences)</w:t>
            </w:r>
          </w:p>
          <w:p w:rsidR="00225952" w:rsidRPr="00AB241F" w:rsidRDefault="00225952" w:rsidP="00AD2D7A">
            <w:pPr>
              <w:pStyle w:val="AppendixA"/>
              <w:numPr>
                <w:ilvl w:val="0"/>
                <w:numId w:val="155"/>
              </w:numPr>
            </w:pPr>
            <w:r w:rsidRPr="00AB241F">
              <w:t>The applicant should coordinate with the St. Lucie Council on Aging, to discuss t</w:t>
            </w:r>
            <w:r w:rsidR="00492913">
              <w:t xml:space="preserve">he </w:t>
            </w:r>
            <w:r w:rsidRPr="00AB241F">
              <w:t>potential for future extension of existing transit service to the development and the future establishment of a transit transfer and ridesharing facility, if this is determined to be needed. Such discussion should be documented and reported as part of the ADA. (Provences)</w:t>
            </w:r>
          </w:p>
        </w:tc>
      </w:tr>
      <w:tr w:rsidR="00225952" w:rsidRPr="00822D7A" w:rsidTr="005B5AFE">
        <w:tc>
          <w:tcPr>
            <w:tcW w:w="2545" w:type="dxa"/>
          </w:tcPr>
          <w:p w:rsidR="00225952" w:rsidRPr="005B5AFE" w:rsidRDefault="00225952" w:rsidP="005B5AFE">
            <w:pPr>
              <w:pStyle w:val="Heading4"/>
              <w:rPr>
                <w:rStyle w:val="StyleUnderlineLeft025CharChar"/>
                <w:rFonts w:ascii="Calibri" w:hAnsi="Calibri"/>
                <w:bCs/>
                <w:u w:val="none"/>
              </w:rPr>
            </w:pPr>
            <w:r w:rsidRPr="005B5AFE">
              <w:rPr>
                <w:rStyle w:val="StyleUnderlineLeft025CharChar"/>
                <w:rFonts w:ascii="Calibri" w:hAnsi="Calibri"/>
                <w:bCs/>
                <w:u w:val="none"/>
              </w:rPr>
              <w:t>Transportation Demand Management Strategies (TDM)</w:t>
            </w:r>
          </w:p>
          <w:p w:rsidR="00225952" w:rsidRPr="00846584" w:rsidRDefault="00225952" w:rsidP="00225952">
            <w:pPr>
              <w:pStyle w:val="Heading4"/>
            </w:pPr>
          </w:p>
        </w:tc>
        <w:tc>
          <w:tcPr>
            <w:tcW w:w="7920" w:type="dxa"/>
            <w:gridSpan w:val="2"/>
          </w:tcPr>
          <w:p w:rsidR="00225952" w:rsidRPr="00AB241F" w:rsidRDefault="00225952" w:rsidP="00225952">
            <w:pPr>
              <w:pStyle w:val="AppText"/>
            </w:pPr>
            <w:r w:rsidRPr="00AB241F">
              <w:t xml:space="preserve">A commitment to use Transportation Demand Management (TDM) strategies and related details regarding those strategies should be included in Question 21(i) of the application. Some strategies include, but are not limited to the following: (Gulfstream) </w:t>
            </w:r>
          </w:p>
          <w:p w:rsidR="00225952" w:rsidRPr="00AB241F" w:rsidRDefault="00225952" w:rsidP="00AD2D7A">
            <w:pPr>
              <w:pStyle w:val="StyleBulleted"/>
              <w:numPr>
                <w:ilvl w:val="0"/>
                <w:numId w:val="156"/>
              </w:numPr>
              <w:jc w:val="left"/>
              <w:rPr>
                <w:rFonts w:asciiTheme="minorHAnsi" w:hAnsiTheme="minorHAnsi"/>
                <w:sz w:val="20"/>
                <w:szCs w:val="20"/>
              </w:rPr>
            </w:pPr>
            <w:r w:rsidRPr="00AB241F">
              <w:rPr>
                <w:rFonts w:asciiTheme="minorHAnsi" w:hAnsiTheme="minorHAnsi"/>
                <w:sz w:val="20"/>
                <w:szCs w:val="20"/>
              </w:rPr>
              <w:t>An Employee Transportation Coordinator employed on-site who will actively coordinate with South Florida Commuter Services and offer them the opportunity to review and comment on TDM activities.</w:t>
            </w:r>
          </w:p>
          <w:p w:rsidR="00225952" w:rsidRPr="00AB241F" w:rsidRDefault="00225952" w:rsidP="00AD2D7A">
            <w:pPr>
              <w:pStyle w:val="StyleBulleted"/>
              <w:numPr>
                <w:ilvl w:val="0"/>
                <w:numId w:val="156"/>
              </w:numPr>
              <w:jc w:val="left"/>
              <w:rPr>
                <w:rFonts w:asciiTheme="minorHAnsi" w:hAnsiTheme="minorHAnsi"/>
                <w:sz w:val="20"/>
                <w:szCs w:val="20"/>
              </w:rPr>
            </w:pPr>
            <w:r w:rsidRPr="00AB241F">
              <w:rPr>
                <w:rFonts w:asciiTheme="minorHAnsi" w:hAnsiTheme="minorHAnsi"/>
                <w:sz w:val="20"/>
                <w:szCs w:val="20"/>
              </w:rPr>
              <w:t>Identification and designation of specific areas with close access to particular jobsites for employees who carpool/vanpool to work.</w:t>
            </w:r>
          </w:p>
          <w:p w:rsidR="00225952" w:rsidRPr="00AB241F" w:rsidRDefault="00225952" w:rsidP="00AD2D7A">
            <w:pPr>
              <w:pStyle w:val="StyleBulleted"/>
              <w:numPr>
                <w:ilvl w:val="0"/>
                <w:numId w:val="156"/>
              </w:numPr>
              <w:jc w:val="left"/>
              <w:rPr>
                <w:rFonts w:asciiTheme="minorHAnsi" w:hAnsiTheme="minorHAnsi"/>
                <w:sz w:val="20"/>
                <w:szCs w:val="20"/>
              </w:rPr>
            </w:pPr>
            <w:r w:rsidRPr="00AB241F">
              <w:rPr>
                <w:rFonts w:asciiTheme="minorHAnsi" w:hAnsiTheme="minorHAnsi"/>
                <w:sz w:val="20"/>
                <w:szCs w:val="20"/>
              </w:rPr>
              <w:t>Location and installation of kiosks within the facility to provide transportation related information and options on carpooling, vanpooling, bus/transit schedules, and maps.</w:t>
            </w:r>
          </w:p>
          <w:p w:rsidR="00225952" w:rsidRPr="00AB241F" w:rsidRDefault="00225952" w:rsidP="00AD2D7A">
            <w:pPr>
              <w:pStyle w:val="StyleBulleted"/>
              <w:numPr>
                <w:ilvl w:val="0"/>
                <w:numId w:val="156"/>
              </w:numPr>
              <w:jc w:val="left"/>
              <w:rPr>
                <w:rFonts w:asciiTheme="minorHAnsi" w:hAnsiTheme="minorHAnsi"/>
                <w:sz w:val="20"/>
                <w:szCs w:val="20"/>
              </w:rPr>
            </w:pPr>
            <w:r w:rsidRPr="00AB241F">
              <w:rPr>
                <w:rFonts w:asciiTheme="minorHAnsi" w:hAnsiTheme="minorHAnsi"/>
                <w:sz w:val="20"/>
                <w:szCs w:val="20"/>
              </w:rPr>
              <w:t>Management of a "Guaranteed Ride Home Program" for car/vanpoolers.</w:t>
            </w:r>
          </w:p>
          <w:p w:rsidR="00225952" w:rsidRPr="00AB241F" w:rsidRDefault="00225952" w:rsidP="00225952">
            <w:pPr>
              <w:spacing w:after="0" w:line="240" w:lineRule="auto"/>
              <w:contextualSpacing/>
              <w:rPr>
                <w:sz w:val="20"/>
              </w:rPr>
            </w:pPr>
          </w:p>
        </w:tc>
      </w:tr>
      <w:tr w:rsidR="00225952" w:rsidRPr="00822D7A" w:rsidTr="005B5AFE">
        <w:tc>
          <w:tcPr>
            <w:tcW w:w="2545" w:type="dxa"/>
          </w:tcPr>
          <w:p w:rsidR="00225952" w:rsidRPr="005B5AFE" w:rsidRDefault="00225952" w:rsidP="005B5AFE">
            <w:pPr>
              <w:pStyle w:val="Heading4"/>
            </w:pPr>
            <w:r w:rsidRPr="00492913">
              <w:rPr>
                <w:rStyle w:val="StyleUnderlineLeft025CharChar"/>
                <w:rFonts w:ascii="Calibri" w:hAnsi="Calibri"/>
                <w:bCs/>
                <w:sz w:val="22"/>
                <w:u w:val="none"/>
              </w:rPr>
              <w:t>Attainable/Affordable Housing Located in Close Proximity to Accessible Travel Choice Options</w:t>
            </w:r>
          </w:p>
        </w:tc>
        <w:tc>
          <w:tcPr>
            <w:tcW w:w="7920" w:type="dxa"/>
            <w:gridSpan w:val="2"/>
          </w:tcPr>
          <w:p w:rsidR="00225952" w:rsidRPr="007722AD" w:rsidRDefault="00225952" w:rsidP="00225952">
            <w:pPr>
              <w:rPr>
                <w:sz w:val="21"/>
                <w:szCs w:val="21"/>
              </w:rPr>
            </w:pPr>
            <w:r w:rsidRPr="007722AD">
              <w:rPr>
                <w:sz w:val="21"/>
                <w:szCs w:val="21"/>
              </w:rPr>
              <w:t>Not yet applied. [</w:t>
            </w:r>
            <w:r w:rsidRPr="007722AD">
              <w:rPr>
                <w:i/>
                <w:sz w:val="21"/>
                <w:szCs w:val="21"/>
              </w:rPr>
              <w:t>Although this has not yet been applied in the District, there is a direct connection. Affordable housing should be located within close proximity to existing transit options rather than being built with the expectation that transit agencies will make the service available after the housing in built.</w:t>
            </w:r>
            <w:r w:rsidRPr="007722AD">
              <w:rPr>
                <w:sz w:val="21"/>
                <w:szCs w:val="21"/>
              </w:rPr>
              <w:t>]</w:t>
            </w:r>
          </w:p>
        </w:tc>
      </w:tr>
      <w:tr w:rsidR="00225952" w:rsidRPr="00822D7A" w:rsidTr="005B5AFE">
        <w:tc>
          <w:tcPr>
            <w:tcW w:w="2545" w:type="dxa"/>
          </w:tcPr>
          <w:p w:rsidR="00225952" w:rsidRPr="005B5AFE" w:rsidRDefault="00225952" w:rsidP="005B5AFE">
            <w:pPr>
              <w:pStyle w:val="Heading4"/>
              <w:rPr>
                <w:rStyle w:val="StyleUnderlineLeft025CharChar"/>
                <w:rFonts w:ascii="Calibri" w:hAnsi="Calibri"/>
                <w:bCs/>
                <w:u w:val="none"/>
              </w:rPr>
            </w:pPr>
            <w:r w:rsidRPr="005B5AFE">
              <w:rPr>
                <w:rStyle w:val="StyleUnderlineLeft025CharChar"/>
                <w:rFonts w:ascii="Calibri" w:hAnsi="Calibri"/>
                <w:bCs/>
                <w:u w:val="none"/>
              </w:rPr>
              <w:t>Parking Provisions</w:t>
            </w:r>
          </w:p>
          <w:p w:rsidR="00225952" w:rsidRPr="00846584" w:rsidRDefault="00225952" w:rsidP="00225952">
            <w:pPr>
              <w:pStyle w:val="Heading4"/>
            </w:pPr>
          </w:p>
        </w:tc>
        <w:tc>
          <w:tcPr>
            <w:tcW w:w="7920" w:type="dxa"/>
            <w:gridSpan w:val="2"/>
          </w:tcPr>
          <w:p w:rsidR="00225952" w:rsidRPr="00AB241F" w:rsidRDefault="00225952" w:rsidP="00225952">
            <w:pPr>
              <w:pStyle w:val="AppText"/>
            </w:pPr>
            <w:r w:rsidRPr="00AB241F">
              <w:t xml:space="preserve">It should also be noted that there appears to be a large amount of surface parking shown in … This can have undesirable impacts on the pedestrian environment, discourage a "park once" approach to reducing auto trips, and increase the convenience of single occupant vehicles at the expense of using other modes of transportation. The applicant should consider orienting parking behind rather than in front of buildings and also </w:t>
            </w:r>
            <w:r w:rsidR="00B77B55">
              <w:br/>
            </w:r>
            <w:r w:rsidR="00B77B55">
              <w:br/>
            </w:r>
            <w:r w:rsidRPr="00AB241F">
              <w:lastRenderedPageBreak/>
              <w:t>consider more parking structures with pedestrian oriented facades and first floor retail uses. (Provences)</w:t>
            </w:r>
          </w:p>
        </w:tc>
      </w:tr>
      <w:tr w:rsidR="00225952" w:rsidRPr="00822D7A" w:rsidTr="005B5AFE">
        <w:tc>
          <w:tcPr>
            <w:tcW w:w="2545" w:type="dxa"/>
          </w:tcPr>
          <w:p w:rsidR="00225952" w:rsidRPr="005B5AFE" w:rsidRDefault="00225952" w:rsidP="005B5AFE">
            <w:pPr>
              <w:pStyle w:val="Heading4"/>
              <w:rPr>
                <w:rStyle w:val="StyleUnderlineLeft025CharChar"/>
                <w:rFonts w:ascii="Calibri" w:hAnsi="Calibri"/>
                <w:bCs/>
                <w:u w:val="none"/>
              </w:rPr>
            </w:pPr>
            <w:r w:rsidRPr="005B5AFE">
              <w:rPr>
                <w:rStyle w:val="StyleUnderlineLeft025CharChar"/>
                <w:rFonts w:ascii="Calibri" w:hAnsi="Calibri"/>
                <w:bCs/>
                <w:u w:val="none"/>
              </w:rPr>
              <w:lastRenderedPageBreak/>
              <w:t>Site Planning/Balanced Land Uses</w:t>
            </w:r>
          </w:p>
          <w:p w:rsidR="00225952" w:rsidRPr="00846584" w:rsidRDefault="00225952" w:rsidP="00225952">
            <w:pPr>
              <w:pStyle w:val="Heading4"/>
            </w:pPr>
          </w:p>
        </w:tc>
        <w:tc>
          <w:tcPr>
            <w:tcW w:w="7920" w:type="dxa"/>
            <w:gridSpan w:val="2"/>
          </w:tcPr>
          <w:p w:rsidR="00225952" w:rsidRPr="00AB241F" w:rsidRDefault="00225952" w:rsidP="00492913">
            <w:pPr>
              <w:pStyle w:val="AppText"/>
              <w:spacing w:after="180"/>
            </w:pPr>
            <w:r w:rsidRPr="00AB241F">
              <w:t xml:space="preserve">Seminole Pratt Whitney Road runs through the middle of a land use focal point (town center), which functions as a major attractor of trips and will discourage potential internalization of trips within the site. This project in large part relies on Seminole Pratt Whitney road as the major north/south artery for movement of trips. This road is projected to fail. Alternate land use scenarios should be considered to internalize trips to a greater extent. (Gallery-Judge Grove) </w:t>
            </w:r>
          </w:p>
          <w:p w:rsidR="00225952" w:rsidRPr="00AB241F" w:rsidRDefault="00225952" w:rsidP="00492913">
            <w:pPr>
              <w:pStyle w:val="AppText"/>
              <w:spacing w:after="180"/>
            </w:pPr>
            <w:r w:rsidRPr="00AB241F">
              <w:t>The spatial relationship between the proposed multiple family residential and other proposed uses such as the school and the Traditional Neighborhood Development (TND) should be depicted on Map H as part of the Master Development Plan to justify claims in Question 21i that this scenario complies with the characteristics of a TND. (Indrio Groves)</w:t>
            </w:r>
          </w:p>
          <w:p w:rsidR="00225952" w:rsidRPr="00AB241F" w:rsidRDefault="00225952" w:rsidP="00492913">
            <w:pPr>
              <w:pStyle w:val="AppText"/>
              <w:spacing w:after="180"/>
            </w:pPr>
            <w:r w:rsidRPr="00AB241F">
              <w:t xml:space="preserve">The realignment of Koblegard Road, by protruding to such an extent within the DRI in lieu of bordering the property, may preclude the ability of future development on adjacent vacant land to the east from having access to distribute traffic in an efficient manner. Maximizing roadway connectivity aids in the distribution of traffic. (Indrio Groves) </w:t>
            </w:r>
          </w:p>
        </w:tc>
      </w:tr>
      <w:tr w:rsidR="00225952" w:rsidRPr="00822D7A" w:rsidTr="005B5AFE">
        <w:tc>
          <w:tcPr>
            <w:tcW w:w="2545" w:type="dxa"/>
          </w:tcPr>
          <w:p w:rsidR="00225952" w:rsidRPr="00846584" w:rsidRDefault="00225952" w:rsidP="00225952">
            <w:pPr>
              <w:pStyle w:val="Heading4"/>
            </w:pPr>
          </w:p>
        </w:tc>
        <w:tc>
          <w:tcPr>
            <w:tcW w:w="7920" w:type="dxa"/>
            <w:gridSpan w:val="2"/>
          </w:tcPr>
          <w:p w:rsidR="00225952" w:rsidRPr="00AB241F" w:rsidRDefault="00225952" w:rsidP="00492913">
            <w:pPr>
              <w:pStyle w:val="AppText"/>
              <w:spacing w:after="180"/>
            </w:pPr>
            <w:r w:rsidRPr="00AB241F">
              <w:t>The applicant should consider a redistribution of commercial land use to be located at the intersection of the spine road and Spanish Lakes Boulevard. Do to the substantial number of residents in the Spanish Lakes Fairways development, providing commercial land uses at this location to serve the home-based shopping trip purposes of this community and lndrio Groves will help to reduce trips on lndrio Road by shorten trip lengths due to its closer proximity. (Indrio Groves)</w:t>
            </w:r>
          </w:p>
        </w:tc>
      </w:tr>
      <w:tr w:rsidR="00225952" w:rsidRPr="00822D7A" w:rsidTr="005B5AFE">
        <w:tc>
          <w:tcPr>
            <w:tcW w:w="2545" w:type="dxa"/>
          </w:tcPr>
          <w:p w:rsidR="00225952" w:rsidRPr="005B5AFE" w:rsidRDefault="00225952" w:rsidP="005B5AFE">
            <w:pPr>
              <w:pStyle w:val="Heading4"/>
              <w:rPr>
                <w:rStyle w:val="StyleUnderlineLeft025CharChar"/>
                <w:rFonts w:ascii="Calibri" w:hAnsi="Calibri"/>
                <w:bCs/>
                <w:u w:val="none"/>
              </w:rPr>
            </w:pPr>
            <w:r w:rsidRPr="005B5AFE">
              <w:rPr>
                <w:rStyle w:val="StyleUnderlineLeft025CharChar"/>
                <w:rFonts w:ascii="Calibri" w:hAnsi="Calibri"/>
                <w:bCs/>
                <w:u w:val="none"/>
              </w:rPr>
              <w:t>Internal Design</w:t>
            </w:r>
          </w:p>
          <w:p w:rsidR="00225952" w:rsidRPr="00846584" w:rsidRDefault="00225952" w:rsidP="00225952">
            <w:pPr>
              <w:pStyle w:val="Heading4"/>
            </w:pPr>
          </w:p>
        </w:tc>
        <w:tc>
          <w:tcPr>
            <w:tcW w:w="7920" w:type="dxa"/>
            <w:gridSpan w:val="2"/>
          </w:tcPr>
          <w:p w:rsidR="00225952" w:rsidRPr="00AB241F" w:rsidRDefault="00225952" w:rsidP="00492913">
            <w:pPr>
              <w:pStyle w:val="AppText"/>
              <w:spacing w:after="180"/>
            </w:pPr>
            <w:r w:rsidRPr="00AB241F">
              <w:t>In order to foster desirable characteristics that result in sustainable development, including access to various modes of travel from adjacent land uses, the DRI applicant should be required to develop design guidelines that demonstrate how urban design, land use, and roadway characteristics will result in optimal mobility for the project and beyond. Such design guidelines should function to illustrate how development will aid in the provision of pedestrian, bicycle, and transit infrastructure as well as convenient connectivity for a quality experience sufficient to capture choice participants. Some components of design guidelines include, but are not limited to: (Indrio Groves)</w:t>
            </w:r>
          </w:p>
        </w:tc>
      </w:tr>
      <w:tr w:rsidR="00225952" w:rsidRPr="00822D7A" w:rsidTr="005B5AFE">
        <w:tc>
          <w:tcPr>
            <w:tcW w:w="2545" w:type="dxa"/>
          </w:tcPr>
          <w:p w:rsidR="00225952" w:rsidRPr="00846584" w:rsidRDefault="00225952" w:rsidP="00225952">
            <w:pPr>
              <w:pStyle w:val="Heading4"/>
            </w:pPr>
          </w:p>
        </w:tc>
        <w:tc>
          <w:tcPr>
            <w:tcW w:w="3330" w:type="dxa"/>
          </w:tcPr>
          <w:p w:rsidR="00225952" w:rsidRPr="005B5AFE" w:rsidRDefault="00225952" w:rsidP="00AD2D7A">
            <w:pPr>
              <w:pStyle w:val="BulletA"/>
              <w:numPr>
                <w:ilvl w:val="0"/>
                <w:numId w:val="117"/>
              </w:numPr>
              <w:spacing w:after="0"/>
              <w:rPr>
                <w:sz w:val="20"/>
                <w:szCs w:val="21"/>
              </w:rPr>
            </w:pPr>
            <w:r w:rsidRPr="005B5AFE">
              <w:rPr>
                <w:sz w:val="20"/>
                <w:szCs w:val="21"/>
              </w:rPr>
              <w:t>building design</w:t>
            </w:r>
          </w:p>
          <w:p w:rsidR="00225952" w:rsidRPr="005B5AFE" w:rsidRDefault="00225952" w:rsidP="00AD2D7A">
            <w:pPr>
              <w:pStyle w:val="BulletA"/>
              <w:numPr>
                <w:ilvl w:val="0"/>
                <w:numId w:val="117"/>
              </w:numPr>
              <w:spacing w:after="0"/>
              <w:rPr>
                <w:sz w:val="20"/>
                <w:szCs w:val="21"/>
              </w:rPr>
            </w:pPr>
            <w:r w:rsidRPr="005B5AFE">
              <w:rPr>
                <w:sz w:val="20"/>
                <w:szCs w:val="21"/>
              </w:rPr>
              <w:t>building scale</w:t>
            </w:r>
          </w:p>
          <w:p w:rsidR="00225952" w:rsidRPr="005B5AFE" w:rsidRDefault="00225952" w:rsidP="00AD2D7A">
            <w:pPr>
              <w:pStyle w:val="BulletA"/>
              <w:numPr>
                <w:ilvl w:val="0"/>
                <w:numId w:val="117"/>
              </w:numPr>
              <w:spacing w:after="0"/>
              <w:rPr>
                <w:sz w:val="20"/>
                <w:szCs w:val="21"/>
              </w:rPr>
            </w:pPr>
            <w:r w:rsidRPr="005B5AFE">
              <w:rPr>
                <w:sz w:val="20"/>
                <w:szCs w:val="21"/>
              </w:rPr>
              <w:t>density/intensity</w:t>
            </w:r>
          </w:p>
          <w:p w:rsidR="00225952" w:rsidRPr="005B5AFE" w:rsidRDefault="00225952" w:rsidP="00AD2D7A">
            <w:pPr>
              <w:pStyle w:val="BulletA"/>
              <w:numPr>
                <w:ilvl w:val="0"/>
                <w:numId w:val="117"/>
              </w:numPr>
              <w:spacing w:after="0"/>
              <w:rPr>
                <w:sz w:val="20"/>
                <w:szCs w:val="21"/>
              </w:rPr>
            </w:pPr>
            <w:r w:rsidRPr="005B5AFE">
              <w:rPr>
                <w:sz w:val="20"/>
                <w:szCs w:val="21"/>
              </w:rPr>
              <w:t>street patterns</w:t>
            </w:r>
          </w:p>
          <w:p w:rsidR="00225952" w:rsidRPr="005B5AFE" w:rsidRDefault="00225952" w:rsidP="00AD2D7A">
            <w:pPr>
              <w:pStyle w:val="BulletA"/>
              <w:numPr>
                <w:ilvl w:val="0"/>
                <w:numId w:val="117"/>
              </w:numPr>
              <w:spacing w:after="0"/>
              <w:rPr>
                <w:sz w:val="20"/>
                <w:szCs w:val="21"/>
              </w:rPr>
            </w:pPr>
            <w:r w:rsidRPr="005B5AFE">
              <w:rPr>
                <w:sz w:val="20"/>
                <w:szCs w:val="21"/>
              </w:rPr>
              <w:t>street widths</w:t>
            </w:r>
          </w:p>
          <w:p w:rsidR="00225952" w:rsidRPr="005B5AFE" w:rsidRDefault="00225952" w:rsidP="00AD2D7A">
            <w:pPr>
              <w:pStyle w:val="BulletA"/>
              <w:numPr>
                <w:ilvl w:val="0"/>
                <w:numId w:val="117"/>
              </w:numPr>
              <w:spacing w:after="0"/>
              <w:rPr>
                <w:sz w:val="20"/>
                <w:szCs w:val="21"/>
              </w:rPr>
            </w:pPr>
            <w:r w:rsidRPr="005B5AFE">
              <w:rPr>
                <w:sz w:val="20"/>
                <w:szCs w:val="21"/>
              </w:rPr>
              <w:t>landscaping</w:t>
            </w:r>
          </w:p>
          <w:p w:rsidR="00225952" w:rsidRPr="005B5AFE" w:rsidRDefault="00225952" w:rsidP="00AD2D7A">
            <w:pPr>
              <w:pStyle w:val="BulletA"/>
              <w:numPr>
                <w:ilvl w:val="0"/>
                <w:numId w:val="117"/>
              </w:numPr>
              <w:spacing w:after="0"/>
              <w:rPr>
                <w:sz w:val="20"/>
                <w:szCs w:val="21"/>
              </w:rPr>
            </w:pPr>
            <w:r w:rsidRPr="005B5AFE">
              <w:rPr>
                <w:sz w:val="20"/>
                <w:szCs w:val="21"/>
              </w:rPr>
              <w:t>activity centers that are attractive, pedestrian-friendly, and serve surrounding neighborhood-level</w:t>
            </w:r>
          </w:p>
          <w:p w:rsidR="00225952" w:rsidRPr="005B5AFE" w:rsidRDefault="00225952" w:rsidP="00AD2D7A">
            <w:pPr>
              <w:pStyle w:val="BulletA"/>
              <w:numPr>
                <w:ilvl w:val="0"/>
                <w:numId w:val="117"/>
              </w:numPr>
              <w:spacing w:after="0"/>
              <w:rPr>
                <w:sz w:val="20"/>
                <w:szCs w:val="21"/>
              </w:rPr>
            </w:pPr>
            <w:r w:rsidRPr="005B5AFE">
              <w:rPr>
                <w:sz w:val="20"/>
                <w:szCs w:val="21"/>
              </w:rPr>
              <w:t>residential areas</w:t>
            </w:r>
            <w:r w:rsidRPr="005B5AFE">
              <w:rPr>
                <w:sz w:val="20"/>
                <w:szCs w:val="21"/>
              </w:rPr>
              <w:tab/>
            </w:r>
          </w:p>
          <w:p w:rsidR="00225952" w:rsidRPr="005B5AFE" w:rsidRDefault="00225952" w:rsidP="00AD2D7A">
            <w:pPr>
              <w:pStyle w:val="BulletA"/>
              <w:numPr>
                <w:ilvl w:val="0"/>
                <w:numId w:val="117"/>
              </w:numPr>
              <w:spacing w:after="0"/>
              <w:rPr>
                <w:sz w:val="20"/>
                <w:szCs w:val="21"/>
              </w:rPr>
            </w:pPr>
            <w:r w:rsidRPr="005B5AFE">
              <w:rPr>
                <w:sz w:val="20"/>
                <w:szCs w:val="21"/>
              </w:rPr>
              <w:t>parking</w:t>
            </w:r>
          </w:p>
        </w:tc>
        <w:tc>
          <w:tcPr>
            <w:tcW w:w="4590" w:type="dxa"/>
          </w:tcPr>
          <w:p w:rsidR="00225952" w:rsidRPr="005B5AFE" w:rsidRDefault="00225952" w:rsidP="00AD2D7A">
            <w:pPr>
              <w:pStyle w:val="BulletA"/>
              <w:numPr>
                <w:ilvl w:val="0"/>
                <w:numId w:val="117"/>
              </w:numPr>
              <w:spacing w:after="0"/>
              <w:rPr>
                <w:sz w:val="20"/>
                <w:szCs w:val="21"/>
              </w:rPr>
            </w:pPr>
            <w:r w:rsidRPr="005B5AFE">
              <w:rPr>
                <w:sz w:val="20"/>
                <w:szCs w:val="21"/>
              </w:rPr>
              <w:t xml:space="preserve">activity nodes with higher density/intensity </w:t>
            </w:r>
          </w:p>
          <w:p w:rsidR="00225952" w:rsidRPr="005B5AFE" w:rsidRDefault="00225952" w:rsidP="00AD2D7A">
            <w:pPr>
              <w:pStyle w:val="BulletA"/>
              <w:numPr>
                <w:ilvl w:val="0"/>
                <w:numId w:val="117"/>
              </w:numPr>
              <w:spacing w:after="0"/>
              <w:rPr>
                <w:sz w:val="20"/>
                <w:szCs w:val="21"/>
              </w:rPr>
            </w:pPr>
            <w:r w:rsidRPr="005B5AFE">
              <w:rPr>
                <w:sz w:val="20"/>
                <w:szCs w:val="21"/>
              </w:rPr>
              <w:t>healthy mix of uses within easy walking distance of each other</w:t>
            </w:r>
          </w:p>
          <w:p w:rsidR="00225952" w:rsidRPr="005B5AFE" w:rsidRDefault="00225952" w:rsidP="00AD2D7A">
            <w:pPr>
              <w:pStyle w:val="BulletA"/>
              <w:numPr>
                <w:ilvl w:val="0"/>
                <w:numId w:val="117"/>
              </w:numPr>
              <w:spacing w:after="0"/>
              <w:rPr>
                <w:sz w:val="20"/>
                <w:szCs w:val="21"/>
              </w:rPr>
            </w:pPr>
            <w:r w:rsidRPr="005B5AFE">
              <w:rPr>
                <w:sz w:val="20"/>
                <w:szCs w:val="21"/>
              </w:rPr>
              <w:t>sidewalks</w:t>
            </w:r>
          </w:p>
          <w:p w:rsidR="00225952" w:rsidRPr="005B5AFE" w:rsidRDefault="00225952" w:rsidP="00AD2D7A">
            <w:pPr>
              <w:pStyle w:val="BulletA"/>
              <w:numPr>
                <w:ilvl w:val="0"/>
                <w:numId w:val="117"/>
              </w:numPr>
              <w:spacing w:after="0"/>
              <w:rPr>
                <w:sz w:val="20"/>
                <w:szCs w:val="21"/>
              </w:rPr>
            </w:pPr>
            <w:r w:rsidRPr="005B5AFE">
              <w:rPr>
                <w:sz w:val="20"/>
                <w:szCs w:val="21"/>
              </w:rPr>
              <w:t>pedestrian-friendly block sizes (e.g., block face no more than 500 ft, average block perimeter 1,350 ft)</w:t>
            </w:r>
          </w:p>
          <w:p w:rsidR="00225952" w:rsidRPr="005B5AFE" w:rsidRDefault="00225952" w:rsidP="00AD2D7A">
            <w:pPr>
              <w:pStyle w:val="BulletA"/>
              <w:numPr>
                <w:ilvl w:val="0"/>
                <w:numId w:val="117"/>
              </w:numPr>
              <w:spacing w:after="0"/>
              <w:rPr>
                <w:sz w:val="20"/>
                <w:szCs w:val="21"/>
              </w:rPr>
            </w:pPr>
            <w:r w:rsidRPr="005B5AFE">
              <w:rPr>
                <w:sz w:val="20"/>
                <w:szCs w:val="21"/>
              </w:rPr>
              <w:t>traffic calming measures</w:t>
            </w:r>
          </w:p>
          <w:p w:rsidR="00225952" w:rsidRPr="005B5AFE" w:rsidRDefault="00225952" w:rsidP="00AD2D7A">
            <w:pPr>
              <w:pStyle w:val="BulletA"/>
              <w:numPr>
                <w:ilvl w:val="0"/>
                <w:numId w:val="117"/>
              </w:numPr>
              <w:spacing w:after="0"/>
              <w:rPr>
                <w:sz w:val="20"/>
                <w:szCs w:val="21"/>
              </w:rPr>
            </w:pPr>
            <w:r w:rsidRPr="005B5AFE">
              <w:rPr>
                <w:sz w:val="20"/>
                <w:szCs w:val="21"/>
              </w:rPr>
              <w:t>transit, pedestrian, and bicycle infrastructure &amp; access to those facilities</w:t>
            </w:r>
          </w:p>
          <w:p w:rsidR="00225952" w:rsidRPr="005B5AFE" w:rsidRDefault="00225952" w:rsidP="005B5AFE">
            <w:pPr>
              <w:spacing w:after="0" w:line="240" w:lineRule="auto"/>
              <w:ind w:left="425" w:hanging="360"/>
              <w:contextualSpacing/>
              <w:rPr>
                <w:sz w:val="20"/>
                <w:szCs w:val="21"/>
              </w:rPr>
            </w:pPr>
          </w:p>
        </w:tc>
      </w:tr>
    </w:tbl>
    <w:p w:rsidR="005600AB" w:rsidRDefault="005600AB">
      <w:r>
        <w:rPr>
          <w:b/>
          <w:bCs/>
        </w:rPr>
        <w:br w:type="page"/>
      </w:r>
    </w:p>
    <w:p w:rsidR="005600AB" w:rsidRDefault="005600AB" w:rsidP="00225952">
      <w:pPr>
        <w:pStyle w:val="Heading4"/>
        <w:sectPr w:rsidR="005600AB" w:rsidSect="00C86195">
          <w:type w:val="continuous"/>
          <w:pgSz w:w="12240" w:h="15840"/>
          <w:pgMar w:top="1440" w:right="720" w:bottom="1440" w:left="1152" w:header="720" w:footer="720" w:gutter="0"/>
          <w:cols w:space="720"/>
          <w:docGrid w:linePitch="360"/>
        </w:sectPr>
      </w:pPr>
    </w:p>
    <w:tbl>
      <w:tblPr>
        <w:tblW w:w="10465" w:type="dxa"/>
        <w:tblLayout w:type="fixed"/>
        <w:tblCellMar>
          <w:left w:w="115" w:type="dxa"/>
          <w:right w:w="115" w:type="dxa"/>
        </w:tblCellMar>
        <w:tblLook w:val="0000"/>
      </w:tblPr>
      <w:tblGrid>
        <w:gridCol w:w="2545"/>
        <w:gridCol w:w="7920"/>
      </w:tblGrid>
      <w:tr w:rsidR="005600AB" w:rsidRPr="00822D7A" w:rsidTr="005600AB">
        <w:tc>
          <w:tcPr>
            <w:tcW w:w="2545" w:type="dxa"/>
          </w:tcPr>
          <w:p w:rsidR="005600AB" w:rsidRPr="00846584" w:rsidRDefault="005600AB" w:rsidP="00225952">
            <w:pPr>
              <w:pStyle w:val="Heading4"/>
            </w:pPr>
          </w:p>
        </w:tc>
        <w:tc>
          <w:tcPr>
            <w:tcW w:w="7920" w:type="dxa"/>
          </w:tcPr>
          <w:p w:rsidR="005600AB" w:rsidRDefault="00F77AF3" w:rsidP="005600AB">
            <w:pPr>
              <w:pStyle w:val="Heading1"/>
              <w:spacing w:after="0"/>
            </w:pPr>
            <w:bookmarkStart w:id="418" w:name="_Toc264274206"/>
            <w:bookmarkStart w:id="419" w:name="_Toc205865721"/>
            <w:bookmarkStart w:id="420" w:name="_Toc205865791"/>
            <w:bookmarkStart w:id="421" w:name="_Toc205865903"/>
            <w:bookmarkStart w:id="422" w:name="_Toc205865962"/>
            <w:bookmarkStart w:id="423" w:name="_Toc205866091"/>
            <w:bookmarkStart w:id="424" w:name="_Toc205866189"/>
            <w:bookmarkStart w:id="425" w:name="_Toc205866274"/>
            <w:bookmarkStart w:id="426" w:name="_Toc205866317"/>
            <w:bookmarkStart w:id="427" w:name="_Toc205866398"/>
            <w:bookmarkStart w:id="428" w:name="_Toc205866441"/>
            <w:r>
              <w:t>APPENDIX</w:t>
            </w:r>
            <w:r w:rsidR="005600AB">
              <w:t xml:space="preserve"> G</w:t>
            </w:r>
            <w:r>
              <w:t xml:space="preserve"> – </w:t>
            </w:r>
            <w:r w:rsidR="00B77B55">
              <w:rPr>
                <w:b w:val="0"/>
              </w:rPr>
              <w:t>Examples of Multi</w:t>
            </w:r>
            <w:r w:rsidR="005600AB" w:rsidRPr="005600AB">
              <w:rPr>
                <w:b w:val="0"/>
              </w:rPr>
              <w:t>modal NOPC</w:t>
            </w:r>
            <w:bookmarkEnd w:id="418"/>
          </w:p>
          <w:p w:rsidR="005600AB" w:rsidRPr="005600AB" w:rsidRDefault="005600AB" w:rsidP="005600AB">
            <w:pPr>
              <w:jc w:val="right"/>
              <w:rPr>
                <w:sz w:val="24"/>
              </w:rPr>
            </w:pPr>
            <w:r w:rsidRPr="005600AB">
              <w:rPr>
                <w:sz w:val="24"/>
              </w:rPr>
              <w:t xml:space="preserve"> Notice of Proposed Change (NOPC) and Substantial Deviation Determination</w:t>
            </w:r>
            <w:bookmarkEnd w:id="419"/>
            <w:bookmarkEnd w:id="420"/>
            <w:bookmarkEnd w:id="421"/>
            <w:bookmarkEnd w:id="422"/>
            <w:bookmarkEnd w:id="423"/>
            <w:bookmarkEnd w:id="424"/>
            <w:bookmarkEnd w:id="425"/>
            <w:bookmarkEnd w:id="426"/>
            <w:bookmarkEnd w:id="427"/>
            <w:bookmarkEnd w:id="428"/>
            <w:r w:rsidRPr="005600AB">
              <w:rPr>
                <w:sz w:val="24"/>
              </w:rPr>
              <w:t>s</w:t>
            </w:r>
          </w:p>
        </w:tc>
      </w:tr>
      <w:tr w:rsidR="005600AB" w:rsidRPr="00822D7A" w:rsidTr="005600AB">
        <w:tc>
          <w:tcPr>
            <w:tcW w:w="2545" w:type="dxa"/>
          </w:tcPr>
          <w:p w:rsidR="005600AB" w:rsidRPr="00846584" w:rsidRDefault="005600AB" w:rsidP="005600AB"/>
        </w:tc>
        <w:tc>
          <w:tcPr>
            <w:tcW w:w="7920" w:type="dxa"/>
          </w:tcPr>
          <w:p w:rsidR="005600AB" w:rsidRPr="005600AB" w:rsidRDefault="005600AB" w:rsidP="005600AB">
            <w:pPr>
              <w:rPr>
                <w:i/>
              </w:rPr>
            </w:pPr>
            <w:r w:rsidRPr="005600AB">
              <w:rPr>
                <w:i/>
              </w:rPr>
              <w:t>The following verbatim examples illustrate issue areas from development order recommendations related to an NOPC and may serve as guidance:</w:t>
            </w:r>
          </w:p>
        </w:tc>
      </w:tr>
      <w:tr w:rsidR="005600AB" w:rsidRPr="00822D7A" w:rsidTr="005600AB">
        <w:tc>
          <w:tcPr>
            <w:tcW w:w="2545" w:type="dxa"/>
          </w:tcPr>
          <w:p w:rsidR="005600AB" w:rsidRPr="00587EE2" w:rsidRDefault="005600AB" w:rsidP="005600AB">
            <w:pPr>
              <w:pStyle w:val="Heading4"/>
              <w:rPr>
                <w:i/>
              </w:rPr>
            </w:pPr>
            <w:r w:rsidRPr="00587EE2">
              <w:t>LP Integrated Development Order</w:t>
            </w:r>
            <w:r w:rsidRPr="00587EE2">
              <w:rPr>
                <w:i/>
              </w:rPr>
              <w:t xml:space="preserve"> </w:t>
            </w:r>
          </w:p>
          <w:p w:rsidR="005600AB" w:rsidRPr="00846584" w:rsidRDefault="005600AB" w:rsidP="00225952">
            <w:pPr>
              <w:pStyle w:val="Heading4"/>
            </w:pPr>
          </w:p>
        </w:tc>
        <w:tc>
          <w:tcPr>
            <w:tcW w:w="7920" w:type="dxa"/>
          </w:tcPr>
          <w:p w:rsidR="005600AB" w:rsidRPr="00B77B55" w:rsidRDefault="005600AB" w:rsidP="005600AB">
            <w:pPr>
              <w:spacing w:after="60"/>
              <w:rPr>
                <w:sz w:val="21"/>
                <w:szCs w:val="21"/>
              </w:rPr>
            </w:pPr>
            <w:r w:rsidRPr="00B77B55">
              <w:rPr>
                <w:sz w:val="21"/>
                <w:szCs w:val="21"/>
              </w:rPr>
              <w:t>In response to a Notice of Proposed Change (NOPC), the City Commission of the City of Tallahassee drafted an integrated development order (DO) with a variety of specific conditions to be met by the developer, St. Joe Towns &amp; Resorts, LP. Within the set of conditions, six transportation demand management (TDM) strategies were issued for the developer, making provisions for:</w:t>
            </w:r>
          </w:p>
          <w:p w:rsidR="005600AB" w:rsidRPr="00B77B55" w:rsidRDefault="005600AB" w:rsidP="00AD2D7A">
            <w:pPr>
              <w:pStyle w:val="BulletA"/>
              <w:numPr>
                <w:ilvl w:val="0"/>
                <w:numId w:val="163"/>
              </w:numPr>
              <w:rPr>
                <w:sz w:val="21"/>
                <w:szCs w:val="21"/>
              </w:rPr>
            </w:pPr>
            <w:r w:rsidRPr="00B77B55">
              <w:rPr>
                <w:sz w:val="21"/>
                <w:szCs w:val="21"/>
              </w:rPr>
              <w:t>capital development transit including bus stops and shelters, and a satellite transfer facility;</w:t>
            </w:r>
          </w:p>
          <w:p w:rsidR="005600AB" w:rsidRPr="00B77B55" w:rsidRDefault="005600AB" w:rsidP="00AD2D7A">
            <w:pPr>
              <w:pStyle w:val="BulletA"/>
              <w:numPr>
                <w:ilvl w:val="0"/>
                <w:numId w:val="163"/>
              </w:numPr>
              <w:rPr>
                <w:sz w:val="21"/>
                <w:szCs w:val="21"/>
              </w:rPr>
            </w:pPr>
            <w:r w:rsidRPr="00B77B55">
              <w:rPr>
                <w:sz w:val="21"/>
                <w:szCs w:val="21"/>
              </w:rPr>
              <w:t>pedestrian and bicycle facilities, with criteria for constructing shower and locker facilities within the buildings of the DRI;</w:t>
            </w:r>
          </w:p>
          <w:p w:rsidR="005600AB" w:rsidRPr="00B77B55" w:rsidRDefault="005600AB" w:rsidP="00AD2D7A">
            <w:pPr>
              <w:pStyle w:val="BulletA"/>
              <w:numPr>
                <w:ilvl w:val="0"/>
                <w:numId w:val="163"/>
              </w:numPr>
              <w:rPr>
                <w:sz w:val="21"/>
                <w:szCs w:val="21"/>
              </w:rPr>
            </w:pPr>
            <w:r w:rsidRPr="00B77B55">
              <w:rPr>
                <w:sz w:val="21"/>
                <w:szCs w:val="21"/>
              </w:rPr>
              <w:t>a transportation coordinator, as appointed by the developer;</w:t>
            </w:r>
          </w:p>
          <w:p w:rsidR="005600AB" w:rsidRPr="00B77B55" w:rsidRDefault="005600AB" w:rsidP="00AD2D7A">
            <w:pPr>
              <w:pStyle w:val="BulletA"/>
              <w:numPr>
                <w:ilvl w:val="0"/>
                <w:numId w:val="163"/>
              </w:numPr>
              <w:rPr>
                <w:sz w:val="21"/>
                <w:szCs w:val="21"/>
              </w:rPr>
            </w:pPr>
            <w:r w:rsidRPr="00B77B55">
              <w:rPr>
                <w:sz w:val="21"/>
                <w:szCs w:val="21"/>
              </w:rPr>
              <w:t>preferential parking for high-occupancy vehicles, visitors, and the handicapped;</w:t>
            </w:r>
          </w:p>
          <w:p w:rsidR="005600AB" w:rsidRPr="00B77B55" w:rsidRDefault="005600AB" w:rsidP="00AD2D7A">
            <w:pPr>
              <w:pStyle w:val="BulletA"/>
              <w:numPr>
                <w:ilvl w:val="0"/>
                <w:numId w:val="163"/>
              </w:numPr>
              <w:rPr>
                <w:sz w:val="21"/>
                <w:szCs w:val="21"/>
              </w:rPr>
            </w:pPr>
            <w:r w:rsidRPr="00B77B55">
              <w:rPr>
                <w:sz w:val="21"/>
                <w:szCs w:val="21"/>
              </w:rPr>
              <w:t>pedestrian-friendly community design for areas within designated Pedestrian Primary Areas; and,</w:t>
            </w:r>
          </w:p>
          <w:p w:rsidR="005600AB" w:rsidRPr="00B77B55" w:rsidRDefault="005600AB" w:rsidP="00AD2D7A">
            <w:pPr>
              <w:pStyle w:val="BulletA"/>
              <w:numPr>
                <w:ilvl w:val="0"/>
                <w:numId w:val="163"/>
              </w:numPr>
              <w:rPr>
                <w:sz w:val="21"/>
                <w:szCs w:val="21"/>
              </w:rPr>
            </w:pPr>
            <w:r w:rsidRPr="00B77B55">
              <w:rPr>
                <w:sz w:val="21"/>
                <w:szCs w:val="21"/>
              </w:rPr>
              <w:t>resumption of a shuttle bus service to operate between this and an adjacent DRI, with connections to the local Tallahassee transit service.</w:t>
            </w:r>
          </w:p>
          <w:p w:rsidR="005600AB" w:rsidRPr="00B77B55" w:rsidRDefault="005600AB" w:rsidP="005600AB">
            <w:pPr>
              <w:pStyle w:val="FootnoteText"/>
              <w:rPr>
                <w:i/>
                <w:sz w:val="21"/>
                <w:szCs w:val="21"/>
              </w:rPr>
            </w:pPr>
            <w:r w:rsidRPr="00B77B55">
              <w:rPr>
                <w:i/>
                <w:szCs w:val="21"/>
              </w:rPr>
              <w:t>“LP Integrated Development Order,” City Commission of the City of Tallahassee, St. Joe Towns &amp; Resorts, 1999-2004, Florida, pages 29-31.</w:t>
            </w:r>
          </w:p>
        </w:tc>
      </w:tr>
      <w:tr w:rsidR="005600AB" w:rsidRPr="00822D7A" w:rsidTr="005600AB">
        <w:tc>
          <w:tcPr>
            <w:tcW w:w="2545" w:type="dxa"/>
          </w:tcPr>
          <w:p w:rsidR="005600AB" w:rsidRPr="00846584" w:rsidRDefault="005600AB" w:rsidP="005600AB">
            <w:pPr>
              <w:pStyle w:val="Heading4"/>
            </w:pPr>
            <w:r w:rsidRPr="00587EE2">
              <w:t>Quillen DRI</w:t>
            </w:r>
          </w:p>
        </w:tc>
        <w:tc>
          <w:tcPr>
            <w:tcW w:w="7920" w:type="dxa"/>
          </w:tcPr>
          <w:p w:rsidR="005600AB" w:rsidRPr="00B77B55" w:rsidRDefault="005600AB" w:rsidP="005600AB">
            <w:pPr>
              <w:rPr>
                <w:sz w:val="21"/>
                <w:szCs w:val="21"/>
              </w:rPr>
            </w:pPr>
            <w:r w:rsidRPr="00B77B55">
              <w:rPr>
                <w:sz w:val="21"/>
                <w:szCs w:val="21"/>
              </w:rPr>
              <w:t>In a response to the Treasure Coast Regional Planning Council regarding the Quillen DRI, FDOT District Four addressed the modal and design issues the applicant needed to take into consideration for approval. The following comments are excerpted from the memorandum:</w:t>
            </w:r>
          </w:p>
          <w:p w:rsidR="005600AB" w:rsidRPr="00B77B55" w:rsidRDefault="005600AB" w:rsidP="00AD2D7A">
            <w:pPr>
              <w:pStyle w:val="BulletA"/>
              <w:numPr>
                <w:ilvl w:val="0"/>
                <w:numId w:val="164"/>
              </w:numPr>
              <w:rPr>
                <w:sz w:val="21"/>
                <w:szCs w:val="21"/>
              </w:rPr>
            </w:pPr>
            <w:r w:rsidRPr="00B77B55">
              <w:rPr>
                <w:sz w:val="21"/>
                <w:szCs w:val="21"/>
              </w:rPr>
              <w:t>Residential clusters shown in the Master Plan … appear to reflect a traditional suburban environment.  Coordination of land uses as well as internal street connectivity are important provisions in order to make progress towards providing travel choices other than by single occupant vehicles.  Consideration should be given to increasing the grid pattern of local and regional roads to provide a variety of alternate routes.</w:t>
            </w:r>
          </w:p>
          <w:p w:rsidR="005600AB" w:rsidRPr="00B77B55" w:rsidRDefault="005600AB" w:rsidP="00AD2D7A">
            <w:pPr>
              <w:pStyle w:val="BulletA"/>
              <w:numPr>
                <w:ilvl w:val="0"/>
                <w:numId w:val="164"/>
              </w:numPr>
              <w:rPr>
                <w:sz w:val="21"/>
                <w:szCs w:val="21"/>
              </w:rPr>
            </w:pPr>
            <w:r w:rsidRPr="00B77B55">
              <w:rPr>
                <w:sz w:val="21"/>
                <w:szCs w:val="21"/>
              </w:rPr>
              <w:t>The ADA indicates bicycle and pedestrian facilities will be provided; however, no maps are provided that demonstrate the accessibility of land uses to a bicycle/pedestrian system.  It is important that bicycle and pedestrian facilities be created throughout the area to foster forms of mobility other than the single-occupant vehicle.  In particular, bicycle and pedestrian access between residential areas, commercial areas, and community facilities, such as parks and schools, should be included.</w:t>
            </w:r>
          </w:p>
          <w:p w:rsidR="005600AB" w:rsidRPr="00B77B55" w:rsidRDefault="005600AB" w:rsidP="00AD2D7A">
            <w:pPr>
              <w:pStyle w:val="BulletA"/>
              <w:numPr>
                <w:ilvl w:val="0"/>
                <w:numId w:val="164"/>
              </w:numPr>
              <w:rPr>
                <w:sz w:val="21"/>
                <w:szCs w:val="21"/>
              </w:rPr>
            </w:pPr>
            <w:r w:rsidRPr="00B77B55">
              <w:rPr>
                <w:sz w:val="21"/>
                <w:szCs w:val="21"/>
              </w:rPr>
              <w:t xml:space="preserve">To address potential congestion, the applicant should also consider committing to the development and implementation of transportation demand management/commute trip reduction strategies to reduce project related peak hour automobile trips.  The </w:t>
            </w:r>
            <w:r w:rsidRPr="00B77B55">
              <w:rPr>
                <w:sz w:val="21"/>
                <w:szCs w:val="21"/>
              </w:rPr>
              <w:lastRenderedPageBreak/>
              <w:t>neighborhood center, in particular, provides an opportunity to support these types of programs.  A park and ride lot for ridesharing/car pooling could be provided for to support future transit access.  The objective is to relieve the regional roadway from local automobile trips that would otherwise be there.</w:t>
            </w:r>
          </w:p>
          <w:p w:rsidR="005600AB" w:rsidRPr="00B77B55" w:rsidRDefault="005600AB" w:rsidP="00AD2D7A">
            <w:pPr>
              <w:pStyle w:val="BulletA"/>
              <w:numPr>
                <w:ilvl w:val="0"/>
                <w:numId w:val="164"/>
              </w:numPr>
              <w:rPr>
                <w:sz w:val="21"/>
                <w:szCs w:val="21"/>
              </w:rPr>
            </w:pPr>
            <w:r w:rsidRPr="00B77B55">
              <w:rPr>
                <w:sz w:val="21"/>
                <w:szCs w:val="21"/>
              </w:rPr>
              <w:t>Many of the previous comments also relate to making the community “Transit Ready.”  Transit service is available in Indiantown and expansion to the project should be considered.  Many of the design principles described in the Indiantown Community Redevelopment Plan and Indiantown Design Regulations assist in promoting alternate modes of travel and establishing transit-ready and transit/pedestrian/bicycle-friendly communities.  These principles include providing parking in the rear, locating buildings closer to the street, creating front porches to promote safety, providing pedestrian linkages, and establishing neighborhood greens or meeting areas.</w:t>
            </w:r>
          </w:p>
          <w:p w:rsidR="005600AB" w:rsidRPr="00B77B55" w:rsidRDefault="005600AB" w:rsidP="005600AB">
            <w:pPr>
              <w:pStyle w:val="FootnoteText"/>
              <w:rPr>
                <w:i/>
                <w:sz w:val="21"/>
                <w:szCs w:val="21"/>
              </w:rPr>
            </w:pPr>
            <w:r w:rsidRPr="00B77B55">
              <w:rPr>
                <w:i/>
                <w:szCs w:val="21"/>
              </w:rPr>
              <w:t xml:space="preserve"> “Quillen DRI, Martin County; Application for Development Approval (ADA),” (interagency memorandum), Florida Department of Transportation, Planning and Environmental Management – District Four, Ft. Lauderdale, May 11, 2006, pages 3-4. </w:t>
            </w:r>
          </w:p>
        </w:tc>
      </w:tr>
      <w:tr w:rsidR="005600AB" w:rsidRPr="00822D7A" w:rsidTr="005600AB">
        <w:tc>
          <w:tcPr>
            <w:tcW w:w="2545" w:type="dxa"/>
          </w:tcPr>
          <w:p w:rsidR="005600AB" w:rsidRPr="00846584" w:rsidRDefault="005600AB" w:rsidP="00225952">
            <w:pPr>
              <w:pStyle w:val="Heading4"/>
            </w:pPr>
          </w:p>
        </w:tc>
        <w:tc>
          <w:tcPr>
            <w:tcW w:w="7920" w:type="dxa"/>
          </w:tcPr>
          <w:p w:rsidR="005600AB" w:rsidRPr="005B5AFE" w:rsidRDefault="005600AB" w:rsidP="005600AB"/>
        </w:tc>
      </w:tr>
      <w:tr w:rsidR="005600AB" w:rsidRPr="00822D7A" w:rsidTr="005600AB">
        <w:tc>
          <w:tcPr>
            <w:tcW w:w="2545" w:type="dxa"/>
          </w:tcPr>
          <w:p w:rsidR="005600AB" w:rsidRPr="00846584" w:rsidRDefault="005600AB" w:rsidP="00225952">
            <w:pPr>
              <w:pStyle w:val="Heading4"/>
            </w:pPr>
          </w:p>
        </w:tc>
        <w:tc>
          <w:tcPr>
            <w:tcW w:w="7920" w:type="dxa"/>
          </w:tcPr>
          <w:p w:rsidR="005600AB" w:rsidRPr="005B5AFE" w:rsidRDefault="005600AB" w:rsidP="005600AB"/>
        </w:tc>
      </w:tr>
      <w:tr w:rsidR="005600AB" w:rsidRPr="00822D7A" w:rsidTr="005600AB">
        <w:tc>
          <w:tcPr>
            <w:tcW w:w="2545" w:type="dxa"/>
          </w:tcPr>
          <w:p w:rsidR="005600AB" w:rsidRPr="00846584" w:rsidRDefault="005600AB" w:rsidP="00225952">
            <w:pPr>
              <w:pStyle w:val="Heading4"/>
            </w:pPr>
          </w:p>
        </w:tc>
        <w:tc>
          <w:tcPr>
            <w:tcW w:w="7920" w:type="dxa"/>
          </w:tcPr>
          <w:p w:rsidR="005600AB" w:rsidRPr="005B5AFE" w:rsidRDefault="005600AB" w:rsidP="005600AB"/>
        </w:tc>
      </w:tr>
      <w:tr w:rsidR="005600AB" w:rsidRPr="00822D7A" w:rsidTr="005600AB">
        <w:tc>
          <w:tcPr>
            <w:tcW w:w="2545" w:type="dxa"/>
          </w:tcPr>
          <w:p w:rsidR="005600AB" w:rsidRPr="00846584" w:rsidRDefault="005600AB" w:rsidP="00225952">
            <w:pPr>
              <w:pStyle w:val="Heading4"/>
            </w:pPr>
          </w:p>
        </w:tc>
        <w:tc>
          <w:tcPr>
            <w:tcW w:w="7920" w:type="dxa"/>
          </w:tcPr>
          <w:p w:rsidR="005600AB" w:rsidRPr="005B5AFE" w:rsidRDefault="005600AB" w:rsidP="005600AB"/>
        </w:tc>
      </w:tr>
      <w:tr w:rsidR="005600AB" w:rsidRPr="00822D7A" w:rsidTr="005600AB">
        <w:tc>
          <w:tcPr>
            <w:tcW w:w="2545" w:type="dxa"/>
          </w:tcPr>
          <w:p w:rsidR="005600AB" w:rsidRPr="00846584" w:rsidRDefault="005600AB" w:rsidP="00225952">
            <w:pPr>
              <w:pStyle w:val="Heading4"/>
            </w:pPr>
          </w:p>
        </w:tc>
        <w:tc>
          <w:tcPr>
            <w:tcW w:w="7920" w:type="dxa"/>
          </w:tcPr>
          <w:p w:rsidR="005600AB" w:rsidRPr="005B5AFE" w:rsidRDefault="005600AB" w:rsidP="005600AB"/>
        </w:tc>
      </w:tr>
      <w:tr w:rsidR="005600AB" w:rsidRPr="00822D7A" w:rsidTr="005600AB">
        <w:tc>
          <w:tcPr>
            <w:tcW w:w="2545" w:type="dxa"/>
          </w:tcPr>
          <w:p w:rsidR="005600AB" w:rsidRPr="00846584" w:rsidRDefault="005600AB" w:rsidP="00225952">
            <w:pPr>
              <w:pStyle w:val="Heading4"/>
            </w:pPr>
          </w:p>
        </w:tc>
        <w:tc>
          <w:tcPr>
            <w:tcW w:w="7920" w:type="dxa"/>
          </w:tcPr>
          <w:p w:rsidR="005600AB" w:rsidRPr="005B5AFE" w:rsidRDefault="005600AB" w:rsidP="005600AB"/>
        </w:tc>
      </w:tr>
    </w:tbl>
    <w:p w:rsidR="005600AB" w:rsidRPr="00587EE2" w:rsidRDefault="005600AB" w:rsidP="005600AB">
      <w:pPr>
        <w:pStyle w:val="StyleStyleBulletedRight05Before3pt"/>
        <w:tabs>
          <w:tab w:val="clear" w:pos="720"/>
        </w:tabs>
        <w:ind w:left="360" w:firstLine="0"/>
      </w:pPr>
    </w:p>
    <w:p w:rsidR="00EF4A91" w:rsidRDefault="00EF4A91">
      <w:pPr>
        <w:spacing w:after="200"/>
      </w:pPr>
      <w:r>
        <w:br w:type="page"/>
      </w:r>
    </w:p>
    <w:p w:rsidR="003F432A" w:rsidRDefault="003F432A" w:rsidP="00EF4A91">
      <w:pPr>
        <w:pStyle w:val="Heading1"/>
        <w:rPr>
          <w:sz w:val="72"/>
          <w:szCs w:val="72"/>
        </w:rPr>
        <w:sectPr w:rsidR="003F432A" w:rsidSect="005600AB">
          <w:headerReference w:type="default" r:id="rId420"/>
          <w:pgSz w:w="12240" w:h="15840"/>
          <w:pgMar w:top="1440" w:right="720" w:bottom="1440" w:left="1152" w:header="720" w:footer="720" w:gutter="0"/>
          <w:cols w:space="720"/>
          <w:docGrid w:linePitch="360"/>
        </w:sectPr>
      </w:pPr>
    </w:p>
    <w:tbl>
      <w:tblPr>
        <w:tblW w:w="10548" w:type="dxa"/>
        <w:tblBorders>
          <w:insideV w:val="single" w:sz="4" w:space="0" w:color="auto"/>
        </w:tblBorders>
        <w:tblLook w:val="0000"/>
      </w:tblPr>
      <w:tblGrid>
        <w:gridCol w:w="10548"/>
      </w:tblGrid>
      <w:tr w:rsidR="00EF4A91" w:rsidRPr="00182D0E" w:rsidTr="005A3F7B">
        <w:tc>
          <w:tcPr>
            <w:tcW w:w="10548" w:type="dxa"/>
          </w:tcPr>
          <w:p w:rsidR="00EF4A91" w:rsidRPr="00EF4A91" w:rsidRDefault="00EF4A91" w:rsidP="00EF4A91">
            <w:pPr>
              <w:pStyle w:val="Heading1"/>
              <w:rPr>
                <w:sz w:val="72"/>
                <w:szCs w:val="72"/>
              </w:rPr>
            </w:pPr>
            <w:r w:rsidRPr="000F191D">
              <w:rPr>
                <w:sz w:val="72"/>
                <w:szCs w:val="72"/>
              </w:rPr>
              <w:lastRenderedPageBreak/>
              <w:t xml:space="preserve">  </w:t>
            </w:r>
            <w:bookmarkStart w:id="429" w:name="_Toc226824560"/>
            <w:bookmarkStart w:id="430" w:name="_Toc264274207"/>
            <w:r>
              <w:t xml:space="preserve">APPENDIX H – </w:t>
            </w:r>
            <w:r w:rsidRPr="00EF4A91">
              <w:rPr>
                <w:b w:val="0"/>
              </w:rPr>
              <w:t>GLOSSARY</w:t>
            </w:r>
            <w:bookmarkEnd w:id="429"/>
            <w:bookmarkEnd w:id="430"/>
          </w:p>
        </w:tc>
      </w:tr>
    </w:tbl>
    <w:p w:rsidR="00EF4A91" w:rsidRPr="00803378" w:rsidRDefault="00EF4A91" w:rsidP="00EF4A91">
      <w:r w:rsidRPr="00803378">
        <w:t xml:space="preserve">Note: </w:t>
      </w:r>
      <w:r w:rsidRPr="00EF4A91">
        <w:rPr>
          <w:i/>
        </w:rPr>
        <w:t>Italicized words and phrases</w:t>
      </w:r>
      <w:r w:rsidRPr="00803378">
        <w:t xml:space="preserve"> are defined in this glossary. </w:t>
      </w:r>
    </w:p>
    <w:tbl>
      <w:tblPr>
        <w:tblW w:w="10483" w:type="dxa"/>
        <w:tblLayout w:type="fixed"/>
        <w:tblCellMar>
          <w:left w:w="43" w:type="dxa"/>
          <w:right w:w="0" w:type="dxa"/>
        </w:tblCellMar>
        <w:tblLook w:val="0000"/>
      </w:tblPr>
      <w:tblGrid>
        <w:gridCol w:w="2178"/>
        <w:gridCol w:w="270"/>
        <w:gridCol w:w="8035"/>
      </w:tblGrid>
      <w:tr w:rsidR="00EF4A91" w:rsidRPr="00182D0E" w:rsidTr="005A3F7B">
        <w:tc>
          <w:tcPr>
            <w:tcW w:w="2178" w:type="dxa"/>
          </w:tcPr>
          <w:p w:rsidR="00EF4A91" w:rsidRPr="00803378" w:rsidRDefault="00EF4A91" w:rsidP="005A3F7B">
            <w:pPr>
              <w:pStyle w:val="TermGlossary"/>
            </w:pPr>
            <w:r w:rsidRPr="00803378">
              <w:t xml:space="preserve">Accessibility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 xml:space="preserve">The dimension of </w:t>
            </w:r>
            <w:r w:rsidRPr="00694D84">
              <w:rPr>
                <w:i/>
              </w:rPr>
              <w:t>mobility</w:t>
            </w:r>
            <w:r w:rsidRPr="00803378">
              <w:t xml:space="preserve"> that addresses the ease in which travelers can engage in desired activities.</w:t>
            </w:r>
          </w:p>
        </w:tc>
      </w:tr>
      <w:tr w:rsidR="00EF4A91" w:rsidRPr="00182D0E" w:rsidTr="005A3F7B">
        <w:tc>
          <w:tcPr>
            <w:tcW w:w="2178" w:type="dxa"/>
          </w:tcPr>
          <w:p w:rsidR="00EF4A91" w:rsidRPr="00803378" w:rsidRDefault="00EF4A91" w:rsidP="005A3F7B">
            <w:pPr>
              <w:pStyle w:val="TermGlossary"/>
            </w:pPr>
            <w:r w:rsidRPr="00803378">
              <w:t xml:space="preserve">Accuracy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The degree of a measure’s conformity to a true value.</w:t>
            </w:r>
          </w:p>
        </w:tc>
      </w:tr>
      <w:tr w:rsidR="00EF4A91" w:rsidRPr="00182D0E" w:rsidTr="005A3F7B">
        <w:tc>
          <w:tcPr>
            <w:tcW w:w="2178" w:type="dxa"/>
          </w:tcPr>
          <w:p w:rsidR="00EF4A91" w:rsidRPr="00803378" w:rsidRDefault="00EF4A91" w:rsidP="005A3F7B">
            <w:pPr>
              <w:pStyle w:val="TermGlossary"/>
            </w:pPr>
            <w:r w:rsidRPr="00803378">
              <w:t>Annual average daily traffic</w:t>
            </w:r>
            <w:r>
              <w:t xml:space="preserve"> (AADT)</w:t>
            </w:r>
            <w:r w:rsidRPr="00803378">
              <w:t xml:space="preserve"> </w:t>
            </w:r>
          </w:p>
        </w:tc>
        <w:tc>
          <w:tcPr>
            <w:tcW w:w="270" w:type="dxa"/>
          </w:tcPr>
          <w:p w:rsidR="00EF4A91" w:rsidRPr="00803378" w:rsidRDefault="00EF4A91" w:rsidP="005A3F7B">
            <w:pPr>
              <w:pStyle w:val="TermGlossaryDefine"/>
            </w:pPr>
            <w:r>
              <w:br/>
            </w:r>
            <w:r w:rsidRPr="0089265C">
              <w:t>–</w:t>
            </w:r>
          </w:p>
        </w:tc>
        <w:tc>
          <w:tcPr>
            <w:tcW w:w="8035" w:type="dxa"/>
          </w:tcPr>
          <w:p w:rsidR="00EF4A91" w:rsidRDefault="00EF4A91" w:rsidP="005A3F7B">
            <w:pPr>
              <w:pStyle w:val="TermGlossaryDefine"/>
            </w:pPr>
            <w:r w:rsidRPr="00803378">
              <w:t>The volume passing a point or segment of a roadway in both directions for 1 year divided by the number of days in the year.</w:t>
            </w:r>
          </w:p>
        </w:tc>
      </w:tr>
      <w:tr w:rsidR="00EF4A91" w:rsidRPr="00182D0E" w:rsidTr="005A3F7B">
        <w:tc>
          <w:tcPr>
            <w:tcW w:w="2178" w:type="dxa"/>
          </w:tcPr>
          <w:p w:rsidR="00EF4A91" w:rsidRPr="00803378" w:rsidRDefault="00EF4A91" w:rsidP="005A3F7B">
            <w:pPr>
              <w:pStyle w:val="TermGlossary"/>
            </w:pPr>
            <w:r w:rsidRPr="00803378">
              <w:t xml:space="preserve">Area type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In this Handbook a general categorization of an extent of surface based primarily on the degree of urbanization.</w:t>
            </w:r>
          </w:p>
        </w:tc>
      </w:tr>
      <w:tr w:rsidR="00EF4A91" w:rsidRPr="00182D0E" w:rsidTr="005A3F7B">
        <w:tc>
          <w:tcPr>
            <w:tcW w:w="2178" w:type="dxa"/>
          </w:tcPr>
          <w:p w:rsidR="00EF4A91" w:rsidRPr="00803378" w:rsidRDefault="00EF4A91" w:rsidP="00EF4A91">
            <w:pPr>
              <w:pStyle w:val="TermGlossary"/>
              <w:spacing w:after="60"/>
            </w:pPr>
            <w:r w:rsidRPr="00803378">
              <w:t xml:space="preserve">Arterial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06666B">
            <w:pPr>
              <w:pStyle w:val="TermGlossaryDefine"/>
              <w:numPr>
                <w:ilvl w:val="0"/>
                <w:numId w:val="169"/>
              </w:numPr>
            </w:pPr>
            <w:r w:rsidRPr="00803378">
              <w:t xml:space="preserve">A signalized roadway that primarily serves </w:t>
            </w:r>
            <w:r>
              <w:t>thru</w:t>
            </w:r>
            <w:r w:rsidRPr="00803378">
              <w:t xml:space="preserve"> traffic with </w:t>
            </w:r>
            <w:r>
              <w:t xml:space="preserve">average </w:t>
            </w:r>
            <w:r w:rsidRPr="00831D9E">
              <w:rPr>
                <w:i/>
              </w:rPr>
              <w:t>signalized intersection spacing</w:t>
            </w:r>
            <w:r w:rsidRPr="00803378">
              <w:t xml:space="preserve"> of 2.0 miles or less.</w:t>
            </w:r>
          </w:p>
          <w:p w:rsidR="00EF4A91" w:rsidRDefault="00EF4A91" w:rsidP="005A3F7B">
            <w:pPr>
              <w:pStyle w:val="TermGlossaryDefine"/>
            </w:pPr>
            <w:r w:rsidRPr="00803378">
              <w:t xml:space="preserve">A state facility that is not on </w:t>
            </w:r>
            <w:r w:rsidRPr="00F322F8">
              <w:rPr>
                <w:i/>
              </w:rPr>
              <w:t>freeway</w:t>
            </w:r>
            <w:r w:rsidRPr="00803378">
              <w:t>.</w:t>
            </w:r>
          </w:p>
          <w:p w:rsidR="00EF4A91" w:rsidRDefault="00EF4A91" w:rsidP="00FA40A3">
            <w:pPr>
              <w:pStyle w:val="TermGlossaryDefine"/>
              <w:jc w:val="left"/>
            </w:pPr>
            <w:r w:rsidRPr="00803378">
              <w:t xml:space="preserve"> A type of roadway based on FDOT functional classification.</w:t>
            </w:r>
            <w:r>
              <w:br/>
            </w:r>
          </w:p>
        </w:tc>
      </w:tr>
      <w:tr w:rsidR="00EF4A91" w:rsidRPr="00182D0E" w:rsidTr="005A3F7B">
        <w:tc>
          <w:tcPr>
            <w:tcW w:w="2178" w:type="dxa"/>
          </w:tcPr>
          <w:p w:rsidR="00EF4A91" w:rsidRPr="00803378" w:rsidRDefault="00EF4A91" w:rsidP="00EF4A91">
            <w:pPr>
              <w:pStyle w:val="TermGlossary"/>
              <w:spacing w:after="60"/>
            </w:pPr>
            <w:r w:rsidRPr="00803378">
              <w:t xml:space="preserve">ARTPLAN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 xml:space="preserve">FDOT’s arterial planning software for calculating </w:t>
            </w:r>
            <w:r w:rsidRPr="00F322F8">
              <w:rPr>
                <w:i/>
              </w:rPr>
              <w:t>level of service</w:t>
            </w:r>
            <w:r w:rsidRPr="00803378">
              <w:t xml:space="preserve"> and </w:t>
            </w:r>
            <w:r w:rsidRPr="00F322F8">
              <w:rPr>
                <w:i/>
              </w:rPr>
              <w:t>service volume tables</w:t>
            </w:r>
            <w:r w:rsidRPr="00803378">
              <w:t xml:space="preserve"> for </w:t>
            </w:r>
            <w:r w:rsidRPr="00F322F8">
              <w:rPr>
                <w:i/>
              </w:rPr>
              <w:t>interrupted flow</w:t>
            </w:r>
            <w:r w:rsidRPr="00803378">
              <w:t xml:space="preserve"> roadways. </w:t>
            </w:r>
          </w:p>
        </w:tc>
      </w:tr>
      <w:tr w:rsidR="00EF4A91" w:rsidRPr="00182D0E" w:rsidTr="005A3F7B">
        <w:tc>
          <w:tcPr>
            <w:tcW w:w="2178" w:type="dxa"/>
          </w:tcPr>
          <w:p w:rsidR="00EF4A91" w:rsidRPr="00803378" w:rsidRDefault="00EF4A91" w:rsidP="00EF4A91">
            <w:pPr>
              <w:pStyle w:val="TermGlossary"/>
              <w:spacing w:after="60"/>
            </w:pPr>
            <w:r w:rsidRPr="00803378">
              <w:t xml:space="preserve">Auto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 xml:space="preserve">Same as </w:t>
            </w:r>
            <w:r w:rsidRPr="00F322F8">
              <w:rPr>
                <w:i/>
              </w:rPr>
              <w:t>automobile</w:t>
            </w:r>
            <w:r w:rsidRPr="00803378">
              <w:t>.</w:t>
            </w:r>
          </w:p>
        </w:tc>
      </w:tr>
      <w:tr w:rsidR="00EF4A91" w:rsidRPr="00182D0E" w:rsidTr="005A3F7B">
        <w:tc>
          <w:tcPr>
            <w:tcW w:w="2178" w:type="dxa"/>
          </w:tcPr>
          <w:p w:rsidR="00EF4A91" w:rsidRPr="00803378" w:rsidRDefault="00EF4A91" w:rsidP="00EF4A91">
            <w:pPr>
              <w:pStyle w:val="TermGlossary"/>
              <w:spacing w:after="60"/>
            </w:pPr>
            <w:r w:rsidRPr="00803378">
              <w:t xml:space="preserve">Automobile  </w:t>
            </w:r>
          </w:p>
          <w:p w:rsidR="00EF4A91" w:rsidRPr="00803378" w:rsidRDefault="00EF4A91" w:rsidP="00EF4A91">
            <w:pPr>
              <w:pStyle w:val="TermGlossary"/>
              <w:spacing w:after="60"/>
            </w:pPr>
          </w:p>
        </w:tc>
        <w:tc>
          <w:tcPr>
            <w:tcW w:w="270" w:type="dxa"/>
          </w:tcPr>
          <w:p w:rsidR="00EF4A91" w:rsidRPr="00803378" w:rsidRDefault="00EF4A91" w:rsidP="005A3F7B">
            <w:pPr>
              <w:pStyle w:val="TermGlossaryDefine"/>
            </w:pPr>
            <w:r w:rsidRPr="0089265C">
              <w:t>–</w:t>
            </w:r>
          </w:p>
        </w:tc>
        <w:tc>
          <w:tcPr>
            <w:tcW w:w="8035" w:type="dxa"/>
          </w:tcPr>
          <w:p w:rsidR="00EF4A91" w:rsidRDefault="00EF4A91" w:rsidP="0006666B">
            <w:pPr>
              <w:pStyle w:val="TermGlossaryDefine"/>
              <w:numPr>
                <w:ilvl w:val="0"/>
                <w:numId w:val="168"/>
              </w:numPr>
            </w:pPr>
            <w:r w:rsidRPr="00803378">
              <w:t>A motorized vehicle with 4 or less wheels touching the pavement during normal operation.</w:t>
            </w:r>
          </w:p>
          <w:p w:rsidR="00EF4A91" w:rsidRDefault="00EF4A91" w:rsidP="0006666B">
            <w:pPr>
              <w:pStyle w:val="TermGlossaryDefine"/>
              <w:numPr>
                <w:ilvl w:val="0"/>
                <w:numId w:val="168"/>
              </w:numPr>
            </w:pPr>
            <w:r>
              <w:t>In this Handbook, all m</w:t>
            </w:r>
            <w:r w:rsidRPr="00803378">
              <w:t xml:space="preserve">otorized </w:t>
            </w:r>
            <w:r>
              <w:t>vehicle traffic using a roadway, except for</w:t>
            </w:r>
            <w:r w:rsidRPr="00803378">
              <w:t xml:space="preserve"> </w:t>
            </w:r>
            <w:r w:rsidRPr="00F322F8">
              <w:rPr>
                <w:i/>
              </w:rPr>
              <w:t>buses</w:t>
            </w:r>
            <w:r w:rsidRPr="00803378">
              <w:t>.</w:t>
            </w:r>
          </w:p>
        </w:tc>
      </w:tr>
      <w:tr w:rsidR="00EF4A91" w:rsidRPr="00182D0E" w:rsidTr="005A3F7B">
        <w:tc>
          <w:tcPr>
            <w:tcW w:w="2178" w:type="dxa"/>
          </w:tcPr>
          <w:p w:rsidR="00EF4A91" w:rsidRPr="00803378" w:rsidRDefault="00EF4A91" w:rsidP="00EF4A91">
            <w:pPr>
              <w:pStyle w:val="TermGlossary"/>
              <w:spacing w:after="60"/>
            </w:pPr>
            <w:r w:rsidRPr="00803378">
              <w:t xml:space="preserve">Auxiliary lane </w:t>
            </w:r>
          </w:p>
        </w:tc>
        <w:tc>
          <w:tcPr>
            <w:tcW w:w="270" w:type="dxa"/>
          </w:tcPr>
          <w:p w:rsidR="00EF4A91" w:rsidRDefault="00EF4A91" w:rsidP="005A3F7B">
            <w:pPr>
              <w:pStyle w:val="TermGlossaryDefine"/>
            </w:pPr>
            <w:r w:rsidRPr="0089265C">
              <w:t>–</w:t>
            </w:r>
          </w:p>
        </w:tc>
        <w:tc>
          <w:tcPr>
            <w:tcW w:w="8035" w:type="dxa"/>
          </w:tcPr>
          <w:p w:rsidR="00EF4A91" w:rsidRDefault="00EF4A91" w:rsidP="005A3F7B">
            <w:pPr>
              <w:pStyle w:val="TermGlossaryDefine"/>
            </w:pPr>
            <w:r>
              <w:t>An additional lane</w:t>
            </w:r>
            <w:r w:rsidRPr="002B20E1">
              <w:t xml:space="preserve"> on a </w:t>
            </w:r>
            <w:r w:rsidRPr="00505DF1">
              <w:rPr>
                <w:i/>
              </w:rPr>
              <w:t>freeway</w:t>
            </w:r>
            <w:r w:rsidRPr="002B20E1">
              <w:t xml:space="preserve"> connect</w:t>
            </w:r>
            <w:r>
              <w:t>ing</w:t>
            </w:r>
            <w:r w:rsidRPr="002B20E1">
              <w:t xml:space="preserve"> an on ramp </w:t>
            </w:r>
            <w:r>
              <w:t>of one interchange to the</w:t>
            </w:r>
            <w:r w:rsidRPr="002B20E1">
              <w:t xml:space="preserve"> off ramp</w:t>
            </w:r>
            <w:r>
              <w:t xml:space="preserve"> of the downstream interchange</w:t>
            </w:r>
            <w:r w:rsidRPr="002B20E1">
              <w:t>.</w:t>
            </w:r>
          </w:p>
        </w:tc>
      </w:tr>
      <w:tr w:rsidR="00EF4A91" w:rsidRPr="00182D0E" w:rsidTr="005A3F7B">
        <w:tc>
          <w:tcPr>
            <w:tcW w:w="2178" w:type="dxa"/>
          </w:tcPr>
          <w:p w:rsidR="00EF4A91" w:rsidRPr="00803378" w:rsidRDefault="00EF4A91" w:rsidP="00EF4A91">
            <w:pPr>
              <w:pStyle w:val="TermGlossary"/>
              <w:spacing w:after="60"/>
            </w:pPr>
            <w:r w:rsidRPr="00803378">
              <w:t xml:space="preserve">Average daily traffic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The total traffic volume during a given time period (more than a day and less than a year) divided by the number of days in that time period.</w:t>
            </w:r>
          </w:p>
        </w:tc>
      </w:tr>
      <w:tr w:rsidR="00EF4A91" w:rsidRPr="00182D0E" w:rsidTr="005A3F7B">
        <w:tc>
          <w:tcPr>
            <w:tcW w:w="2178" w:type="dxa"/>
          </w:tcPr>
          <w:p w:rsidR="00EF4A91" w:rsidRPr="00803378" w:rsidRDefault="00EF4A91" w:rsidP="004F5AC3">
            <w:pPr>
              <w:pStyle w:val="TermGlossary"/>
              <w:spacing w:after="60"/>
            </w:pPr>
            <w:r w:rsidRPr="00803378">
              <w:t xml:space="preserve">Base </w:t>
            </w:r>
            <w:r w:rsidR="004F5AC3">
              <w:t>year</w:t>
            </w:r>
            <w:r w:rsidRPr="00803378">
              <w:t xml:space="preserve">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p>
        </w:tc>
      </w:tr>
      <w:tr w:rsidR="00EF4A91" w:rsidRPr="00182D0E" w:rsidTr="005A3F7B">
        <w:tc>
          <w:tcPr>
            <w:tcW w:w="2178" w:type="dxa"/>
          </w:tcPr>
          <w:p w:rsidR="00EF4A91" w:rsidRPr="00803378" w:rsidRDefault="00EF4A91" w:rsidP="00EF4A91">
            <w:pPr>
              <w:pStyle w:val="TermGlossary"/>
              <w:spacing w:after="60"/>
            </w:pPr>
            <w:r w:rsidRPr="00803378">
              <w:t xml:space="preserve">Bicycle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A mode of travel with two wheels in tandem, propelled by human power.</w:t>
            </w:r>
          </w:p>
        </w:tc>
      </w:tr>
      <w:tr w:rsidR="00EF4A91" w:rsidRPr="00182D0E" w:rsidTr="005A3F7B">
        <w:tc>
          <w:tcPr>
            <w:tcW w:w="2178" w:type="dxa"/>
          </w:tcPr>
          <w:p w:rsidR="00EF4A91" w:rsidRPr="00803378" w:rsidRDefault="00EF4A91" w:rsidP="00EF4A91">
            <w:pPr>
              <w:pStyle w:val="TermGlossary"/>
              <w:spacing w:after="60"/>
            </w:pPr>
            <w:r w:rsidRPr="00803378">
              <w:t xml:space="preserve">Bicycle lane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 xml:space="preserve">In this Handbook a </w:t>
            </w:r>
            <w:r w:rsidRPr="00F322F8">
              <w:rPr>
                <w:i/>
              </w:rPr>
              <w:t>designated</w:t>
            </w:r>
            <w:r w:rsidRPr="00803378">
              <w:t xml:space="preserve"> or </w:t>
            </w:r>
            <w:r w:rsidRPr="00F322F8">
              <w:rPr>
                <w:i/>
              </w:rPr>
              <w:t>undesignated</w:t>
            </w:r>
            <w:r w:rsidRPr="00803378">
              <w:t xml:space="preserve"> portion of roadway for bicycles adjacent to motorized vehicle lanes.</w:t>
            </w:r>
          </w:p>
        </w:tc>
      </w:tr>
      <w:tr w:rsidR="00EF4A91" w:rsidRPr="00182D0E" w:rsidTr="005A3F7B">
        <w:tc>
          <w:tcPr>
            <w:tcW w:w="2178" w:type="dxa"/>
          </w:tcPr>
          <w:p w:rsidR="00EF4A91" w:rsidRPr="00803378" w:rsidRDefault="00EF4A91" w:rsidP="00EF4A91">
            <w:pPr>
              <w:pStyle w:val="TermGlossary"/>
              <w:spacing w:after="60"/>
            </w:pPr>
            <w:r w:rsidRPr="00803378">
              <w:t xml:space="preserve">Bicycle LOS Model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 xml:space="preserve">The </w:t>
            </w:r>
            <w:r w:rsidRPr="00F322F8">
              <w:rPr>
                <w:i/>
              </w:rPr>
              <w:t>operational methodology</w:t>
            </w:r>
            <w:r w:rsidRPr="00803378">
              <w:t xml:space="preserve"> from which this Handbook’s bicycle quality/level of service analyses are based.</w:t>
            </w:r>
          </w:p>
        </w:tc>
      </w:tr>
      <w:tr w:rsidR="00EF4A91" w:rsidRPr="00182D0E" w:rsidTr="005A3F7B">
        <w:tc>
          <w:tcPr>
            <w:tcW w:w="2178" w:type="dxa"/>
          </w:tcPr>
          <w:p w:rsidR="00EF4A91" w:rsidRPr="00803378" w:rsidRDefault="00EF4A91" w:rsidP="00EF4A91">
            <w:pPr>
              <w:pStyle w:val="TermGlossary"/>
              <w:spacing w:after="60"/>
            </w:pPr>
            <w:r w:rsidRPr="00803378">
              <w:t xml:space="preserve">Boundaries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 xml:space="preserve">In this Handbook the geographical limits associated with </w:t>
            </w:r>
            <w:r w:rsidRPr="003F2232">
              <w:rPr>
                <w:i/>
              </w:rPr>
              <w:t>FDOT’s Statewide Minimum Level of Service Standards</w:t>
            </w:r>
            <w:r w:rsidRPr="00803378">
              <w:t xml:space="preserve"> for the </w:t>
            </w:r>
            <w:r w:rsidRPr="003F2232">
              <w:rPr>
                <w:i/>
              </w:rPr>
              <w:t>State Highway System</w:t>
            </w:r>
            <w:r w:rsidRPr="00803378">
              <w:t xml:space="preserve"> or its MPO Administrative Manual.</w:t>
            </w:r>
          </w:p>
        </w:tc>
      </w:tr>
      <w:tr w:rsidR="004F5AC3" w:rsidRPr="00182D0E" w:rsidTr="005A3F7B">
        <w:tc>
          <w:tcPr>
            <w:tcW w:w="2178" w:type="dxa"/>
          </w:tcPr>
          <w:p w:rsidR="004F5AC3" w:rsidRPr="00803378" w:rsidRDefault="004F5AC3" w:rsidP="00EF4A91">
            <w:pPr>
              <w:pStyle w:val="TermGlossary"/>
              <w:spacing w:after="60"/>
            </w:pPr>
            <w:r>
              <w:t>Study area boundaries</w:t>
            </w:r>
          </w:p>
        </w:tc>
        <w:tc>
          <w:tcPr>
            <w:tcW w:w="270" w:type="dxa"/>
          </w:tcPr>
          <w:p w:rsidR="004F5AC3" w:rsidRPr="0089265C" w:rsidRDefault="004F5AC3" w:rsidP="005A3F7B">
            <w:pPr>
              <w:pStyle w:val="TermGlossaryDefine"/>
            </w:pPr>
          </w:p>
        </w:tc>
        <w:tc>
          <w:tcPr>
            <w:tcW w:w="8035" w:type="dxa"/>
          </w:tcPr>
          <w:p w:rsidR="004F5AC3" w:rsidRPr="00803378" w:rsidRDefault="004F5AC3" w:rsidP="005A3F7B">
            <w:pPr>
              <w:pStyle w:val="TermGlossaryDefine"/>
            </w:pPr>
          </w:p>
        </w:tc>
      </w:tr>
      <w:tr w:rsidR="00EF4A91" w:rsidRPr="00182D0E" w:rsidTr="005A3F7B">
        <w:tc>
          <w:tcPr>
            <w:tcW w:w="2178" w:type="dxa"/>
          </w:tcPr>
          <w:p w:rsidR="00EF4A91" w:rsidRPr="00803378" w:rsidRDefault="00EF4A91" w:rsidP="00EF4A91">
            <w:pPr>
              <w:pStyle w:val="TermGlossary"/>
              <w:spacing w:after="60"/>
            </w:pPr>
            <w:r w:rsidRPr="00803378">
              <w:t xml:space="preserve">Bus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 xml:space="preserve">In this Handbook a self-propelled, rubber-tired roadway vehicle designed to carry a substantial number of passengers and traveling on a </w:t>
            </w:r>
            <w:r w:rsidRPr="003F2232">
              <w:rPr>
                <w:i/>
              </w:rPr>
              <w:t>scheduled fixed route</w:t>
            </w:r>
            <w:r w:rsidRPr="00803378">
              <w:t>.</w:t>
            </w:r>
          </w:p>
        </w:tc>
      </w:tr>
      <w:tr w:rsidR="00EF4A91" w:rsidRPr="00182D0E" w:rsidTr="005A3F7B">
        <w:tc>
          <w:tcPr>
            <w:tcW w:w="2178" w:type="dxa"/>
          </w:tcPr>
          <w:p w:rsidR="00EF4A91" w:rsidRPr="00803378" w:rsidRDefault="00EF4A91" w:rsidP="00EF4A91">
            <w:pPr>
              <w:pStyle w:val="TermGlossary"/>
              <w:spacing w:after="60"/>
            </w:pPr>
            <w:r w:rsidRPr="00803378">
              <w:t xml:space="preserve">Bus stop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 xml:space="preserve">An area where </w:t>
            </w:r>
            <w:r w:rsidRPr="003F2232">
              <w:rPr>
                <w:i/>
              </w:rPr>
              <w:t>bus</w:t>
            </w:r>
            <w:r w:rsidRPr="00803378">
              <w:t xml:space="preserve"> passengers wait for, board, alight, and transfer.</w:t>
            </w:r>
          </w:p>
        </w:tc>
      </w:tr>
      <w:tr w:rsidR="00EF4A91" w:rsidRPr="00182D0E" w:rsidTr="005A3F7B">
        <w:tc>
          <w:tcPr>
            <w:tcW w:w="2178" w:type="dxa"/>
          </w:tcPr>
          <w:p w:rsidR="00EF4A91" w:rsidRPr="00803378" w:rsidRDefault="00EF4A91" w:rsidP="00EF4A91">
            <w:pPr>
              <w:pStyle w:val="TermGlossary"/>
              <w:spacing w:after="60"/>
            </w:pPr>
            <w:r w:rsidRPr="00803378">
              <w:t xml:space="preserve">Capacity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 xml:space="preserve">The maximum sustainable flow rate at which persons or vehicles reasonably be expected to traverse a </w:t>
            </w:r>
            <w:r w:rsidRPr="003F2232">
              <w:rPr>
                <w:i/>
              </w:rPr>
              <w:t>point</w:t>
            </w:r>
            <w:r w:rsidRPr="00803378">
              <w:t xml:space="preserve"> or a uniform section of roadway during a given time period under prevailing conditions. </w:t>
            </w:r>
          </w:p>
          <w:p w:rsidR="00EF4A91" w:rsidRDefault="00EF4A91" w:rsidP="005A3F7B">
            <w:pPr>
              <w:pStyle w:val="TermGlossaryDefine"/>
            </w:pPr>
            <w:r w:rsidRPr="00803378">
              <w:t xml:space="preserve">As typically used in this Handbook, the maximum number of vehicles that can pass a point in a one hour time period under prevailing </w:t>
            </w:r>
            <w:r w:rsidRPr="003F2232">
              <w:rPr>
                <w:i/>
              </w:rPr>
              <w:t>roadway, traffic</w:t>
            </w:r>
            <w:r w:rsidRPr="00803378">
              <w:t xml:space="preserve"> and </w:t>
            </w:r>
            <w:r w:rsidRPr="003F2232">
              <w:rPr>
                <w:i/>
              </w:rPr>
              <w:t>control conditions</w:t>
            </w:r>
            <w:r w:rsidRPr="00803378">
              <w:t>.</w:t>
            </w:r>
          </w:p>
          <w:p w:rsidR="00EF4A91" w:rsidRDefault="00EF4A91" w:rsidP="005A3F7B">
            <w:pPr>
              <w:pStyle w:val="TermGlossaryDefine"/>
            </w:pPr>
            <w:r w:rsidRPr="00803378">
              <w:lastRenderedPageBreak/>
              <w:t xml:space="preserve">Same as </w:t>
            </w:r>
            <w:r w:rsidRPr="003F2232">
              <w:rPr>
                <w:i/>
              </w:rPr>
              <w:t>base capacity</w:t>
            </w:r>
            <w:r w:rsidRPr="00803378">
              <w:t xml:space="preserve"> or </w:t>
            </w:r>
            <w:r w:rsidRPr="003F2232">
              <w:rPr>
                <w:i/>
              </w:rPr>
              <w:t>base saturation flow rate</w:t>
            </w:r>
            <w:r w:rsidRPr="00803378">
              <w:t>.</w:t>
            </w:r>
          </w:p>
        </w:tc>
      </w:tr>
      <w:tr w:rsidR="00EF4A91" w:rsidRPr="00182D0E" w:rsidTr="005A3F7B">
        <w:tc>
          <w:tcPr>
            <w:tcW w:w="2178" w:type="dxa"/>
          </w:tcPr>
          <w:p w:rsidR="00EF4A91" w:rsidRPr="00803378" w:rsidRDefault="00EF4A91" w:rsidP="00EF4A91">
            <w:pPr>
              <w:pStyle w:val="TermGlossary"/>
              <w:spacing w:after="60"/>
            </w:pPr>
            <w:r w:rsidRPr="00803378">
              <w:lastRenderedPageBreak/>
              <w:t xml:space="preserve">Class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 xml:space="preserve">Same as </w:t>
            </w:r>
            <w:r w:rsidRPr="003F2232">
              <w:rPr>
                <w:i/>
              </w:rPr>
              <w:t>roadway class</w:t>
            </w:r>
            <w:r w:rsidRPr="00803378">
              <w:t xml:space="preserve">. </w:t>
            </w:r>
          </w:p>
        </w:tc>
      </w:tr>
      <w:tr w:rsidR="00EF4A91" w:rsidRPr="00182D0E" w:rsidTr="005A3F7B">
        <w:tc>
          <w:tcPr>
            <w:tcW w:w="2178" w:type="dxa"/>
          </w:tcPr>
          <w:p w:rsidR="00EF4A91" w:rsidRPr="00803378" w:rsidRDefault="00EF4A91" w:rsidP="005A3F7B">
            <w:pPr>
              <w:pStyle w:val="TermGlossary"/>
            </w:pPr>
            <w:r>
              <w:br w:type="page"/>
            </w:r>
            <w:r w:rsidRPr="00803378">
              <w:t xml:space="preserve">Collector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A roadway providing land access and traffic circulation with residential, commercial and industrial areas.</w:t>
            </w:r>
          </w:p>
        </w:tc>
      </w:tr>
      <w:tr w:rsidR="00EF4A91" w:rsidRPr="00182D0E" w:rsidTr="005A3F7B">
        <w:tc>
          <w:tcPr>
            <w:tcW w:w="2178" w:type="dxa"/>
          </w:tcPr>
          <w:p w:rsidR="00EF4A91" w:rsidRPr="00803378" w:rsidRDefault="00EF4A91" w:rsidP="005A3F7B">
            <w:pPr>
              <w:pStyle w:val="TermGlossary"/>
            </w:pPr>
            <w:r w:rsidRPr="00803378">
              <w:t xml:space="preserve">Community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 xml:space="preserve">In this Handbook outside of an urban or urbanized area, an incorporated place or a developed but unincorporated area with a population of 500 or more identified in the appropriate </w:t>
            </w:r>
            <w:r w:rsidRPr="003F2232">
              <w:rPr>
                <w:i/>
              </w:rPr>
              <w:t>local government comprehensive plan</w:t>
            </w:r>
            <w:r w:rsidRPr="00803378">
              <w:t>.</w:t>
            </w:r>
          </w:p>
        </w:tc>
      </w:tr>
      <w:tr w:rsidR="00EF4A91" w:rsidRPr="00182D0E" w:rsidTr="005A3F7B">
        <w:tc>
          <w:tcPr>
            <w:tcW w:w="2178" w:type="dxa"/>
          </w:tcPr>
          <w:p w:rsidR="00EF4A91" w:rsidRPr="00803378" w:rsidRDefault="00EF4A91" w:rsidP="005A3F7B">
            <w:pPr>
              <w:pStyle w:val="TermGlossary"/>
            </w:pPr>
            <w:r w:rsidRPr="00803378">
              <w:t xml:space="preserve">Conceptual planning </w:t>
            </w:r>
          </w:p>
        </w:tc>
        <w:tc>
          <w:tcPr>
            <w:tcW w:w="270" w:type="dxa"/>
          </w:tcPr>
          <w:p w:rsidR="00EF4A91" w:rsidRDefault="00EF4A91" w:rsidP="005A3F7B">
            <w:pPr>
              <w:pStyle w:val="TermGlossaryDefine"/>
            </w:pPr>
            <w:r w:rsidRPr="0089265C">
              <w:t>–</w:t>
            </w:r>
          </w:p>
        </w:tc>
        <w:tc>
          <w:tcPr>
            <w:tcW w:w="8035" w:type="dxa"/>
          </w:tcPr>
          <w:p w:rsidR="00EF4A91" w:rsidRDefault="00EF4A91" w:rsidP="005A3F7B">
            <w:pPr>
              <w:pStyle w:val="TermGlossaryDefine"/>
            </w:pPr>
            <w:r>
              <w:t xml:space="preserve">Same as </w:t>
            </w:r>
            <w:r w:rsidRPr="003F2232">
              <w:rPr>
                <w:i/>
              </w:rPr>
              <w:t>preliminary engineering</w:t>
            </w:r>
            <w:r>
              <w:t>.</w:t>
            </w:r>
          </w:p>
        </w:tc>
      </w:tr>
      <w:tr w:rsidR="00EF4A91" w:rsidRPr="00182D0E" w:rsidTr="005A3F7B">
        <w:tc>
          <w:tcPr>
            <w:tcW w:w="2178" w:type="dxa"/>
          </w:tcPr>
          <w:p w:rsidR="00EF4A91" w:rsidRDefault="00EF4A91" w:rsidP="005A3F7B">
            <w:pPr>
              <w:pStyle w:val="TermGlossary"/>
            </w:pPr>
            <w:r w:rsidRPr="00803378">
              <w:t>Concurrency</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A systematic process utilized by local governments to ensure that new development does not occur unless adequate infrastructure is in place to support growth.</w:t>
            </w:r>
          </w:p>
        </w:tc>
      </w:tr>
      <w:tr w:rsidR="00EF4A91" w:rsidRPr="00182D0E" w:rsidTr="005A3F7B">
        <w:tc>
          <w:tcPr>
            <w:tcW w:w="2178" w:type="dxa"/>
          </w:tcPr>
          <w:p w:rsidR="00EF4A91" w:rsidRPr="00803378" w:rsidRDefault="00EF4A91" w:rsidP="005A3F7B">
            <w:pPr>
              <w:pStyle w:val="TermGlossary"/>
            </w:pPr>
            <w:r>
              <w:t>Congestion</w:t>
            </w:r>
          </w:p>
        </w:tc>
        <w:tc>
          <w:tcPr>
            <w:tcW w:w="270" w:type="dxa"/>
          </w:tcPr>
          <w:p w:rsidR="00EF4A91" w:rsidRPr="00803378" w:rsidRDefault="00EF4A91" w:rsidP="005A3F7B">
            <w:pPr>
              <w:pStyle w:val="TermGlossaryDefine"/>
            </w:pPr>
            <w:r w:rsidRPr="0089265C">
              <w:t>–</w:t>
            </w:r>
          </w:p>
        </w:tc>
        <w:tc>
          <w:tcPr>
            <w:tcW w:w="8035" w:type="dxa"/>
          </w:tcPr>
          <w:p w:rsidR="00EF4A91" w:rsidRPr="00803378" w:rsidRDefault="00EF4A91" w:rsidP="005A3F7B">
            <w:pPr>
              <w:pStyle w:val="TermGlossaryDefine"/>
            </w:pPr>
            <w:r>
              <w:t>Condition in which traffic demand approaches or exceeds the available capacity of the transportation facility(ies).</w:t>
            </w:r>
            <w:r w:rsidRPr="00803378">
              <w:tab/>
            </w:r>
          </w:p>
        </w:tc>
      </w:tr>
      <w:tr w:rsidR="00EF4A91" w:rsidRPr="00182D0E" w:rsidTr="005A3F7B">
        <w:tc>
          <w:tcPr>
            <w:tcW w:w="2178" w:type="dxa"/>
          </w:tcPr>
          <w:p w:rsidR="00EF4A91" w:rsidRPr="00803378" w:rsidRDefault="00EF4A91" w:rsidP="005A3F7B">
            <w:pPr>
              <w:pStyle w:val="TermGlossary"/>
            </w:pPr>
            <w:r w:rsidRPr="00803378">
              <w:t xml:space="preserve">Constrained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 xml:space="preserve">Same as </w:t>
            </w:r>
            <w:r w:rsidRPr="003F2232">
              <w:rPr>
                <w:i/>
              </w:rPr>
              <w:t>capacity constrained</w:t>
            </w:r>
            <w:r w:rsidRPr="00803378">
              <w:t>.</w:t>
            </w:r>
          </w:p>
        </w:tc>
      </w:tr>
      <w:tr w:rsidR="00EF4A91" w:rsidRPr="00182D0E" w:rsidTr="005A3F7B">
        <w:tc>
          <w:tcPr>
            <w:tcW w:w="2178" w:type="dxa"/>
          </w:tcPr>
          <w:p w:rsidR="00EF4A91" w:rsidRPr="00803378" w:rsidRDefault="00EF4A91" w:rsidP="005A3F7B">
            <w:pPr>
              <w:pStyle w:val="TermGlossary"/>
            </w:pPr>
            <w:r w:rsidRPr="00803378">
              <w:t xml:space="preserve">Corridor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A set of essentially parallel transportation facilities for moving people and goods between two points.</w:t>
            </w:r>
          </w:p>
        </w:tc>
      </w:tr>
      <w:tr w:rsidR="00EF4A91" w:rsidRPr="00182D0E" w:rsidTr="005A3F7B">
        <w:tc>
          <w:tcPr>
            <w:tcW w:w="2178" w:type="dxa"/>
          </w:tcPr>
          <w:p w:rsidR="00EF4A91" w:rsidRPr="00803378" w:rsidRDefault="00EF4A91" w:rsidP="005A3F7B">
            <w:pPr>
              <w:pStyle w:val="TermGlossary"/>
            </w:pPr>
            <w:r w:rsidRPr="00803378">
              <w:t xml:space="preserve">D factor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 xml:space="preserve">Same as </w:t>
            </w:r>
            <w:r w:rsidRPr="00922382">
              <w:t>directional distribution factor</w:t>
            </w:r>
            <w:r w:rsidRPr="00803378">
              <w:t>.</w:t>
            </w:r>
          </w:p>
        </w:tc>
      </w:tr>
      <w:tr w:rsidR="00EF4A91" w:rsidRPr="00182D0E" w:rsidTr="005A3F7B">
        <w:tc>
          <w:tcPr>
            <w:tcW w:w="2178" w:type="dxa"/>
          </w:tcPr>
          <w:p w:rsidR="00EF4A91" w:rsidRPr="00803378" w:rsidRDefault="00EF4A91" w:rsidP="005A3F7B">
            <w:pPr>
              <w:pStyle w:val="TermGlossary"/>
            </w:pPr>
            <w:r w:rsidRPr="00803378">
              <w:t xml:space="preserve">Daily tables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 xml:space="preserve">In this Handbook, </w:t>
            </w:r>
            <w:r w:rsidRPr="00505DF1">
              <w:rPr>
                <w:i/>
              </w:rPr>
              <w:t>Service Volume Tables</w:t>
            </w:r>
            <w:r w:rsidRPr="00803378">
              <w:t xml:space="preserve"> presented in terms of </w:t>
            </w:r>
            <w:r w:rsidRPr="00505DF1">
              <w:rPr>
                <w:i/>
              </w:rPr>
              <w:t>annual average daily traffic</w:t>
            </w:r>
            <w:r w:rsidRPr="00803378">
              <w:t>.</w:t>
            </w:r>
          </w:p>
        </w:tc>
      </w:tr>
      <w:tr w:rsidR="00EF4A91" w:rsidRPr="00182D0E" w:rsidTr="005A3F7B">
        <w:tc>
          <w:tcPr>
            <w:tcW w:w="2178" w:type="dxa"/>
          </w:tcPr>
          <w:p w:rsidR="00EF4A91" w:rsidRPr="00803378" w:rsidRDefault="00EF4A91" w:rsidP="005A3F7B">
            <w:pPr>
              <w:pStyle w:val="TermGlossary"/>
            </w:pPr>
            <w:r w:rsidRPr="00803378">
              <w:t xml:space="preserve">Demand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 xml:space="preserve">The number of persons or vehicles desiring service on a </w:t>
            </w:r>
            <w:r w:rsidRPr="00922382">
              <w:t>roadway</w:t>
            </w:r>
            <w:r w:rsidRPr="00803378">
              <w:t>.</w:t>
            </w:r>
          </w:p>
        </w:tc>
      </w:tr>
      <w:tr w:rsidR="00EF4A91" w:rsidRPr="00182D0E" w:rsidTr="005A3F7B">
        <w:tc>
          <w:tcPr>
            <w:tcW w:w="2178" w:type="dxa"/>
          </w:tcPr>
          <w:p w:rsidR="00EF4A91" w:rsidRPr="00803378" w:rsidRDefault="00EF4A91" w:rsidP="005A3F7B">
            <w:pPr>
              <w:pStyle w:val="TermGlossary"/>
            </w:pPr>
            <w:r w:rsidRPr="00803378">
              <w:t xml:space="preserve">Density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p>
        </w:tc>
      </w:tr>
      <w:tr w:rsidR="00EF4A91" w:rsidRPr="00182D0E" w:rsidTr="005A3F7B">
        <w:tc>
          <w:tcPr>
            <w:tcW w:w="2178" w:type="dxa"/>
          </w:tcPr>
          <w:p w:rsidR="00EF4A91" w:rsidRPr="00803378" w:rsidRDefault="00EF4A91" w:rsidP="005A3F7B">
            <w:pPr>
              <w:pStyle w:val="TermGlossary"/>
            </w:pPr>
            <w:r w:rsidRPr="00803378">
              <w:t xml:space="preserve">Development of regional impact (DRI)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A development which, because of its character, magnitude, or location, would substantially affect the health, safety, or welfare of citizens of more than one county in Florida, as defined in Section 380.06(1), Florida Statutes, implemented by Rule 9J-2, Florida Administrative Code, and coordinated by the regional planning agency.</w:t>
            </w:r>
          </w:p>
        </w:tc>
      </w:tr>
      <w:tr w:rsidR="00EF4A91" w:rsidRPr="00182D0E" w:rsidTr="005A3F7B">
        <w:tc>
          <w:tcPr>
            <w:tcW w:w="2178" w:type="dxa"/>
          </w:tcPr>
          <w:p w:rsidR="00EF4A91" w:rsidRPr="00803378" w:rsidRDefault="00EF4A91" w:rsidP="005A3F7B">
            <w:pPr>
              <w:pStyle w:val="TermGlossary"/>
            </w:pPr>
            <w:r w:rsidRPr="00803378">
              <w:t xml:space="preserve">Directional distribution factor (D) </w:t>
            </w:r>
          </w:p>
        </w:tc>
        <w:tc>
          <w:tcPr>
            <w:tcW w:w="270" w:type="dxa"/>
          </w:tcPr>
          <w:p w:rsidR="00EF4A91" w:rsidRPr="00803378" w:rsidRDefault="00EF4A91" w:rsidP="005A3F7B">
            <w:pPr>
              <w:pStyle w:val="TermGlossaryDefine"/>
            </w:pPr>
            <w:r>
              <w:br/>
            </w:r>
            <w:r w:rsidRPr="0089265C">
              <w:t>–</w:t>
            </w:r>
          </w:p>
        </w:tc>
        <w:tc>
          <w:tcPr>
            <w:tcW w:w="8035" w:type="dxa"/>
          </w:tcPr>
          <w:p w:rsidR="00EF4A91" w:rsidRDefault="00EF4A91" w:rsidP="005A3F7B">
            <w:pPr>
              <w:pStyle w:val="TermGlossaryDefine"/>
            </w:pPr>
            <w:r w:rsidRPr="00803378">
              <w:t xml:space="preserve">The proportion of an hour’s total </w:t>
            </w:r>
            <w:r w:rsidRPr="00922382">
              <w:rPr>
                <w:i/>
              </w:rPr>
              <w:t>volume</w:t>
            </w:r>
            <w:r w:rsidRPr="00803378">
              <w:t xml:space="preserve"> occurring in the higher volume direction.</w:t>
            </w:r>
          </w:p>
        </w:tc>
      </w:tr>
      <w:tr w:rsidR="00EF4A91" w:rsidRPr="00182D0E" w:rsidTr="005A3F7B">
        <w:tc>
          <w:tcPr>
            <w:tcW w:w="2178" w:type="dxa"/>
          </w:tcPr>
          <w:p w:rsidR="00EF4A91" w:rsidRPr="00803378" w:rsidRDefault="00EF4A91" w:rsidP="005A3F7B">
            <w:pPr>
              <w:pStyle w:val="TermGlossary"/>
            </w:pPr>
            <w:r w:rsidRPr="00803378">
              <w:t xml:space="preserve">Divided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 xml:space="preserve">As used in the </w:t>
            </w:r>
            <w:r w:rsidRPr="00922382">
              <w:rPr>
                <w:i/>
              </w:rPr>
              <w:t>Generalized Tables</w:t>
            </w:r>
            <w:r w:rsidRPr="00803378">
              <w:t xml:space="preserve">, a roadway with a </w:t>
            </w:r>
            <w:r w:rsidRPr="00922382">
              <w:rPr>
                <w:i/>
              </w:rPr>
              <w:t>median</w:t>
            </w:r>
            <w:r w:rsidRPr="00803378">
              <w:t>.</w:t>
            </w:r>
          </w:p>
        </w:tc>
      </w:tr>
      <w:tr w:rsidR="00EF4A91" w:rsidRPr="00182D0E" w:rsidTr="005A3F7B">
        <w:tc>
          <w:tcPr>
            <w:tcW w:w="2178" w:type="dxa"/>
          </w:tcPr>
          <w:p w:rsidR="00EF4A91" w:rsidRPr="00803378" w:rsidRDefault="00EF4A91" w:rsidP="005A3F7B">
            <w:pPr>
              <w:pStyle w:val="TermGlossary"/>
            </w:pPr>
            <w:r w:rsidRPr="00803378">
              <w:t xml:space="preserve">Exclusive </w:t>
            </w:r>
            <w:r>
              <w:t>thru</w:t>
            </w:r>
            <w:r w:rsidRPr="00803378">
              <w:t xml:space="preserve"> lane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 xml:space="preserve">Any Intrastate highway lane that is designated exclusively for intrastate travel, is physically separated from any </w:t>
            </w:r>
            <w:r w:rsidRPr="008B1C23">
              <w:rPr>
                <w:i/>
              </w:rPr>
              <w:t>general-use lane</w:t>
            </w:r>
            <w:r w:rsidRPr="00803378">
              <w:t xml:space="preserve">, and the access to which is highway regulated. These lanes may be used for </w:t>
            </w:r>
            <w:r w:rsidRPr="008B1C23">
              <w:rPr>
                <w:i/>
              </w:rPr>
              <w:t>high occupancy vehicles (HOVs),</w:t>
            </w:r>
            <w:r w:rsidRPr="00803378">
              <w:t xml:space="preserve"> and express buses during peak travel hours if the level of service standards can be maintained.</w:t>
            </w:r>
          </w:p>
        </w:tc>
      </w:tr>
      <w:tr w:rsidR="00EF4A91" w:rsidRPr="00182D0E" w:rsidTr="005A3F7B">
        <w:tc>
          <w:tcPr>
            <w:tcW w:w="2178" w:type="dxa"/>
          </w:tcPr>
          <w:p w:rsidR="00EF4A91" w:rsidRPr="00803378" w:rsidRDefault="00EF4A91" w:rsidP="005A3F7B">
            <w:pPr>
              <w:pStyle w:val="TermGlossary"/>
            </w:pPr>
            <w:r w:rsidRPr="00803378">
              <w:t xml:space="preserve">Facility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 xml:space="preserve">A length of roadway composed of </w:t>
            </w:r>
            <w:r w:rsidRPr="008B1C23">
              <w:rPr>
                <w:i/>
              </w:rPr>
              <w:t>points</w:t>
            </w:r>
            <w:r w:rsidRPr="00803378">
              <w:t xml:space="preserve"> and </w:t>
            </w:r>
            <w:r w:rsidRPr="008B1C23">
              <w:rPr>
                <w:i/>
              </w:rPr>
              <w:t>segments</w:t>
            </w:r>
            <w:r w:rsidRPr="00803378">
              <w:t>.</w:t>
            </w:r>
          </w:p>
        </w:tc>
      </w:tr>
      <w:tr w:rsidR="00EF4A91" w:rsidRPr="00182D0E" w:rsidTr="005A3F7B">
        <w:tc>
          <w:tcPr>
            <w:tcW w:w="2178" w:type="dxa"/>
          </w:tcPr>
          <w:p w:rsidR="00EF4A91" w:rsidRPr="00803378" w:rsidRDefault="00EF4A91" w:rsidP="005A3F7B">
            <w:pPr>
              <w:pStyle w:val="TermGlossary"/>
            </w:pPr>
          </w:p>
        </w:tc>
        <w:tc>
          <w:tcPr>
            <w:tcW w:w="270" w:type="dxa"/>
          </w:tcPr>
          <w:p w:rsidR="00EF4A91" w:rsidRPr="00803378" w:rsidRDefault="00EF4A91" w:rsidP="005A3F7B">
            <w:pPr>
              <w:pStyle w:val="TermGlossaryDefine"/>
            </w:pPr>
          </w:p>
        </w:tc>
        <w:tc>
          <w:tcPr>
            <w:tcW w:w="8035" w:type="dxa"/>
          </w:tcPr>
          <w:p w:rsidR="00EF4A91" w:rsidRDefault="00EF4A91" w:rsidP="005A3F7B">
            <w:pPr>
              <w:pStyle w:val="TermGlossaryDefine"/>
            </w:pPr>
            <w:r w:rsidRPr="00803378">
              <w:t xml:space="preserve">A generic term including </w:t>
            </w:r>
            <w:r w:rsidRPr="00BB0C32">
              <w:rPr>
                <w:i/>
              </w:rPr>
              <w:t>points, segments</w:t>
            </w:r>
            <w:r w:rsidRPr="00803378">
              <w:t xml:space="preserve"> or </w:t>
            </w:r>
            <w:r w:rsidRPr="00BB0C32">
              <w:rPr>
                <w:i/>
              </w:rPr>
              <w:t>roadways</w:t>
            </w:r>
            <w:r w:rsidRPr="00803378">
              <w:t>.</w:t>
            </w:r>
          </w:p>
        </w:tc>
      </w:tr>
      <w:tr w:rsidR="00EF4A91" w:rsidRPr="00182D0E" w:rsidTr="005A3F7B">
        <w:tc>
          <w:tcPr>
            <w:tcW w:w="2178" w:type="dxa"/>
          </w:tcPr>
          <w:p w:rsidR="00EF4A91" w:rsidRPr="00803378" w:rsidRDefault="00EF4A91" w:rsidP="005A3F7B">
            <w:pPr>
              <w:pStyle w:val="TermGlossary"/>
            </w:pPr>
            <w:r w:rsidRPr="00803378">
              <w:t xml:space="preserve">Factor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A value by which a given quantity is multiplied, divided, added or subtracted in order to indicate a difference in measurement.</w:t>
            </w:r>
          </w:p>
        </w:tc>
      </w:tr>
      <w:tr w:rsidR="00EF4A91" w:rsidRPr="00182D0E" w:rsidTr="005A3F7B">
        <w:tc>
          <w:tcPr>
            <w:tcW w:w="2178" w:type="dxa"/>
          </w:tcPr>
          <w:p w:rsidR="00EF4A91" w:rsidRPr="00803378" w:rsidRDefault="00EF4A91" w:rsidP="005A3F7B">
            <w:pPr>
              <w:pStyle w:val="TermGlossary"/>
            </w:pPr>
            <w:r w:rsidRPr="00803378">
              <w:t xml:space="preserve">FDOT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Florida Department of Transportation.</w:t>
            </w:r>
          </w:p>
        </w:tc>
      </w:tr>
      <w:tr w:rsidR="00EF4A91" w:rsidRPr="00182D0E" w:rsidTr="005A3F7B">
        <w:tc>
          <w:tcPr>
            <w:tcW w:w="2178" w:type="dxa"/>
          </w:tcPr>
          <w:p w:rsidR="00EF4A91" w:rsidRPr="00803378" w:rsidRDefault="00EF4A91" w:rsidP="005A3F7B">
            <w:pPr>
              <w:pStyle w:val="TermGlossary"/>
            </w:pPr>
            <w:r w:rsidRPr="00803378">
              <w:t xml:space="preserve">FHWA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Federal Highway Administration.</w:t>
            </w:r>
          </w:p>
        </w:tc>
      </w:tr>
      <w:tr w:rsidR="00EF4A91" w:rsidRPr="00182D0E" w:rsidTr="005A3F7B">
        <w:tc>
          <w:tcPr>
            <w:tcW w:w="2178" w:type="dxa"/>
          </w:tcPr>
          <w:p w:rsidR="00EF4A91" w:rsidRPr="00803378" w:rsidRDefault="00EF4A91" w:rsidP="005A3F7B">
            <w:pPr>
              <w:pStyle w:val="TermGlossary"/>
            </w:pPr>
            <w:r w:rsidRPr="00803378">
              <w:t xml:space="preserve">Florida Intrastate Highway System (FIHS) </w:t>
            </w:r>
          </w:p>
        </w:tc>
        <w:tc>
          <w:tcPr>
            <w:tcW w:w="270" w:type="dxa"/>
          </w:tcPr>
          <w:p w:rsidR="00EF4A91" w:rsidRPr="00803378" w:rsidRDefault="00EF4A91" w:rsidP="005A3F7B">
            <w:pPr>
              <w:pStyle w:val="TermGlossaryDefine"/>
            </w:pPr>
            <w:r>
              <w:br/>
            </w:r>
            <w:r w:rsidRPr="0089265C">
              <w:t>–</w:t>
            </w:r>
          </w:p>
        </w:tc>
        <w:tc>
          <w:tcPr>
            <w:tcW w:w="8035" w:type="dxa"/>
          </w:tcPr>
          <w:p w:rsidR="00EF4A91" w:rsidRDefault="00EF4A91" w:rsidP="005A3F7B">
            <w:pPr>
              <w:pStyle w:val="TermGlossaryDefine"/>
            </w:pPr>
            <w:r w:rsidRPr="00803378">
              <w:t xml:space="preserve">An interconnected statewide system of </w:t>
            </w:r>
            <w:r w:rsidRPr="00BB0C32">
              <w:rPr>
                <w:i/>
              </w:rPr>
              <w:t xml:space="preserve">limited access </w:t>
            </w:r>
            <w:r w:rsidRPr="00BB0C32">
              <w:t>facilities</w:t>
            </w:r>
            <w:r w:rsidRPr="00803378">
              <w:t xml:space="preserve"> and </w:t>
            </w:r>
            <w:r w:rsidRPr="00BB0C32">
              <w:rPr>
                <w:i/>
              </w:rPr>
              <w:t xml:space="preserve">controlled access </w:t>
            </w:r>
            <w:r w:rsidRPr="00BB0C32">
              <w:t>facilities</w:t>
            </w:r>
            <w:r w:rsidRPr="00803378">
              <w:t xml:space="preserve"> developed and managed by FDOT to meet standards and criteria established for the FIHS. It is part of the </w:t>
            </w:r>
            <w:r w:rsidRPr="00BB0C32">
              <w:rPr>
                <w:i/>
              </w:rPr>
              <w:t>State Highway System</w:t>
            </w:r>
            <w:r w:rsidRPr="00803378">
              <w:t xml:space="preserve">, and is developed for high-speed and high-volume traffic movements. The FIHS also accommodates high occupancy vehicles (HOVs), express bus transit and in some </w:t>
            </w:r>
            <w:r w:rsidRPr="00BB0C32">
              <w:rPr>
                <w:i/>
              </w:rPr>
              <w:t>corridors</w:t>
            </w:r>
            <w:r w:rsidRPr="00803378">
              <w:t>, interregional, and high-speed intercity passenger rail service. Access to abutting land is subordinate to movement of traffic and such access must be prohibited or highly regulated.</w:t>
            </w:r>
          </w:p>
        </w:tc>
      </w:tr>
      <w:tr w:rsidR="00EF4A91" w:rsidRPr="00182D0E" w:rsidTr="005A3F7B">
        <w:tc>
          <w:tcPr>
            <w:tcW w:w="2178" w:type="dxa"/>
          </w:tcPr>
          <w:p w:rsidR="00EF4A91" w:rsidRPr="00803378" w:rsidRDefault="00EF4A91" w:rsidP="005A3F7B">
            <w:pPr>
              <w:pStyle w:val="TermGlossary"/>
            </w:pPr>
            <w:r w:rsidRPr="00803378">
              <w:lastRenderedPageBreak/>
              <w:t xml:space="preserve">Flow rate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In this Handbook the equivalent hourly rate at which vehicles pass a point on a roadway for a 15-minute time period.</w:t>
            </w:r>
          </w:p>
        </w:tc>
      </w:tr>
      <w:tr w:rsidR="00EF4A91" w:rsidRPr="00182D0E" w:rsidTr="005A3F7B">
        <w:tc>
          <w:tcPr>
            <w:tcW w:w="2178" w:type="dxa"/>
          </w:tcPr>
          <w:p w:rsidR="00EF4A91" w:rsidRPr="00803378" w:rsidRDefault="00EF4A91" w:rsidP="005A3F7B">
            <w:pPr>
              <w:pStyle w:val="TermGlossary"/>
            </w:pPr>
            <w:r w:rsidRPr="00803378">
              <w:t xml:space="preserve">Freeway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A multilane, divided highway with at least 2 lanes for exclusive use of traffic in each direction and full control of ingress and egress.</w:t>
            </w:r>
          </w:p>
        </w:tc>
      </w:tr>
      <w:tr w:rsidR="00EF4A91" w:rsidRPr="00182D0E" w:rsidTr="005A3F7B">
        <w:tc>
          <w:tcPr>
            <w:tcW w:w="2178" w:type="dxa"/>
          </w:tcPr>
          <w:p w:rsidR="00EF4A91" w:rsidRDefault="00EF4A91" w:rsidP="005A3F7B">
            <w:pPr>
              <w:pStyle w:val="TermGlossary"/>
            </w:pPr>
            <w:r>
              <w:t>FSUTMS</w:t>
            </w:r>
          </w:p>
        </w:tc>
        <w:tc>
          <w:tcPr>
            <w:tcW w:w="270" w:type="dxa"/>
          </w:tcPr>
          <w:p w:rsidR="00EF4A91" w:rsidRPr="0089265C" w:rsidRDefault="00EF4A91" w:rsidP="005A3F7B">
            <w:pPr>
              <w:pStyle w:val="TermGlossaryDefine"/>
            </w:pPr>
            <w:r w:rsidRPr="0089265C">
              <w:t>–</w:t>
            </w:r>
          </w:p>
        </w:tc>
        <w:tc>
          <w:tcPr>
            <w:tcW w:w="8035" w:type="dxa"/>
          </w:tcPr>
          <w:p w:rsidR="00EF4A91" w:rsidRDefault="00EF4A91" w:rsidP="005A3F7B">
            <w:pPr>
              <w:pStyle w:val="TermGlossaryDefine"/>
            </w:pPr>
            <w:r>
              <w:t>Florida Standard Urban Transportation Modeling System; Florida’s software that forecasts travel demand.</w:t>
            </w:r>
          </w:p>
        </w:tc>
      </w:tr>
      <w:tr w:rsidR="00EF4A91" w:rsidRPr="00182D0E" w:rsidTr="005A3F7B">
        <w:tc>
          <w:tcPr>
            <w:tcW w:w="2178" w:type="dxa"/>
          </w:tcPr>
          <w:p w:rsidR="00EF4A91" w:rsidRPr="00803378" w:rsidRDefault="00EF4A91" w:rsidP="005A3F7B">
            <w:pPr>
              <w:pStyle w:val="TermGlossary"/>
            </w:pPr>
            <w:r w:rsidRPr="00803378">
              <w:t xml:space="preserve">Functional classification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The assignment of roads into systems according to the character of service they provide in relation to the total road network.</w:t>
            </w:r>
          </w:p>
        </w:tc>
      </w:tr>
      <w:tr w:rsidR="00EF4A91" w:rsidRPr="00182D0E" w:rsidTr="005A3F7B">
        <w:tc>
          <w:tcPr>
            <w:tcW w:w="2178" w:type="dxa"/>
          </w:tcPr>
          <w:p w:rsidR="00EF4A91" w:rsidRPr="00803378" w:rsidRDefault="00EF4A91" w:rsidP="005A3F7B">
            <w:pPr>
              <w:pStyle w:val="TermGlossary"/>
            </w:pPr>
            <w:r w:rsidRPr="00803378">
              <w:t xml:space="preserve">Generalized planning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 xml:space="preserve">A broad type of planning application such as statewide analyses, initial problem identification, and future year analyses; in this Handbook typically performed by use of the </w:t>
            </w:r>
            <w:r w:rsidRPr="00BB0C32">
              <w:rPr>
                <w:i/>
              </w:rPr>
              <w:t>Generalized Tables</w:t>
            </w:r>
            <w:r w:rsidRPr="00803378">
              <w:t>.</w:t>
            </w:r>
          </w:p>
        </w:tc>
      </w:tr>
      <w:tr w:rsidR="00EF4A91" w:rsidRPr="00182D0E" w:rsidTr="005A3F7B">
        <w:tc>
          <w:tcPr>
            <w:tcW w:w="2178" w:type="dxa"/>
          </w:tcPr>
          <w:p w:rsidR="00EF4A91" w:rsidRPr="00803378" w:rsidRDefault="00EF4A91" w:rsidP="005A3F7B">
            <w:pPr>
              <w:pStyle w:val="TermGlossary"/>
            </w:pPr>
            <w:r w:rsidRPr="00803378">
              <w:t xml:space="preserve">Generalized Service Volume Tables </w:t>
            </w:r>
          </w:p>
        </w:tc>
        <w:tc>
          <w:tcPr>
            <w:tcW w:w="270" w:type="dxa"/>
          </w:tcPr>
          <w:p w:rsidR="00EF4A91" w:rsidRPr="00BB0C32" w:rsidRDefault="00EF4A91" w:rsidP="005A3F7B">
            <w:pPr>
              <w:pStyle w:val="TermGlossaryDefine"/>
              <w:rPr>
                <w:i/>
              </w:rPr>
            </w:pPr>
            <w:r>
              <w:br/>
            </w:r>
            <w:r w:rsidRPr="0089265C">
              <w:t>–</w:t>
            </w:r>
          </w:p>
        </w:tc>
        <w:tc>
          <w:tcPr>
            <w:tcW w:w="8035" w:type="dxa"/>
          </w:tcPr>
          <w:p w:rsidR="00EF4A91" w:rsidRDefault="00EF4A91" w:rsidP="005A3F7B">
            <w:pPr>
              <w:pStyle w:val="TermGlossaryDefine"/>
            </w:pPr>
            <w:r w:rsidRPr="00BB0C32">
              <w:rPr>
                <w:i/>
              </w:rPr>
              <w:t>Maximum service volumes</w:t>
            </w:r>
            <w:r w:rsidRPr="00803378">
              <w:t xml:space="preserve"> based on areawide </w:t>
            </w:r>
            <w:r w:rsidRPr="00BB0C32">
              <w:rPr>
                <w:i/>
              </w:rPr>
              <w:t>roadway, traffic</w:t>
            </w:r>
            <w:r w:rsidRPr="00803378">
              <w:t xml:space="preserve"> and </w:t>
            </w:r>
            <w:r w:rsidRPr="00BB0C32">
              <w:rPr>
                <w:i/>
              </w:rPr>
              <w:t>control</w:t>
            </w:r>
            <w:r w:rsidRPr="00803378">
              <w:t xml:space="preserve"> variables and presented in tabular form.</w:t>
            </w:r>
          </w:p>
        </w:tc>
      </w:tr>
      <w:tr w:rsidR="00EF4A91" w:rsidRPr="00182D0E" w:rsidTr="005A3F7B">
        <w:tc>
          <w:tcPr>
            <w:tcW w:w="2178" w:type="dxa"/>
          </w:tcPr>
          <w:p w:rsidR="00EF4A91" w:rsidRPr="00803378" w:rsidRDefault="00EF4A91" w:rsidP="005A3F7B">
            <w:pPr>
              <w:pStyle w:val="TermGlossary"/>
            </w:pPr>
            <w:r w:rsidRPr="00803378">
              <w:t xml:space="preserve">Generalized Tables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 xml:space="preserve">Same as </w:t>
            </w:r>
            <w:r w:rsidRPr="00BB0C32">
              <w:rPr>
                <w:i/>
              </w:rPr>
              <w:t>Generalized Service Volume Tables</w:t>
            </w:r>
            <w:r w:rsidRPr="00803378">
              <w:t>.</w:t>
            </w:r>
          </w:p>
        </w:tc>
      </w:tr>
      <w:tr w:rsidR="00EF4A91" w:rsidRPr="00182D0E" w:rsidTr="005A3F7B">
        <w:tc>
          <w:tcPr>
            <w:tcW w:w="2178" w:type="dxa"/>
          </w:tcPr>
          <w:p w:rsidR="00EF4A91" w:rsidRDefault="00EF4A91" w:rsidP="005A3F7B">
            <w:pPr>
              <w:pStyle w:val="TermGlossary"/>
            </w:pPr>
            <w:r w:rsidRPr="00803378">
              <w:t>HCM</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t xml:space="preserve">Same as </w:t>
            </w:r>
            <w:r>
              <w:rPr>
                <w:i/>
              </w:rPr>
              <w:t>Highway Capacity Manual</w:t>
            </w:r>
            <w:r>
              <w:t>.</w:t>
            </w:r>
          </w:p>
        </w:tc>
      </w:tr>
      <w:tr w:rsidR="00EF4A91" w:rsidRPr="00182D0E" w:rsidTr="005A3F7B">
        <w:tc>
          <w:tcPr>
            <w:tcW w:w="2178" w:type="dxa"/>
          </w:tcPr>
          <w:p w:rsidR="00EF4A91" w:rsidRPr="00803378" w:rsidRDefault="00EF4A91" w:rsidP="005A3F7B">
            <w:pPr>
              <w:pStyle w:val="TermGlossary"/>
            </w:pPr>
            <w:r w:rsidRPr="00803378">
              <w:t xml:space="preserve">Heavy vehicle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 xml:space="preserve">A </w:t>
            </w:r>
            <w:r>
              <w:t xml:space="preserve">FHWA </w:t>
            </w:r>
            <w:r w:rsidRPr="00803378">
              <w:t xml:space="preserve">vehicle </w:t>
            </w:r>
            <w:r>
              <w:t xml:space="preserve">classification of 4 or higher, essentially vehicles </w:t>
            </w:r>
            <w:r w:rsidRPr="00803378">
              <w:t>with more than 4 wheels touching the pavement during normal operation.</w:t>
            </w:r>
          </w:p>
        </w:tc>
      </w:tr>
      <w:tr w:rsidR="00EF4A91" w:rsidRPr="00182D0E" w:rsidTr="005A3F7B">
        <w:tc>
          <w:tcPr>
            <w:tcW w:w="2178" w:type="dxa"/>
          </w:tcPr>
          <w:p w:rsidR="00EF4A91" w:rsidRPr="00803378" w:rsidRDefault="00EF4A91" w:rsidP="005A3F7B">
            <w:pPr>
              <w:pStyle w:val="TermGlossary"/>
            </w:pPr>
            <w:r w:rsidRPr="00803378">
              <w:t xml:space="preserve">High-occupancy vehicle (HOV) lane </w:t>
            </w:r>
          </w:p>
        </w:tc>
        <w:tc>
          <w:tcPr>
            <w:tcW w:w="270" w:type="dxa"/>
          </w:tcPr>
          <w:p w:rsidR="00EF4A91" w:rsidRPr="00803378" w:rsidRDefault="00EF4A91" w:rsidP="005A3F7B">
            <w:pPr>
              <w:pStyle w:val="TermGlossaryDefine"/>
            </w:pPr>
            <w:r>
              <w:br/>
            </w:r>
            <w:r w:rsidRPr="0089265C">
              <w:t>–</w:t>
            </w:r>
          </w:p>
        </w:tc>
        <w:tc>
          <w:tcPr>
            <w:tcW w:w="8035" w:type="dxa"/>
          </w:tcPr>
          <w:p w:rsidR="00EF4A91" w:rsidRDefault="00EF4A91" w:rsidP="005A3F7B">
            <w:pPr>
              <w:pStyle w:val="TermGlossaryDefine"/>
            </w:pPr>
            <w:r w:rsidRPr="00803378">
              <w:t xml:space="preserve">A </w:t>
            </w:r>
            <w:r w:rsidRPr="00E741CF">
              <w:rPr>
                <w:i/>
              </w:rPr>
              <w:t>freeway</w:t>
            </w:r>
            <w:r w:rsidRPr="00803378">
              <w:t xml:space="preserve"> lane reserved for the use of vehicles with a preset minimum number occupants; such vehicles often include buses, taxis, and carpools.</w:t>
            </w:r>
          </w:p>
        </w:tc>
      </w:tr>
      <w:tr w:rsidR="00EF4A91" w:rsidRPr="00182D0E" w:rsidTr="005A3F7B">
        <w:tc>
          <w:tcPr>
            <w:tcW w:w="2178" w:type="dxa"/>
          </w:tcPr>
          <w:p w:rsidR="00EF4A91" w:rsidRPr="00803378" w:rsidRDefault="00EF4A91" w:rsidP="005A3F7B">
            <w:pPr>
              <w:pStyle w:val="TermGlossary"/>
            </w:pPr>
            <w:r w:rsidRPr="00803378">
              <w:t xml:space="preserve">Highway </w:t>
            </w:r>
          </w:p>
        </w:tc>
        <w:tc>
          <w:tcPr>
            <w:tcW w:w="270" w:type="dxa"/>
          </w:tcPr>
          <w:p w:rsidR="00EF4A91" w:rsidRPr="00803378" w:rsidRDefault="00EF4A91" w:rsidP="005A3F7B">
            <w:pPr>
              <w:pStyle w:val="TermGlossaryDefine"/>
            </w:pPr>
            <w:r w:rsidRPr="0089265C">
              <w:t>–</w:t>
            </w:r>
          </w:p>
        </w:tc>
        <w:tc>
          <w:tcPr>
            <w:tcW w:w="8035" w:type="dxa"/>
          </w:tcPr>
          <w:p w:rsidR="00EF4A91" w:rsidRDefault="002642A9" w:rsidP="004F5AC3">
            <w:pPr>
              <w:pStyle w:val="TermGlossaryDefine"/>
              <w:jc w:val="left"/>
            </w:pPr>
            <w:r>
              <w:t>1</w:t>
            </w:r>
            <w:r w:rsidR="00EF4A91" w:rsidRPr="00803378">
              <w:t xml:space="preserve">) A generic term meaning the same as </w:t>
            </w:r>
            <w:r w:rsidR="00EF4A91" w:rsidRPr="00E741CF">
              <w:rPr>
                <w:i/>
              </w:rPr>
              <w:t>roadway</w:t>
            </w:r>
            <w:r w:rsidR="00EF4A91" w:rsidRPr="00803378">
              <w:t>.</w:t>
            </w:r>
          </w:p>
          <w:p w:rsidR="00EF4A91" w:rsidRDefault="002642A9" w:rsidP="004F5AC3">
            <w:pPr>
              <w:pStyle w:val="TermGlossaryDefine"/>
              <w:jc w:val="left"/>
            </w:pPr>
            <w:r>
              <w:t>2</w:t>
            </w:r>
            <w:r w:rsidR="00EF4A91" w:rsidRPr="00803378">
              <w:t xml:space="preserve">) A </w:t>
            </w:r>
            <w:r w:rsidR="00EF4A91" w:rsidRPr="00E741CF">
              <w:rPr>
                <w:i/>
              </w:rPr>
              <w:t>roadway</w:t>
            </w:r>
            <w:r w:rsidR="00EF4A91" w:rsidRPr="00803378">
              <w:t xml:space="preserve"> with all the transportation elements within the  </w:t>
            </w:r>
            <w:r w:rsidR="00EF4A91" w:rsidRPr="00803378">
              <w:br/>
              <w:t xml:space="preserve">    right-of-way.</w:t>
            </w:r>
          </w:p>
        </w:tc>
      </w:tr>
      <w:tr w:rsidR="00EF4A91" w:rsidRPr="00182D0E" w:rsidTr="005A3F7B">
        <w:tc>
          <w:tcPr>
            <w:tcW w:w="2178" w:type="dxa"/>
          </w:tcPr>
          <w:p w:rsidR="00EF4A91" w:rsidRPr="00803378" w:rsidRDefault="00EF4A91" w:rsidP="005A3F7B">
            <w:pPr>
              <w:pStyle w:val="TermGlossary"/>
            </w:pPr>
            <w:r w:rsidRPr="00803378">
              <w:t xml:space="preserve">Highway Capacity Manual (HCM)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The Transportation Research Board document on highway capacity and quality of service.</w:t>
            </w:r>
          </w:p>
        </w:tc>
      </w:tr>
      <w:tr w:rsidR="00EF4A91" w:rsidRPr="00182D0E" w:rsidTr="005A3F7B">
        <w:tc>
          <w:tcPr>
            <w:tcW w:w="2178" w:type="dxa"/>
          </w:tcPr>
          <w:p w:rsidR="00EF4A91" w:rsidRDefault="00EF4A91" w:rsidP="005A3F7B">
            <w:pPr>
              <w:pStyle w:val="TermGlossary"/>
            </w:pPr>
            <w:r>
              <w:t xml:space="preserve">Highway Capacity Software (HCS) </w:t>
            </w:r>
          </w:p>
        </w:tc>
        <w:tc>
          <w:tcPr>
            <w:tcW w:w="270" w:type="dxa"/>
          </w:tcPr>
          <w:p w:rsidR="00EF4A91" w:rsidRDefault="00EF4A91" w:rsidP="005A3F7B">
            <w:pPr>
              <w:pStyle w:val="TermGlossaryDefine"/>
            </w:pPr>
            <w:r>
              <w:br/>
            </w:r>
            <w:r w:rsidRPr="0089265C">
              <w:t>–</w:t>
            </w:r>
          </w:p>
        </w:tc>
        <w:tc>
          <w:tcPr>
            <w:tcW w:w="8035" w:type="dxa"/>
          </w:tcPr>
          <w:p w:rsidR="00EF4A91" w:rsidRDefault="00EF4A91" w:rsidP="005A3F7B">
            <w:pPr>
              <w:pStyle w:val="TermGlossaryDefine"/>
            </w:pPr>
            <w:r>
              <w:t xml:space="preserve">A software package faithfully replicating the </w:t>
            </w:r>
            <w:r w:rsidRPr="00505DF1">
              <w:rPr>
                <w:i/>
              </w:rPr>
              <w:t>Highway Capacity Manual</w:t>
            </w:r>
            <w:r>
              <w:t>.</w:t>
            </w:r>
          </w:p>
        </w:tc>
      </w:tr>
      <w:tr w:rsidR="00EF4A91" w:rsidRPr="00182D0E" w:rsidTr="005A3F7B">
        <w:tc>
          <w:tcPr>
            <w:tcW w:w="2178" w:type="dxa"/>
          </w:tcPr>
          <w:p w:rsidR="00EF4A91" w:rsidRPr="00803378" w:rsidRDefault="00EF4A91" w:rsidP="005A3F7B">
            <w:pPr>
              <w:pStyle w:val="TermGlossary"/>
            </w:pPr>
            <w:r>
              <w:t>Large urbanized area</w:t>
            </w:r>
            <w:r w:rsidRPr="00803378">
              <w:t xml:space="preserve"> </w:t>
            </w:r>
          </w:p>
        </w:tc>
        <w:tc>
          <w:tcPr>
            <w:tcW w:w="270" w:type="dxa"/>
          </w:tcPr>
          <w:p w:rsidR="00EF4A91" w:rsidRDefault="00EF4A91" w:rsidP="005A3F7B">
            <w:pPr>
              <w:pStyle w:val="TermGlossaryDefine"/>
            </w:pPr>
            <w:r w:rsidRPr="0089265C">
              <w:t>–</w:t>
            </w:r>
          </w:p>
        </w:tc>
        <w:tc>
          <w:tcPr>
            <w:tcW w:w="8035" w:type="dxa"/>
          </w:tcPr>
          <w:p w:rsidR="00EF4A91" w:rsidRDefault="00EF4A91" w:rsidP="005A3F7B">
            <w:pPr>
              <w:pStyle w:val="TermGlossaryDefine"/>
            </w:pPr>
            <w:r>
              <w:t xml:space="preserve">An </w:t>
            </w:r>
            <w:r>
              <w:rPr>
                <w:i/>
              </w:rPr>
              <w:t xml:space="preserve">MPO </w:t>
            </w:r>
            <w:r w:rsidRPr="00B16C9F">
              <w:rPr>
                <w:i/>
              </w:rPr>
              <w:t>urbanized area</w:t>
            </w:r>
            <w:r>
              <w:t xml:space="preserve"> greater than 1,000,000 population; in Florida these 7 areas consist of the following central cities: Ft. Lauderdale, Jacksonville, Miami, Orlando, St. Petersburg, Tampa, and West Palm Beach.</w:t>
            </w:r>
          </w:p>
        </w:tc>
      </w:tr>
      <w:tr w:rsidR="00EF4A91" w:rsidRPr="00182D0E" w:rsidTr="005A3F7B">
        <w:tc>
          <w:tcPr>
            <w:tcW w:w="2178" w:type="dxa"/>
          </w:tcPr>
          <w:p w:rsidR="00EF4A91" w:rsidRPr="00803378" w:rsidRDefault="00EF4A91" w:rsidP="005A3F7B">
            <w:pPr>
              <w:pStyle w:val="TermGlossary"/>
            </w:pPr>
            <w:r w:rsidRPr="00803378">
              <w:t xml:space="preserve">Level of service (LOS)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 xml:space="preserve">A quantitative stratification of the </w:t>
            </w:r>
            <w:r w:rsidRPr="00B16C9F">
              <w:rPr>
                <w:i/>
              </w:rPr>
              <w:t>quality of service</w:t>
            </w:r>
            <w:r w:rsidRPr="00803378">
              <w:t xml:space="preserve"> to a typical traveler of a service or facility into six letter grade levels, with “A” describing the highest quality and “F” describing the lowest quality; a discrete stratification of a </w:t>
            </w:r>
            <w:r w:rsidRPr="00B16C9F">
              <w:rPr>
                <w:i/>
              </w:rPr>
              <w:t>quality of service</w:t>
            </w:r>
            <w:r w:rsidRPr="00803378">
              <w:t xml:space="preserve"> continuum.</w:t>
            </w:r>
          </w:p>
        </w:tc>
      </w:tr>
      <w:tr w:rsidR="00EF4A91" w:rsidRPr="00182D0E" w:rsidTr="005A3F7B">
        <w:tc>
          <w:tcPr>
            <w:tcW w:w="2178" w:type="dxa"/>
          </w:tcPr>
          <w:p w:rsidR="00EF4A91" w:rsidRDefault="00EF4A91" w:rsidP="005A3F7B">
            <w:pPr>
              <w:pStyle w:val="TermGlossary"/>
            </w:pPr>
            <w:r>
              <w:t>Level of service (LOS) analysis</w:t>
            </w:r>
            <w:r w:rsidRPr="00803378">
              <w:t xml:space="preserve"> </w:t>
            </w:r>
          </w:p>
        </w:tc>
        <w:tc>
          <w:tcPr>
            <w:tcW w:w="270" w:type="dxa"/>
          </w:tcPr>
          <w:p w:rsidR="00EF4A91" w:rsidRDefault="00EF4A91" w:rsidP="005A3F7B">
            <w:pPr>
              <w:pStyle w:val="TermGlossaryDefine"/>
            </w:pPr>
            <w:r>
              <w:br/>
            </w:r>
            <w:r w:rsidRPr="0089265C">
              <w:t>–</w:t>
            </w:r>
          </w:p>
        </w:tc>
        <w:tc>
          <w:tcPr>
            <w:tcW w:w="8035" w:type="dxa"/>
          </w:tcPr>
          <w:p w:rsidR="00EF4A91" w:rsidRDefault="00EF4A91" w:rsidP="005A3F7B">
            <w:pPr>
              <w:pStyle w:val="TermGlossaryDefine"/>
            </w:pPr>
            <w:r>
              <w:t xml:space="preserve">A quantitative examination of traveler </w:t>
            </w:r>
            <w:r w:rsidRPr="00B16C9F">
              <w:rPr>
                <w:i/>
              </w:rPr>
              <w:t>quality of service</w:t>
            </w:r>
            <w:r>
              <w:t xml:space="preserve"> provided by a transportation facility or service.</w:t>
            </w:r>
          </w:p>
        </w:tc>
      </w:tr>
      <w:tr w:rsidR="00EF4A91" w:rsidRPr="00182D0E" w:rsidTr="005A3F7B">
        <w:tc>
          <w:tcPr>
            <w:tcW w:w="2178" w:type="dxa"/>
          </w:tcPr>
          <w:p w:rsidR="00EF4A91" w:rsidRPr="00803378" w:rsidRDefault="00EF4A91" w:rsidP="005A3F7B">
            <w:pPr>
              <w:pStyle w:val="TermGlossary"/>
            </w:pPr>
            <w:r w:rsidRPr="00803378">
              <w:t xml:space="preserve">Level of Service Standards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 xml:space="preserve">Same as </w:t>
            </w:r>
            <w:r w:rsidRPr="00B16C9F">
              <w:rPr>
                <w:i/>
              </w:rPr>
              <w:t>Statewide Minimum Level of Service Standards</w:t>
            </w:r>
            <w:r w:rsidRPr="00803378">
              <w:t xml:space="preserve"> for the </w:t>
            </w:r>
            <w:r w:rsidRPr="00B16C9F">
              <w:rPr>
                <w:i/>
              </w:rPr>
              <w:t>State Highway System</w:t>
            </w:r>
            <w:r w:rsidRPr="00803378">
              <w:t>.</w:t>
            </w:r>
          </w:p>
        </w:tc>
      </w:tr>
      <w:tr w:rsidR="00EF4A91" w:rsidRPr="00182D0E" w:rsidTr="005A3F7B">
        <w:tc>
          <w:tcPr>
            <w:tcW w:w="2178" w:type="dxa"/>
          </w:tcPr>
          <w:p w:rsidR="00EF4A91" w:rsidRPr="00803378" w:rsidRDefault="00EF4A91" w:rsidP="005A3F7B">
            <w:pPr>
              <w:pStyle w:val="TermGlossary"/>
            </w:pPr>
            <w:r w:rsidRPr="00803378">
              <w:t xml:space="preserve">Local Government Comprehensive Plan (LGCP) </w:t>
            </w:r>
          </w:p>
        </w:tc>
        <w:tc>
          <w:tcPr>
            <w:tcW w:w="270" w:type="dxa"/>
          </w:tcPr>
          <w:p w:rsidR="00EF4A91" w:rsidRPr="00803378" w:rsidRDefault="00EF4A91" w:rsidP="005A3F7B">
            <w:pPr>
              <w:pStyle w:val="TermGlossaryDefine"/>
            </w:pPr>
            <w:r>
              <w:br/>
            </w:r>
            <w:r w:rsidRPr="0089265C">
              <w:t>–</w:t>
            </w:r>
          </w:p>
        </w:tc>
        <w:tc>
          <w:tcPr>
            <w:tcW w:w="8035" w:type="dxa"/>
          </w:tcPr>
          <w:p w:rsidR="00EF4A91" w:rsidRDefault="00EF4A91" w:rsidP="005A3F7B">
            <w:pPr>
              <w:pStyle w:val="TermGlossaryDefine"/>
            </w:pPr>
            <w:r w:rsidRPr="00803378">
              <w:t>Any county or municipal plan that meets the requirements of subsections 163.3177 and 163.3178 of the Florida Statues.</w:t>
            </w:r>
          </w:p>
        </w:tc>
      </w:tr>
      <w:tr w:rsidR="00EF4A91" w:rsidRPr="00182D0E" w:rsidTr="005A3F7B">
        <w:tc>
          <w:tcPr>
            <w:tcW w:w="2178" w:type="dxa"/>
          </w:tcPr>
          <w:p w:rsidR="00EF4A91" w:rsidRPr="00803378" w:rsidRDefault="00EF4A91" w:rsidP="005A3F7B">
            <w:pPr>
              <w:pStyle w:val="TermGlossary"/>
            </w:pPr>
            <w:r w:rsidRPr="00803378">
              <w:t xml:space="preserve">LOS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 xml:space="preserve">Same as </w:t>
            </w:r>
            <w:r w:rsidRPr="00161AE1">
              <w:rPr>
                <w:i/>
              </w:rPr>
              <w:t>level of service</w:t>
            </w:r>
            <w:r w:rsidRPr="00803378">
              <w:t>.</w:t>
            </w:r>
          </w:p>
        </w:tc>
      </w:tr>
      <w:tr w:rsidR="00EF4A91" w:rsidRPr="00182D0E" w:rsidTr="005A3F7B">
        <w:tc>
          <w:tcPr>
            <w:tcW w:w="2178" w:type="dxa"/>
          </w:tcPr>
          <w:p w:rsidR="00EF4A91" w:rsidRPr="00803378" w:rsidRDefault="00EF4A91" w:rsidP="005A3F7B">
            <w:pPr>
              <w:pStyle w:val="TermGlossary"/>
            </w:pPr>
            <w:r w:rsidRPr="00803378">
              <w:t xml:space="preserve">LOS standards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 xml:space="preserve">Same as </w:t>
            </w:r>
            <w:r w:rsidRPr="00161AE1">
              <w:rPr>
                <w:i/>
              </w:rPr>
              <w:t>Statewide Minimum Level of Service Standards</w:t>
            </w:r>
            <w:r w:rsidRPr="00803378">
              <w:t xml:space="preserve"> for the </w:t>
            </w:r>
            <w:r w:rsidRPr="00B16C9F">
              <w:t>State Highway System</w:t>
            </w:r>
            <w:r w:rsidRPr="00803378">
              <w:t>.</w:t>
            </w:r>
          </w:p>
        </w:tc>
      </w:tr>
      <w:tr w:rsidR="00EF4A91" w:rsidRPr="00182D0E" w:rsidTr="005A3F7B">
        <w:tc>
          <w:tcPr>
            <w:tcW w:w="2178" w:type="dxa"/>
          </w:tcPr>
          <w:p w:rsidR="00EF4A91" w:rsidRPr="00803378" w:rsidRDefault="00EF4A91" w:rsidP="005A3F7B">
            <w:pPr>
              <w:pStyle w:val="TermGlossary"/>
            </w:pPr>
            <w:r w:rsidRPr="00803378">
              <w:t xml:space="preserve">Maintain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Continuing operating conditions at a level that prevents significant degradation.</w:t>
            </w:r>
          </w:p>
        </w:tc>
      </w:tr>
      <w:tr w:rsidR="00EF4A91" w:rsidRPr="00182D0E" w:rsidTr="005A3F7B">
        <w:tc>
          <w:tcPr>
            <w:tcW w:w="2178" w:type="dxa"/>
          </w:tcPr>
          <w:p w:rsidR="00EF4A91" w:rsidRPr="00803378" w:rsidRDefault="00EF4A91" w:rsidP="005A3F7B">
            <w:pPr>
              <w:pStyle w:val="TermGlossary"/>
            </w:pPr>
            <w:r w:rsidRPr="00803378">
              <w:lastRenderedPageBreak/>
              <w:t xml:space="preserve">Maximum service volume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 xml:space="preserve">The highest number of </w:t>
            </w:r>
            <w:r w:rsidRPr="00B16C9F">
              <w:t>vehicles</w:t>
            </w:r>
            <w:r w:rsidRPr="00803378">
              <w:t xml:space="preserve"> for a given </w:t>
            </w:r>
            <w:r w:rsidRPr="00161AE1">
              <w:rPr>
                <w:i/>
              </w:rPr>
              <w:t>level of service</w:t>
            </w:r>
            <w:r w:rsidRPr="00803378">
              <w:t>.</w:t>
            </w:r>
          </w:p>
        </w:tc>
      </w:tr>
      <w:tr w:rsidR="00EF4A91" w:rsidRPr="00182D0E" w:rsidTr="005A3F7B">
        <w:tc>
          <w:tcPr>
            <w:tcW w:w="2178" w:type="dxa"/>
          </w:tcPr>
          <w:p w:rsidR="00EF4A91" w:rsidRPr="00803378" w:rsidRDefault="00EF4A91" w:rsidP="005A3F7B">
            <w:pPr>
              <w:pStyle w:val="TermGlossary"/>
            </w:pPr>
            <w:r w:rsidRPr="00803378">
              <w:t xml:space="preserve">Median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 xml:space="preserve">Areas at least 10 feet wide that are </w:t>
            </w:r>
            <w:r w:rsidRPr="00B16C9F">
              <w:t>restrictive</w:t>
            </w:r>
            <w:r w:rsidRPr="00803378">
              <w:t xml:space="preserve"> or </w:t>
            </w:r>
            <w:r w:rsidRPr="00B16C9F">
              <w:t>non-restrictive</w:t>
            </w:r>
            <w:r w:rsidRPr="00803378">
              <w:t xml:space="preserve"> that separate opposing-direction mid-block traffic lanes and that, on arterials, contain turn lanes that allow left turning vehicles to exit from the </w:t>
            </w:r>
            <w:r>
              <w:t>thru</w:t>
            </w:r>
            <w:r w:rsidRPr="00803378">
              <w:t xml:space="preserve"> traffic lanes.</w:t>
            </w:r>
          </w:p>
        </w:tc>
      </w:tr>
      <w:tr w:rsidR="00EF4A91" w:rsidRPr="00182D0E" w:rsidTr="005A3F7B">
        <w:tc>
          <w:tcPr>
            <w:tcW w:w="2178" w:type="dxa"/>
          </w:tcPr>
          <w:p w:rsidR="00EF4A91" w:rsidRPr="00803378" w:rsidRDefault="00EF4A91" w:rsidP="005A3F7B"/>
        </w:tc>
        <w:tc>
          <w:tcPr>
            <w:tcW w:w="270" w:type="dxa"/>
          </w:tcPr>
          <w:p w:rsidR="00EF4A91" w:rsidRPr="00803378" w:rsidRDefault="00EF4A91" w:rsidP="005A3F7B">
            <w:pPr>
              <w:pStyle w:val="TermGlossaryDefine"/>
            </w:pPr>
          </w:p>
        </w:tc>
        <w:tc>
          <w:tcPr>
            <w:tcW w:w="8035" w:type="dxa"/>
          </w:tcPr>
          <w:p w:rsidR="00EF4A91" w:rsidRDefault="00EF4A91" w:rsidP="005A3F7B">
            <w:pPr>
              <w:pStyle w:val="TermGlossaryDefine"/>
            </w:pPr>
            <w:r w:rsidRPr="00803378">
              <w:t>A mathematical measur</w:t>
            </w:r>
            <w:r>
              <w:t xml:space="preserve">e of central tendency in which </w:t>
            </w:r>
            <w:r w:rsidRPr="00803378">
              <w:t>the value selected in an ordered set of values below and above which there is an equal number of values.</w:t>
            </w:r>
          </w:p>
        </w:tc>
      </w:tr>
      <w:tr w:rsidR="00EF4A91" w:rsidRPr="00182D0E" w:rsidTr="005A3F7B">
        <w:tc>
          <w:tcPr>
            <w:tcW w:w="2178" w:type="dxa"/>
          </w:tcPr>
          <w:p w:rsidR="00EF4A91" w:rsidRPr="00803378" w:rsidRDefault="00EF4A91" w:rsidP="005A3F7B">
            <w:pPr>
              <w:pStyle w:val="TermGlossary"/>
            </w:pPr>
            <w:r w:rsidRPr="00803378">
              <w:t xml:space="preserve">Mobility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The movement of people and goods.</w:t>
            </w:r>
          </w:p>
        </w:tc>
      </w:tr>
      <w:tr w:rsidR="00EF4A91" w:rsidRPr="00182D0E" w:rsidTr="005A3F7B">
        <w:tc>
          <w:tcPr>
            <w:tcW w:w="2178" w:type="dxa"/>
          </w:tcPr>
          <w:p w:rsidR="00EF4A91" w:rsidRPr="00803378" w:rsidRDefault="00EF4A91" w:rsidP="005A3F7B">
            <w:pPr>
              <w:pStyle w:val="TermGlossary"/>
            </w:pPr>
            <w:r w:rsidRPr="00803378">
              <w:t xml:space="preserve">MPO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Metropolitan Planning Organization.</w:t>
            </w:r>
          </w:p>
        </w:tc>
      </w:tr>
      <w:tr w:rsidR="00EF4A91" w:rsidRPr="00182D0E" w:rsidTr="005A3F7B">
        <w:tc>
          <w:tcPr>
            <w:tcW w:w="2178" w:type="dxa"/>
          </w:tcPr>
          <w:p w:rsidR="00EF4A91" w:rsidRPr="00803378" w:rsidRDefault="00EF4A91" w:rsidP="005A3F7B">
            <w:pPr>
              <w:pStyle w:val="TermGlossary"/>
            </w:pPr>
            <w:r w:rsidRPr="00803378">
              <w:t xml:space="preserve">Multimodal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 xml:space="preserve">In this Handbook more than one highway </w:t>
            </w:r>
            <w:r w:rsidRPr="00BC116C">
              <w:rPr>
                <w:i/>
              </w:rPr>
              <w:t>mode</w:t>
            </w:r>
            <w:r w:rsidRPr="00803378">
              <w:t>.</w:t>
            </w:r>
          </w:p>
        </w:tc>
      </w:tr>
      <w:tr w:rsidR="00EF4A91" w:rsidRPr="00182D0E" w:rsidTr="005A3F7B">
        <w:tc>
          <w:tcPr>
            <w:tcW w:w="2178" w:type="dxa"/>
          </w:tcPr>
          <w:p w:rsidR="00EF4A91" w:rsidRPr="00803378" w:rsidRDefault="00EF4A91" w:rsidP="005A3F7B">
            <w:pPr>
              <w:pStyle w:val="TermGlossary"/>
            </w:pPr>
            <w:r w:rsidRPr="00803378">
              <w:t xml:space="preserve">Multimodal Transportation District </w:t>
            </w:r>
          </w:p>
        </w:tc>
        <w:tc>
          <w:tcPr>
            <w:tcW w:w="270" w:type="dxa"/>
          </w:tcPr>
          <w:p w:rsidR="00EF4A91" w:rsidRPr="00803378" w:rsidRDefault="00EF4A91" w:rsidP="005A3F7B">
            <w:pPr>
              <w:pStyle w:val="TermGlossaryDefine"/>
            </w:pPr>
            <w:r>
              <w:br/>
            </w:r>
            <w:r w:rsidRPr="0089265C">
              <w:t>–</w:t>
            </w:r>
          </w:p>
        </w:tc>
        <w:tc>
          <w:tcPr>
            <w:tcW w:w="8035" w:type="dxa"/>
          </w:tcPr>
          <w:p w:rsidR="00EF4A91" w:rsidRDefault="00EF4A91" w:rsidP="005A3F7B">
            <w:pPr>
              <w:pStyle w:val="TermGlossaryDefine"/>
            </w:pPr>
            <w:r w:rsidRPr="00803378">
              <w:t xml:space="preserve">An area in which secondary priority is given to </w:t>
            </w:r>
            <w:r w:rsidRPr="00BC116C">
              <w:rPr>
                <w:i/>
              </w:rPr>
              <w:t>vehicle</w:t>
            </w:r>
            <w:r w:rsidRPr="00803378">
              <w:t xml:space="preserve"> mobility and primary priority is given to assuring a safe, comfortable, and attractive pedestrian environment, with convenient interconnection to transit (F.S. 163.3180(15)).</w:t>
            </w:r>
          </w:p>
        </w:tc>
      </w:tr>
      <w:tr w:rsidR="00EF4A91" w:rsidRPr="00182D0E" w:rsidTr="005A3F7B">
        <w:tc>
          <w:tcPr>
            <w:tcW w:w="2178" w:type="dxa"/>
          </w:tcPr>
          <w:p w:rsidR="00EF4A91" w:rsidRPr="00803378" w:rsidRDefault="00EF4A91" w:rsidP="005A3F7B">
            <w:pPr>
              <w:pStyle w:val="TermGlossary"/>
            </w:pPr>
            <w:r w:rsidRPr="00803378">
              <w:t xml:space="preserve">Non-state roadway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 xml:space="preserve">A roadway not on the </w:t>
            </w:r>
            <w:r w:rsidRPr="00BC116C">
              <w:rPr>
                <w:i/>
              </w:rPr>
              <w:t>State Highway System</w:t>
            </w:r>
            <w:r w:rsidRPr="00803378">
              <w:t>.</w:t>
            </w:r>
          </w:p>
        </w:tc>
      </w:tr>
      <w:tr w:rsidR="00EF4A91" w:rsidRPr="00182D0E" w:rsidTr="005A3F7B">
        <w:tc>
          <w:tcPr>
            <w:tcW w:w="2178" w:type="dxa"/>
          </w:tcPr>
          <w:p w:rsidR="00EF4A91" w:rsidRPr="00803378" w:rsidRDefault="00EF4A91" w:rsidP="005A3F7B">
            <w:pPr>
              <w:pStyle w:val="TermGlossary"/>
            </w:pPr>
            <w:r w:rsidRPr="00803378">
              <w:t xml:space="preserve">Off peak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The course of the lower flow of traffic.</w:t>
            </w:r>
          </w:p>
        </w:tc>
      </w:tr>
      <w:tr w:rsidR="00EF4A91" w:rsidRPr="00182D0E" w:rsidTr="005A3F7B">
        <w:tc>
          <w:tcPr>
            <w:tcW w:w="2178" w:type="dxa"/>
          </w:tcPr>
          <w:p w:rsidR="00EF4A91" w:rsidRPr="00803378" w:rsidRDefault="00EF4A91" w:rsidP="005A3F7B">
            <w:pPr>
              <w:pStyle w:val="TermGlossary"/>
            </w:pPr>
          </w:p>
        </w:tc>
        <w:tc>
          <w:tcPr>
            <w:tcW w:w="270" w:type="dxa"/>
          </w:tcPr>
          <w:p w:rsidR="00EF4A91" w:rsidRPr="00803378" w:rsidRDefault="00EF4A91" w:rsidP="005A3F7B">
            <w:pPr>
              <w:pStyle w:val="TermGlossaryDefine"/>
            </w:pPr>
          </w:p>
        </w:tc>
        <w:tc>
          <w:tcPr>
            <w:tcW w:w="8035" w:type="dxa"/>
          </w:tcPr>
          <w:p w:rsidR="00EF4A91" w:rsidRDefault="00EF4A91" w:rsidP="005A3F7B">
            <w:pPr>
              <w:pStyle w:val="TermGlossaryDefine"/>
            </w:pPr>
            <w:r w:rsidRPr="00803378">
              <w:t xml:space="preserve">A time period not representing a </w:t>
            </w:r>
            <w:r w:rsidRPr="00200D13">
              <w:rPr>
                <w:i/>
              </w:rPr>
              <w:t>peak hour</w:t>
            </w:r>
            <w:r w:rsidRPr="00803378">
              <w:t>.</w:t>
            </w:r>
          </w:p>
        </w:tc>
      </w:tr>
      <w:tr w:rsidR="00EF4A91" w:rsidRPr="00182D0E" w:rsidTr="005A3F7B">
        <w:tc>
          <w:tcPr>
            <w:tcW w:w="2178" w:type="dxa"/>
          </w:tcPr>
          <w:p w:rsidR="00EF4A91" w:rsidRPr="00803378" w:rsidRDefault="00EF4A91" w:rsidP="005A3F7B">
            <w:pPr>
              <w:pStyle w:val="TermGlossary"/>
            </w:pPr>
            <w:r w:rsidRPr="00803378">
              <w:t xml:space="preserve">Operational analysis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 xml:space="preserve">A detailed analysis of a roadway’s present or future level of service, as opposed to a generalized planning analysis or </w:t>
            </w:r>
            <w:r>
              <w:t>preliminary engineering</w:t>
            </w:r>
            <w:r w:rsidRPr="00803378">
              <w:t xml:space="preserve"> analysis.</w:t>
            </w:r>
          </w:p>
        </w:tc>
      </w:tr>
      <w:tr w:rsidR="00EF4A91" w:rsidRPr="00182D0E" w:rsidTr="005A3F7B">
        <w:tc>
          <w:tcPr>
            <w:tcW w:w="2178" w:type="dxa"/>
          </w:tcPr>
          <w:p w:rsidR="00EF4A91" w:rsidRPr="00803378" w:rsidRDefault="00EF4A91" w:rsidP="005A3F7B">
            <w:pPr>
              <w:pStyle w:val="TermGlossary"/>
            </w:pPr>
            <w:r w:rsidRPr="00803378">
              <w:t xml:space="preserve">Peak direction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The course of the higher flow of traffic.</w:t>
            </w:r>
          </w:p>
        </w:tc>
      </w:tr>
      <w:tr w:rsidR="00EF4A91" w:rsidRPr="00182D0E" w:rsidTr="005A3F7B">
        <w:tc>
          <w:tcPr>
            <w:tcW w:w="2178" w:type="dxa"/>
          </w:tcPr>
          <w:p w:rsidR="00EF4A91" w:rsidRPr="00803378" w:rsidRDefault="00EF4A91" w:rsidP="005A3F7B">
            <w:pPr>
              <w:pStyle w:val="TermGlossary"/>
            </w:pPr>
            <w:r w:rsidRPr="00803378">
              <w:t xml:space="preserve">Peak hour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In this Handbook a 1 hour time period with high volume.</w:t>
            </w:r>
          </w:p>
        </w:tc>
      </w:tr>
      <w:tr w:rsidR="00EF4A91" w:rsidRPr="00182D0E" w:rsidTr="005A3F7B">
        <w:tc>
          <w:tcPr>
            <w:tcW w:w="2178" w:type="dxa"/>
          </w:tcPr>
          <w:p w:rsidR="00EF4A91" w:rsidRPr="00803378" w:rsidRDefault="00EF4A91" w:rsidP="005A3F7B">
            <w:pPr>
              <w:pStyle w:val="TermGlossary"/>
            </w:pPr>
            <w:r w:rsidRPr="00803378">
              <w:t xml:space="preserve">Peak season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The 13 consecutive weeks with the highest daily volumes for an area.</w:t>
            </w:r>
          </w:p>
        </w:tc>
      </w:tr>
      <w:tr w:rsidR="00EF4A91" w:rsidRPr="00182D0E" w:rsidTr="005A3F7B">
        <w:tc>
          <w:tcPr>
            <w:tcW w:w="2178" w:type="dxa"/>
          </w:tcPr>
          <w:p w:rsidR="00EF4A91" w:rsidRPr="00803378" w:rsidRDefault="00EF4A91" w:rsidP="005A3F7B">
            <w:pPr>
              <w:pStyle w:val="TermGlossary"/>
            </w:pPr>
            <w:r w:rsidRPr="00803378">
              <w:t>Peak Season Weekday Average Daily Traffic</w:t>
            </w:r>
            <w:r>
              <w:t xml:space="preserve"> (PSWADT)</w:t>
            </w:r>
            <w:r w:rsidRPr="00803378">
              <w:t xml:space="preserve"> </w:t>
            </w:r>
          </w:p>
        </w:tc>
        <w:tc>
          <w:tcPr>
            <w:tcW w:w="270" w:type="dxa"/>
          </w:tcPr>
          <w:p w:rsidR="00EF4A91" w:rsidRPr="00803378" w:rsidRDefault="00EF4A91" w:rsidP="005A3F7B">
            <w:pPr>
              <w:pStyle w:val="TermGlossaryDefine"/>
            </w:pPr>
            <w:r>
              <w:br/>
            </w:r>
            <w:r w:rsidRPr="0089265C">
              <w:t>–</w:t>
            </w:r>
          </w:p>
        </w:tc>
        <w:tc>
          <w:tcPr>
            <w:tcW w:w="8035" w:type="dxa"/>
          </w:tcPr>
          <w:p w:rsidR="00EF4A91" w:rsidRDefault="00EF4A91" w:rsidP="005A3F7B">
            <w:pPr>
              <w:pStyle w:val="TermGlossaryDefine"/>
            </w:pPr>
            <w:r>
              <w:br/>
            </w:r>
            <w:r w:rsidRPr="00803378">
              <w:t xml:space="preserve">The </w:t>
            </w:r>
            <w:r w:rsidRPr="00886DA2">
              <w:rPr>
                <w:i/>
              </w:rPr>
              <w:t>average daily traffic</w:t>
            </w:r>
            <w:r w:rsidRPr="00803378">
              <w:t xml:space="preserve"> for Monday through Friday during the peak season.</w:t>
            </w:r>
          </w:p>
        </w:tc>
      </w:tr>
      <w:tr w:rsidR="00EF4A91" w:rsidRPr="00182D0E" w:rsidTr="005A3F7B">
        <w:tc>
          <w:tcPr>
            <w:tcW w:w="2178" w:type="dxa"/>
          </w:tcPr>
          <w:p w:rsidR="00EF4A91" w:rsidRPr="00803378" w:rsidRDefault="00EF4A91" w:rsidP="005A3F7B">
            <w:pPr>
              <w:pStyle w:val="TermGlossary"/>
            </w:pPr>
            <w:r w:rsidRPr="00803378">
              <w:t xml:space="preserve">Pedestrian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An individual traveling on foot.</w:t>
            </w:r>
          </w:p>
        </w:tc>
      </w:tr>
      <w:tr w:rsidR="00EF4A91" w:rsidRPr="00182D0E" w:rsidTr="005A3F7B">
        <w:tc>
          <w:tcPr>
            <w:tcW w:w="2178" w:type="dxa"/>
          </w:tcPr>
          <w:p w:rsidR="00EF4A91" w:rsidRPr="00803378" w:rsidRDefault="00EF4A91" w:rsidP="005A3F7B">
            <w:pPr>
              <w:pStyle w:val="TermGlossary"/>
            </w:pPr>
            <w:r w:rsidRPr="00803378">
              <w:t xml:space="preserve">Pedestrian LOS Model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2642A9">
            <w:pPr>
              <w:pStyle w:val="TermGlossaryDefine"/>
            </w:pPr>
            <w:r w:rsidRPr="00803378">
              <w:t xml:space="preserve">The operational methodology from which </w:t>
            </w:r>
            <w:r w:rsidR="002642A9">
              <w:t>the Q/LOS</w:t>
            </w:r>
            <w:r w:rsidRPr="00803378">
              <w:t xml:space="preserve"> Handbook’s pedestrian quality/level of service analyses are based.</w:t>
            </w:r>
          </w:p>
        </w:tc>
      </w:tr>
      <w:tr w:rsidR="00EF4A91" w:rsidRPr="00182D0E" w:rsidTr="005A3F7B">
        <w:tc>
          <w:tcPr>
            <w:tcW w:w="2178" w:type="dxa"/>
          </w:tcPr>
          <w:p w:rsidR="00EF4A91" w:rsidRPr="00803378" w:rsidRDefault="00EF4A91" w:rsidP="005A3F7B">
            <w:pPr>
              <w:pStyle w:val="TermGlossary"/>
            </w:pPr>
            <w:r w:rsidRPr="00803378">
              <w:t>Performance measure</w:t>
            </w:r>
          </w:p>
        </w:tc>
        <w:tc>
          <w:tcPr>
            <w:tcW w:w="270" w:type="dxa"/>
          </w:tcPr>
          <w:p w:rsidR="00EF4A91" w:rsidRPr="0089265C" w:rsidRDefault="00EF4A91" w:rsidP="005A3F7B">
            <w:pPr>
              <w:pStyle w:val="TermGlossaryDefine"/>
            </w:pPr>
            <w:r w:rsidRPr="0089265C">
              <w:t>–</w:t>
            </w:r>
          </w:p>
        </w:tc>
        <w:tc>
          <w:tcPr>
            <w:tcW w:w="8035" w:type="dxa"/>
          </w:tcPr>
          <w:p w:rsidR="00EF4A91" w:rsidRPr="00803378" w:rsidRDefault="00EF4A91" w:rsidP="005A3F7B">
            <w:pPr>
              <w:pStyle w:val="TermGlossaryDefine"/>
            </w:pPr>
            <w:r w:rsidRPr="00803378">
              <w:t xml:space="preserve">A </w:t>
            </w:r>
            <w:r w:rsidRPr="00886DA2">
              <w:rPr>
                <w:i/>
              </w:rPr>
              <w:t>qualitative</w:t>
            </w:r>
            <w:r w:rsidRPr="00803378">
              <w:t xml:space="preserve"> or </w:t>
            </w:r>
            <w:r w:rsidRPr="00886DA2">
              <w:rPr>
                <w:i/>
              </w:rPr>
              <w:t>quantitative</w:t>
            </w:r>
            <w:r w:rsidRPr="00803378">
              <w:t xml:space="preserve"> factor used to evaluate a particular aspect of travel quality.</w:t>
            </w:r>
          </w:p>
        </w:tc>
      </w:tr>
      <w:tr w:rsidR="00EF4A91" w:rsidRPr="00182D0E" w:rsidTr="005A3F7B">
        <w:tc>
          <w:tcPr>
            <w:tcW w:w="2178" w:type="dxa"/>
          </w:tcPr>
          <w:p w:rsidR="00EF4A91" w:rsidRPr="00803378" w:rsidRDefault="00EF4A91" w:rsidP="005A3F7B">
            <w:pPr>
              <w:pStyle w:val="TermGlossary"/>
            </w:pPr>
            <w:r w:rsidRPr="00803378">
              <w:t xml:space="preserve">Planning application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 xml:space="preserve">In this Handbook the use of default values and simplifying assumptions to an </w:t>
            </w:r>
            <w:r w:rsidRPr="00886DA2">
              <w:rPr>
                <w:i/>
              </w:rPr>
              <w:t>operational model</w:t>
            </w:r>
            <w:r w:rsidRPr="00803378">
              <w:t xml:space="preserve"> to address a roadway’s present or future level of service.</w:t>
            </w:r>
          </w:p>
        </w:tc>
      </w:tr>
      <w:tr w:rsidR="00EF4A91" w:rsidRPr="00182D0E" w:rsidTr="005A3F7B">
        <w:tc>
          <w:tcPr>
            <w:tcW w:w="2178" w:type="dxa"/>
          </w:tcPr>
          <w:p w:rsidR="00EF4A91" w:rsidRPr="00803378" w:rsidRDefault="00EF4A91" w:rsidP="005A3F7B">
            <w:pPr>
              <w:pStyle w:val="TermGlossary"/>
            </w:pPr>
            <w:r w:rsidRPr="00803378">
              <w:t xml:space="preserve">Precision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The range of accurate and acceptable numerical answers.</w:t>
            </w:r>
          </w:p>
        </w:tc>
      </w:tr>
      <w:tr w:rsidR="00EF4A91" w:rsidRPr="00182D0E" w:rsidTr="005A3F7B">
        <w:tc>
          <w:tcPr>
            <w:tcW w:w="2178" w:type="dxa"/>
          </w:tcPr>
          <w:p w:rsidR="00EF4A91" w:rsidRPr="00803378" w:rsidRDefault="00EF4A91" w:rsidP="005A3F7B">
            <w:pPr>
              <w:pStyle w:val="TermGlossary"/>
            </w:pPr>
            <w:r w:rsidRPr="00803378">
              <w:t>QOS</w:t>
            </w:r>
          </w:p>
        </w:tc>
        <w:tc>
          <w:tcPr>
            <w:tcW w:w="270" w:type="dxa"/>
          </w:tcPr>
          <w:p w:rsidR="00EF4A91" w:rsidRPr="00803378" w:rsidRDefault="00EF4A91" w:rsidP="005A3F7B">
            <w:pPr>
              <w:pStyle w:val="TermGlossaryDefine"/>
            </w:pPr>
            <w:r w:rsidRPr="0089265C">
              <w:t>–</w:t>
            </w:r>
          </w:p>
        </w:tc>
        <w:tc>
          <w:tcPr>
            <w:tcW w:w="8035" w:type="dxa"/>
          </w:tcPr>
          <w:p w:rsidR="00EF4A91" w:rsidRPr="00803378" w:rsidRDefault="00EF4A91" w:rsidP="005A3F7B">
            <w:pPr>
              <w:pStyle w:val="TermGlossaryDefine"/>
            </w:pPr>
            <w:r w:rsidRPr="00803378">
              <w:t xml:space="preserve">Same as </w:t>
            </w:r>
            <w:r w:rsidRPr="00886DA2">
              <w:rPr>
                <w:i/>
              </w:rPr>
              <w:t>quality of service</w:t>
            </w:r>
            <w:r w:rsidRPr="00803378">
              <w:t>.</w:t>
            </w:r>
          </w:p>
        </w:tc>
      </w:tr>
      <w:tr w:rsidR="00EF4A91" w:rsidRPr="00182D0E" w:rsidTr="005A3F7B">
        <w:tc>
          <w:tcPr>
            <w:tcW w:w="2178" w:type="dxa"/>
          </w:tcPr>
          <w:p w:rsidR="00EF4A91" w:rsidRPr="00803378" w:rsidRDefault="00EF4A91" w:rsidP="005A3F7B">
            <w:pPr>
              <w:pStyle w:val="TermGlossary"/>
            </w:pPr>
            <w:r w:rsidRPr="00803378">
              <w:t xml:space="preserve">Quality of service (QOS)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A user based perception of how well a service or facility is operating.</w:t>
            </w:r>
          </w:p>
        </w:tc>
      </w:tr>
      <w:tr w:rsidR="00EF4A91" w:rsidRPr="00182D0E" w:rsidTr="005A3F7B">
        <w:tc>
          <w:tcPr>
            <w:tcW w:w="2178" w:type="dxa"/>
          </w:tcPr>
          <w:p w:rsidR="00EF4A91" w:rsidRPr="00803378" w:rsidRDefault="00EF4A91" w:rsidP="005A3F7B">
            <w:pPr>
              <w:pStyle w:val="TermGlossary"/>
            </w:pPr>
            <w:r w:rsidRPr="00803378">
              <w:t xml:space="preserve">Quality/level of service (Q/LOS)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A combination of the broad quality of service and more detailed level of service concepts.</w:t>
            </w:r>
          </w:p>
        </w:tc>
      </w:tr>
      <w:tr w:rsidR="00EF4A91" w:rsidRPr="00182D0E" w:rsidTr="005A3F7B">
        <w:tc>
          <w:tcPr>
            <w:tcW w:w="2178" w:type="dxa"/>
          </w:tcPr>
          <w:p w:rsidR="00EF4A91" w:rsidRPr="00803378" w:rsidRDefault="00EF4A91" w:rsidP="005A3F7B">
            <w:pPr>
              <w:pStyle w:val="TermGlossary"/>
            </w:pPr>
            <w:r w:rsidRPr="00803378">
              <w:t xml:space="preserve">Roadway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 xml:space="preserve">A general categorization of an open way for persons and vehicles to traverse; in this Handbook it </w:t>
            </w:r>
            <w:r w:rsidRPr="00803378">
              <w:lastRenderedPageBreak/>
              <w:t>encompasses streets, arterials, freeways, highways and other facilities.</w:t>
            </w:r>
          </w:p>
        </w:tc>
      </w:tr>
      <w:tr w:rsidR="00EF4A91" w:rsidRPr="00182D0E" w:rsidTr="005A3F7B">
        <w:tc>
          <w:tcPr>
            <w:tcW w:w="2178" w:type="dxa"/>
          </w:tcPr>
          <w:p w:rsidR="00EF4A91" w:rsidRPr="00803378" w:rsidRDefault="00EF4A91" w:rsidP="005A3F7B">
            <w:pPr>
              <w:pStyle w:val="TermGlossary"/>
            </w:pPr>
            <w:r w:rsidRPr="00803378">
              <w:lastRenderedPageBreak/>
              <w:t xml:space="preserve">Roadway class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 xml:space="preserve">Categories of </w:t>
            </w:r>
            <w:r w:rsidRPr="00831D9E">
              <w:rPr>
                <w:i/>
              </w:rPr>
              <w:t>arterials</w:t>
            </w:r>
            <w:r>
              <w:t xml:space="preserve"> </w:t>
            </w:r>
            <w:r w:rsidRPr="00803378">
              <w:t xml:space="preserve">and </w:t>
            </w:r>
            <w:r w:rsidRPr="00831D9E">
              <w:rPr>
                <w:i/>
              </w:rPr>
              <w:t>two-lane highways</w:t>
            </w:r>
            <w:r w:rsidRPr="00803378">
              <w:t>; arterials are primarily grouped by signal density; two-lane highways are primarily grouped by area type.</w:t>
            </w:r>
          </w:p>
        </w:tc>
      </w:tr>
      <w:tr w:rsidR="00EF4A91" w:rsidRPr="00182D0E" w:rsidTr="005A3F7B">
        <w:tc>
          <w:tcPr>
            <w:tcW w:w="2178" w:type="dxa"/>
          </w:tcPr>
          <w:p w:rsidR="00EF4A91" w:rsidRPr="00803378" w:rsidRDefault="00EF4A91" w:rsidP="005A3F7B">
            <w:pPr>
              <w:pStyle w:val="TermGlossary"/>
            </w:pPr>
            <w:r w:rsidRPr="00803378">
              <w:t xml:space="preserve">Route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 xml:space="preserve">As used in the </w:t>
            </w:r>
            <w:r w:rsidRPr="003B700D">
              <w:rPr>
                <w:i/>
              </w:rPr>
              <w:t>Transit Capacity and Quality of Service Manual</w:t>
            </w:r>
            <w:r w:rsidRPr="00803378">
              <w:t>, a designated, specified path to which a bus is assigned.</w:t>
            </w:r>
          </w:p>
        </w:tc>
      </w:tr>
      <w:tr w:rsidR="00EF4A91" w:rsidRPr="00182D0E" w:rsidTr="005A3F7B">
        <w:tc>
          <w:tcPr>
            <w:tcW w:w="2178" w:type="dxa"/>
          </w:tcPr>
          <w:p w:rsidR="00EF4A91" w:rsidRPr="00803378" w:rsidRDefault="00EF4A91" w:rsidP="005A3F7B">
            <w:pPr>
              <w:pStyle w:val="TermGlossary"/>
            </w:pPr>
            <w:r w:rsidRPr="00803378">
              <w:t xml:space="preserve">Scheduled fixed route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In this Handbook bus service provided on a repetitive, fixed-schedule basis along a specific route with buses stopping to pick up and deliver passengers to specific locations.</w:t>
            </w:r>
          </w:p>
        </w:tc>
      </w:tr>
      <w:tr w:rsidR="00EF4A91" w:rsidRPr="00182D0E" w:rsidTr="005A3F7B">
        <w:tc>
          <w:tcPr>
            <w:tcW w:w="2178" w:type="dxa"/>
          </w:tcPr>
          <w:p w:rsidR="00EF4A91" w:rsidRPr="00803378" w:rsidRDefault="00EF4A91" w:rsidP="005A3F7B">
            <w:pPr>
              <w:pStyle w:val="TermGlossary"/>
            </w:pPr>
            <w:r w:rsidRPr="00803378">
              <w:t xml:space="preserve">Service measure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A specific performance measure used to assign a level of service to a set of operating conditions for a transportation facility or service.</w:t>
            </w:r>
          </w:p>
        </w:tc>
      </w:tr>
      <w:tr w:rsidR="00EF4A91" w:rsidRPr="00182D0E" w:rsidTr="005A3F7B">
        <w:tc>
          <w:tcPr>
            <w:tcW w:w="2178" w:type="dxa"/>
          </w:tcPr>
          <w:p w:rsidR="00EF4A91" w:rsidRPr="00803378" w:rsidRDefault="00EF4A91" w:rsidP="005A3F7B">
            <w:pPr>
              <w:pStyle w:val="TermGlossary"/>
            </w:pPr>
            <w:r w:rsidRPr="00803378">
              <w:t xml:space="preserve">Service volume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 xml:space="preserve">Same as </w:t>
            </w:r>
            <w:r w:rsidRPr="003B700D">
              <w:rPr>
                <w:i/>
              </w:rPr>
              <w:t>maximum service vol</w:t>
            </w:r>
            <w:r w:rsidRPr="00803378">
              <w:t>ume.</w:t>
            </w:r>
          </w:p>
        </w:tc>
      </w:tr>
      <w:tr w:rsidR="00EF4A91" w:rsidRPr="00182D0E" w:rsidTr="005A3F7B">
        <w:tc>
          <w:tcPr>
            <w:tcW w:w="2178" w:type="dxa"/>
          </w:tcPr>
          <w:p w:rsidR="00EF4A91" w:rsidRPr="00803378" w:rsidRDefault="00EF4A91" w:rsidP="005A3F7B">
            <w:pPr>
              <w:pStyle w:val="TermGlossary"/>
            </w:pPr>
            <w:r w:rsidRPr="00803378">
              <w:t xml:space="preserve">Service Volume Table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3B700D">
              <w:rPr>
                <w:i/>
              </w:rPr>
              <w:t>Maximum service volumes</w:t>
            </w:r>
            <w:r w:rsidRPr="00803378">
              <w:t xml:space="preserve"> based on roadway, traffic and control variables and presented in tabular form.</w:t>
            </w:r>
          </w:p>
        </w:tc>
      </w:tr>
      <w:tr w:rsidR="00EF4A91" w:rsidRPr="00182D0E" w:rsidTr="005A3F7B">
        <w:tc>
          <w:tcPr>
            <w:tcW w:w="2178" w:type="dxa"/>
          </w:tcPr>
          <w:p w:rsidR="00EF4A91" w:rsidRPr="00803378" w:rsidRDefault="00EF4A91" w:rsidP="005A3F7B">
            <w:pPr>
              <w:pStyle w:val="TermGlossary"/>
            </w:pPr>
            <w:r w:rsidRPr="00803378">
              <w:t xml:space="preserve">Sidewalk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A paved walkway for pedestrians at the side of a roadway.</w:t>
            </w:r>
          </w:p>
        </w:tc>
      </w:tr>
      <w:tr w:rsidR="00EF4A91" w:rsidRPr="00182D0E" w:rsidTr="005A3F7B">
        <w:tc>
          <w:tcPr>
            <w:tcW w:w="2178" w:type="dxa"/>
          </w:tcPr>
          <w:p w:rsidR="00EF4A91" w:rsidRPr="00803378" w:rsidRDefault="00EF4A91" w:rsidP="005A3F7B">
            <w:pPr>
              <w:pStyle w:val="TermGlossary"/>
            </w:pPr>
            <w:r w:rsidRPr="00803378">
              <w:t xml:space="preserve">Signal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In this Handbook:</w:t>
            </w:r>
          </w:p>
          <w:p w:rsidR="00EF4A91" w:rsidRDefault="00EF4A91" w:rsidP="005A3F7B">
            <w:pPr>
              <w:pStyle w:val="TermGlossaryDefine"/>
            </w:pPr>
            <w:r w:rsidRPr="00803378">
              <w:t xml:space="preserve">A </w:t>
            </w:r>
            <w:r w:rsidRPr="003B700D">
              <w:rPr>
                <w:i/>
              </w:rPr>
              <w:t>traffic control device</w:t>
            </w:r>
            <w:r w:rsidRPr="00803378">
              <w:t xml:space="preserve"> regulating the flow of traffic with green, yellow and red indications.</w:t>
            </w:r>
          </w:p>
          <w:p w:rsidR="00EF4A91" w:rsidRDefault="00EF4A91" w:rsidP="005A3F7B">
            <w:pPr>
              <w:pStyle w:val="TermGlossaryDefine"/>
            </w:pPr>
            <w:r w:rsidRPr="00803378">
              <w:t>A traffic control device that routinely stops vehicles during the study period; excluded from this definition are flashing yellow lights, railroad crossings, draw bridges, yield signs, and other control devices.</w:t>
            </w:r>
          </w:p>
        </w:tc>
      </w:tr>
      <w:tr w:rsidR="00EF4A91" w:rsidRPr="00182D0E" w:rsidTr="005A3F7B">
        <w:tc>
          <w:tcPr>
            <w:tcW w:w="2178" w:type="dxa"/>
          </w:tcPr>
          <w:p w:rsidR="00EF4A91" w:rsidRPr="00803378" w:rsidRDefault="004F5AC3" w:rsidP="005A3F7B">
            <w:pPr>
              <w:pStyle w:val="TermGlossary"/>
            </w:pPr>
            <w:r>
              <w:t xml:space="preserve">LOS </w:t>
            </w:r>
            <w:r w:rsidR="00EF4A91" w:rsidRPr="00803378">
              <w:t xml:space="preserve">Software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 xml:space="preserve">FDOT’s ARTPLAN, FREEPLAN, and HIGHPLAN </w:t>
            </w:r>
            <w:r>
              <w:t>preliminary engineering</w:t>
            </w:r>
            <w:r w:rsidRPr="00803378">
              <w:t xml:space="preserve"> computer programs.</w:t>
            </w:r>
          </w:p>
        </w:tc>
      </w:tr>
      <w:tr w:rsidR="00EF4A91" w:rsidRPr="00182D0E" w:rsidTr="005A3F7B">
        <w:tc>
          <w:tcPr>
            <w:tcW w:w="2178" w:type="dxa"/>
          </w:tcPr>
          <w:p w:rsidR="00EF4A91" w:rsidRPr="00803378" w:rsidRDefault="00EF4A91" w:rsidP="005A3F7B">
            <w:pPr>
              <w:pStyle w:val="TermGlossary"/>
            </w:pPr>
            <w:r w:rsidRPr="00803378">
              <w:t xml:space="preserve">Standard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A Florida Department of Transportation formally established criterion for a specific or special activity to achieve a desired level of quality.</w:t>
            </w:r>
          </w:p>
        </w:tc>
      </w:tr>
      <w:tr w:rsidR="00EF4A91" w:rsidRPr="00182D0E" w:rsidTr="005A3F7B">
        <w:tc>
          <w:tcPr>
            <w:tcW w:w="2178" w:type="dxa"/>
          </w:tcPr>
          <w:p w:rsidR="00EF4A91" w:rsidRPr="00803378" w:rsidRDefault="00EF4A91" w:rsidP="005A3F7B">
            <w:pPr>
              <w:pStyle w:val="TermGlossary"/>
            </w:pPr>
            <w:r w:rsidRPr="00803378">
              <w:t xml:space="preserve">Standards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Same as Statewide Minimum Level of Service Standards for the State Highway System.</w:t>
            </w:r>
          </w:p>
        </w:tc>
      </w:tr>
      <w:tr w:rsidR="00EF4A91" w:rsidRPr="00182D0E" w:rsidTr="005A3F7B">
        <w:tc>
          <w:tcPr>
            <w:tcW w:w="2178" w:type="dxa"/>
          </w:tcPr>
          <w:p w:rsidR="00EF4A91" w:rsidRPr="00803378" w:rsidRDefault="00EF4A91" w:rsidP="005A3F7B">
            <w:pPr>
              <w:pStyle w:val="TermGlossary"/>
            </w:pPr>
            <w:r w:rsidRPr="00803378">
              <w:t xml:space="preserve">State Highway System (SHS)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All roadways that the Florida Department of Transportation operates and maintains; the State Highway System consists of the Florida Intrastate Highway System and other state roads.</w:t>
            </w:r>
          </w:p>
        </w:tc>
      </w:tr>
      <w:tr w:rsidR="00EF4A91" w:rsidRPr="00182D0E" w:rsidTr="005A3F7B">
        <w:tc>
          <w:tcPr>
            <w:tcW w:w="2178" w:type="dxa"/>
          </w:tcPr>
          <w:p w:rsidR="00EF4A91" w:rsidRPr="00803378" w:rsidRDefault="00EF4A91" w:rsidP="005A3F7B">
            <w:pPr>
              <w:pStyle w:val="TermGlossary"/>
            </w:pPr>
            <w:r w:rsidRPr="00803378">
              <w:t xml:space="preserve">Statewide Minimum Level of Service Standards for the State Highway System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FDOT’s Rule Chapter No. 14-94 to be used in the planning and operation of the State Highway System.</w:t>
            </w:r>
          </w:p>
        </w:tc>
      </w:tr>
      <w:tr w:rsidR="00EF4A91" w:rsidRPr="00182D0E" w:rsidTr="005A3F7B">
        <w:tc>
          <w:tcPr>
            <w:tcW w:w="2178" w:type="dxa"/>
          </w:tcPr>
          <w:p w:rsidR="00EF4A91" w:rsidRDefault="00EF4A91" w:rsidP="005A3F7B">
            <w:pPr>
              <w:pStyle w:val="TermGlossary"/>
            </w:pPr>
            <w:r>
              <w:t>Strategic Intermodal System (SIS)</w:t>
            </w:r>
          </w:p>
        </w:tc>
        <w:tc>
          <w:tcPr>
            <w:tcW w:w="270" w:type="dxa"/>
          </w:tcPr>
          <w:p w:rsidR="00EF4A91" w:rsidRDefault="00EF4A91" w:rsidP="005A3F7B">
            <w:pPr>
              <w:pStyle w:val="TermGlossaryDefine"/>
            </w:pPr>
            <w:r w:rsidRPr="0089265C">
              <w:t>–</w:t>
            </w:r>
          </w:p>
        </w:tc>
        <w:tc>
          <w:tcPr>
            <w:tcW w:w="8035" w:type="dxa"/>
          </w:tcPr>
          <w:p w:rsidR="00EF4A91" w:rsidRDefault="00EF4A91" w:rsidP="005A3F7B">
            <w:pPr>
              <w:pStyle w:val="TermGlossaryDefine"/>
            </w:pPr>
            <w:r>
              <w:t>Florida’s system of transportation facilities and serves of statewide and interregional significance.</w:t>
            </w:r>
          </w:p>
        </w:tc>
      </w:tr>
      <w:tr w:rsidR="00EF4A91" w:rsidRPr="00182D0E" w:rsidTr="005A3F7B">
        <w:tc>
          <w:tcPr>
            <w:tcW w:w="2178" w:type="dxa"/>
          </w:tcPr>
          <w:p w:rsidR="00EF4A91" w:rsidRPr="00803378" w:rsidRDefault="00EF4A91" w:rsidP="005A3F7B">
            <w:pPr>
              <w:pStyle w:val="TermGlossary"/>
            </w:pPr>
            <w:r w:rsidRPr="00803378">
              <w:t xml:space="preserve">Study period </w:t>
            </w:r>
          </w:p>
        </w:tc>
        <w:tc>
          <w:tcPr>
            <w:tcW w:w="270" w:type="dxa"/>
          </w:tcPr>
          <w:p w:rsidR="00EF4A91" w:rsidRPr="00803378" w:rsidRDefault="00EF4A91" w:rsidP="005A3F7B">
            <w:pPr>
              <w:pStyle w:val="TermGlossaryDefine"/>
            </w:pPr>
            <w:r w:rsidRPr="0089265C">
              <w:t>–</w:t>
            </w:r>
          </w:p>
        </w:tc>
        <w:tc>
          <w:tcPr>
            <w:tcW w:w="8035" w:type="dxa"/>
          </w:tcPr>
          <w:p w:rsidR="002642A9" w:rsidRDefault="002642A9" w:rsidP="005A3F7B">
            <w:pPr>
              <w:pStyle w:val="TermGlossaryDefine"/>
            </w:pPr>
            <w:r w:rsidRPr="00803378">
              <w:t>An hour period on which to base quality/level of service analyses of a facility or service.</w:t>
            </w:r>
          </w:p>
          <w:p w:rsidR="00EF4A91" w:rsidRDefault="00EF4A91" w:rsidP="005A3F7B">
            <w:pPr>
              <w:pStyle w:val="TermGlossaryDefine"/>
            </w:pPr>
            <w:r w:rsidRPr="00803378">
              <w:t>A length in time including a future year of analysis.</w:t>
            </w:r>
          </w:p>
        </w:tc>
      </w:tr>
      <w:tr w:rsidR="00EF4A91" w:rsidRPr="00182D0E" w:rsidTr="005A3F7B">
        <w:tc>
          <w:tcPr>
            <w:tcW w:w="2178" w:type="dxa"/>
          </w:tcPr>
          <w:p w:rsidR="00EF4A91" w:rsidRPr="00803378" w:rsidRDefault="00EF4A91" w:rsidP="005A3F7B">
            <w:pPr>
              <w:pStyle w:val="TermGlossary"/>
            </w:pPr>
            <w:r w:rsidRPr="00803378">
              <w:t xml:space="preserve">System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 xml:space="preserve">A combination of facilities or services forming a </w:t>
            </w:r>
            <w:r w:rsidRPr="003B700D">
              <w:rPr>
                <w:i/>
              </w:rPr>
              <w:t>network</w:t>
            </w:r>
            <w:r w:rsidRPr="00803378">
              <w:t>.</w:t>
            </w:r>
          </w:p>
          <w:p w:rsidR="00EF4A91" w:rsidRDefault="00EF4A91" w:rsidP="005A3F7B">
            <w:pPr>
              <w:pStyle w:val="TermGlossaryDefine"/>
            </w:pPr>
            <w:r w:rsidRPr="00803378">
              <w:t>A combination of facilities selected for analysis.</w:t>
            </w:r>
          </w:p>
        </w:tc>
      </w:tr>
      <w:tr w:rsidR="00EF4A91" w:rsidRPr="00182D0E" w:rsidTr="005A3F7B">
        <w:tc>
          <w:tcPr>
            <w:tcW w:w="2178" w:type="dxa"/>
          </w:tcPr>
          <w:p w:rsidR="00EF4A91" w:rsidRPr="00803378" w:rsidRDefault="00EF4A91" w:rsidP="005A3F7B">
            <w:pPr>
              <w:pStyle w:val="TermGlossary"/>
            </w:pPr>
            <w:r w:rsidRPr="00803378">
              <w:t xml:space="preserve">Traffic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A characteristic associated with the flow of vehicles.</w:t>
            </w:r>
          </w:p>
        </w:tc>
      </w:tr>
      <w:tr w:rsidR="00EF4A91" w:rsidRPr="00182D0E" w:rsidTr="005A3F7B">
        <w:tc>
          <w:tcPr>
            <w:tcW w:w="2178" w:type="dxa"/>
          </w:tcPr>
          <w:p w:rsidR="00EF4A91" w:rsidRPr="00803378" w:rsidRDefault="00EF4A91" w:rsidP="005A3F7B">
            <w:pPr>
              <w:pStyle w:val="TermGlossary"/>
            </w:pPr>
            <w:r w:rsidRPr="00803378">
              <w:t xml:space="preserve">Transit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 xml:space="preserve">In this Handbook, the same as </w:t>
            </w:r>
            <w:r w:rsidRPr="000834A3">
              <w:rPr>
                <w:i/>
              </w:rPr>
              <w:t>bus</w:t>
            </w:r>
            <w:r w:rsidRPr="00803378">
              <w:t>.</w:t>
            </w:r>
          </w:p>
        </w:tc>
      </w:tr>
      <w:tr w:rsidR="00EF4A91" w:rsidRPr="00182D0E" w:rsidTr="005A3F7B">
        <w:tc>
          <w:tcPr>
            <w:tcW w:w="2178" w:type="dxa"/>
          </w:tcPr>
          <w:p w:rsidR="00EF4A91" w:rsidRPr="00803378" w:rsidRDefault="00EF4A91" w:rsidP="005A3F7B">
            <w:pPr>
              <w:pStyle w:val="TermGlossary"/>
            </w:pPr>
            <w:r w:rsidRPr="00803378">
              <w:t xml:space="preserve">Transit Capacity and Quality of Service Manual (TCQSM) </w:t>
            </w:r>
          </w:p>
        </w:tc>
        <w:tc>
          <w:tcPr>
            <w:tcW w:w="270" w:type="dxa"/>
          </w:tcPr>
          <w:p w:rsidR="00EF4A91" w:rsidRPr="00803378" w:rsidRDefault="00EF4A91" w:rsidP="005A3F7B">
            <w:pPr>
              <w:pStyle w:val="TermGlossaryDefine"/>
            </w:pPr>
            <w:r>
              <w:br/>
            </w:r>
            <w:r w:rsidRPr="0089265C">
              <w:t>–</w:t>
            </w:r>
          </w:p>
        </w:tc>
        <w:tc>
          <w:tcPr>
            <w:tcW w:w="8035" w:type="dxa"/>
          </w:tcPr>
          <w:p w:rsidR="00EF4A91" w:rsidRDefault="00EF4A91" w:rsidP="005A3F7B">
            <w:pPr>
              <w:pStyle w:val="TermGlossaryDefine"/>
            </w:pPr>
            <w:r w:rsidRPr="00803378">
              <w:t>The document and operational methodology from which this Handbook’s bus quality/level of service analyses are based.</w:t>
            </w:r>
          </w:p>
        </w:tc>
      </w:tr>
      <w:tr w:rsidR="00EF4A91" w:rsidRPr="00182D0E" w:rsidTr="005A3F7B">
        <w:tc>
          <w:tcPr>
            <w:tcW w:w="2178" w:type="dxa"/>
          </w:tcPr>
          <w:p w:rsidR="00EF4A91" w:rsidRPr="00803378" w:rsidRDefault="00EF4A91" w:rsidP="005A3F7B">
            <w:pPr>
              <w:pStyle w:val="TermGlossary"/>
            </w:pPr>
            <w:r w:rsidRPr="00803378">
              <w:t xml:space="preserve">Transit system </w:t>
            </w:r>
            <w:r w:rsidRPr="00803378">
              <w:lastRenderedPageBreak/>
              <w:t xml:space="preserve">structure </w:t>
            </w:r>
          </w:p>
        </w:tc>
        <w:tc>
          <w:tcPr>
            <w:tcW w:w="270" w:type="dxa"/>
          </w:tcPr>
          <w:p w:rsidR="00EF4A91" w:rsidRPr="00803378" w:rsidRDefault="00EF4A91" w:rsidP="005A3F7B">
            <w:pPr>
              <w:pStyle w:val="TermGlossaryDefine"/>
            </w:pPr>
            <w:r w:rsidRPr="0089265C">
              <w:lastRenderedPageBreak/>
              <w:t>–</w:t>
            </w:r>
          </w:p>
        </w:tc>
        <w:tc>
          <w:tcPr>
            <w:tcW w:w="8035" w:type="dxa"/>
          </w:tcPr>
          <w:p w:rsidR="00EF4A91" w:rsidRDefault="00EF4A91" w:rsidP="005A3F7B">
            <w:pPr>
              <w:pStyle w:val="TermGlossaryDefine"/>
            </w:pPr>
            <w:r w:rsidRPr="00803378">
              <w:t>The Transit Capacity and Quality of Service Manual’s analytical methodology of transit stops, route segments, and system.</w:t>
            </w:r>
          </w:p>
        </w:tc>
      </w:tr>
      <w:tr w:rsidR="00EF4A91" w:rsidRPr="00182D0E" w:rsidTr="005A3F7B">
        <w:tc>
          <w:tcPr>
            <w:tcW w:w="2178" w:type="dxa"/>
          </w:tcPr>
          <w:p w:rsidR="00EF4A91" w:rsidRPr="00803378" w:rsidRDefault="00EF4A91" w:rsidP="005A3F7B">
            <w:pPr>
              <w:pStyle w:val="TermGlossary"/>
            </w:pPr>
            <w:r w:rsidRPr="00803378">
              <w:lastRenderedPageBreak/>
              <w:t xml:space="preserve">Transitioning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 xml:space="preserve">In the text of this Handbook, the same as </w:t>
            </w:r>
            <w:r w:rsidRPr="000834A3">
              <w:rPr>
                <w:i/>
              </w:rPr>
              <w:t>transitioning area</w:t>
            </w:r>
            <w:r w:rsidRPr="00803378">
              <w:t>.</w:t>
            </w:r>
          </w:p>
          <w:p w:rsidR="00EF4A91" w:rsidRDefault="00EF4A91" w:rsidP="005A3F7B">
            <w:pPr>
              <w:pStyle w:val="TermGlossaryDefine"/>
            </w:pPr>
            <w:r w:rsidRPr="00803378">
              <w:t xml:space="preserve">In the software of this Handbook, the same as </w:t>
            </w:r>
            <w:r w:rsidRPr="000834A3">
              <w:rPr>
                <w:i/>
              </w:rPr>
              <w:t>transitioning/urban</w:t>
            </w:r>
            <w:r w:rsidRPr="00803378">
              <w:t>.</w:t>
            </w:r>
          </w:p>
        </w:tc>
      </w:tr>
      <w:tr w:rsidR="00EF4A91" w:rsidRPr="00182D0E" w:rsidTr="005A3F7B">
        <w:tc>
          <w:tcPr>
            <w:tcW w:w="2178" w:type="dxa"/>
          </w:tcPr>
          <w:p w:rsidR="00EF4A91" w:rsidRPr="00803378" w:rsidRDefault="00EF4A91" w:rsidP="005A3F7B">
            <w:pPr>
              <w:pStyle w:val="TermGlossary"/>
            </w:pPr>
            <w:r w:rsidRPr="00803378">
              <w:t xml:space="preserve">Transitioning area </w:t>
            </w:r>
          </w:p>
        </w:tc>
        <w:tc>
          <w:tcPr>
            <w:tcW w:w="270" w:type="dxa"/>
          </w:tcPr>
          <w:p w:rsidR="00EF4A91" w:rsidRDefault="00EF4A91" w:rsidP="005A3F7B">
            <w:pPr>
              <w:pStyle w:val="TermGlossaryDefine"/>
            </w:pPr>
            <w:r w:rsidRPr="0089265C">
              <w:t>–</w:t>
            </w:r>
          </w:p>
        </w:tc>
        <w:tc>
          <w:tcPr>
            <w:tcW w:w="8035" w:type="dxa"/>
          </w:tcPr>
          <w:p w:rsidR="00EF4A91" w:rsidRDefault="00EF4A91" w:rsidP="005A3F7B">
            <w:pPr>
              <w:pStyle w:val="TermGlossaryDefine"/>
            </w:pPr>
            <w:r>
              <w:t xml:space="preserve">An area that exhibits characteristics between </w:t>
            </w:r>
            <w:r w:rsidRPr="00831D9E">
              <w:rPr>
                <w:i/>
              </w:rPr>
              <w:t>rural</w:t>
            </w:r>
            <w:r>
              <w:t xml:space="preserve"> and </w:t>
            </w:r>
            <w:r w:rsidRPr="00831D9E">
              <w:rPr>
                <w:i/>
              </w:rPr>
              <w:t>urbanized/urban</w:t>
            </w:r>
            <w:r w:rsidRPr="00803378">
              <w:t>.</w:t>
            </w:r>
          </w:p>
        </w:tc>
      </w:tr>
      <w:tr w:rsidR="00EF4A91" w:rsidRPr="00182D0E" w:rsidTr="005A3F7B">
        <w:tc>
          <w:tcPr>
            <w:tcW w:w="2178" w:type="dxa"/>
          </w:tcPr>
          <w:p w:rsidR="00EF4A91" w:rsidRPr="00803378" w:rsidRDefault="00EF4A91" w:rsidP="005A3F7B">
            <w:pPr>
              <w:pStyle w:val="TermGlossary"/>
            </w:pPr>
            <w:r w:rsidRPr="00803378">
              <w:t xml:space="preserve">Transitioning/urban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 xml:space="preserve">The grouping of transitioning areas and urban areas into one analysis category in the </w:t>
            </w:r>
            <w:r w:rsidRPr="000834A3">
              <w:rPr>
                <w:i/>
              </w:rPr>
              <w:t>Generalized Tables</w:t>
            </w:r>
            <w:r w:rsidRPr="00803378">
              <w:t xml:space="preserve"> and software.</w:t>
            </w:r>
          </w:p>
        </w:tc>
      </w:tr>
      <w:tr w:rsidR="00EF4A91" w:rsidRPr="00182D0E" w:rsidTr="005A3F7B">
        <w:tc>
          <w:tcPr>
            <w:tcW w:w="2178" w:type="dxa"/>
          </w:tcPr>
          <w:p w:rsidR="00EF4A91" w:rsidRPr="00803378" w:rsidRDefault="00EF4A91" w:rsidP="005A3F7B">
            <w:pPr>
              <w:pStyle w:val="TermGlossary"/>
            </w:pPr>
            <w:r w:rsidRPr="00803378">
              <w:t xml:space="preserve">Transportation Concurrency Management Area (TCMA) </w:t>
            </w:r>
          </w:p>
        </w:tc>
        <w:tc>
          <w:tcPr>
            <w:tcW w:w="270" w:type="dxa"/>
          </w:tcPr>
          <w:p w:rsidR="00EF4A91" w:rsidRPr="00803378" w:rsidRDefault="00EF4A91" w:rsidP="005A3F7B">
            <w:pPr>
              <w:pStyle w:val="TermGlossaryDefine"/>
            </w:pPr>
            <w:r>
              <w:br/>
            </w:r>
            <w:r>
              <w:br/>
            </w:r>
            <w:r w:rsidRPr="0089265C">
              <w:t>–</w:t>
            </w:r>
          </w:p>
        </w:tc>
        <w:tc>
          <w:tcPr>
            <w:tcW w:w="8035" w:type="dxa"/>
          </w:tcPr>
          <w:p w:rsidR="00EF4A91" w:rsidRDefault="00EF4A91" w:rsidP="005A3F7B">
            <w:pPr>
              <w:pStyle w:val="TermGlossaryDefine"/>
            </w:pPr>
            <w:r w:rsidRPr="00803378">
              <w:t xml:space="preserve">A geographically compact area designated in a </w:t>
            </w:r>
            <w:r w:rsidRPr="000834A3">
              <w:rPr>
                <w:i/>
              </w:rPr>
              <w:t>local government comprehensive plan</w:t>
            </w:r>
            <w:r w:rsidRPr="00803378">
              <w:t xml:space="preserve"> where intensive development exists, or is planned, so as to ensure adequate mobility and further the achievement of identified important state planning goals and policies, including discouraging the proliferation of urban sprawl, encouraging the revitalization of an existing downtown and any designated redevelopment area, protecting natural resources, protecting historic resources, maximizing the efficient use of existing public facilities, and promoting public transit, bicycling, walking, and other alternatives to the single-occupant automobile. A transportation concurrency management area may be established in a </w:t>
            </w:r>
            <w:r w:rsidRPr="000834A3">
              <w:t>comprehensive plan</w:t>
            </w:r>
            <w:r w:rsidRPr="00803378">
              <w:t xml:space="preserve"> in accordance with Rule 9J-5.0057, F.A.C.</w:t>
            </w:r>
          </w:p>
        </w:tc>
      </w:tr>
      <w:tr w:rsidR="00EF4A91" w:rsidRPr="00182D0E" w:rsidTr="005A3F7B">
        <w:tc>
          <w:tcPr>
            <w:tcW w:w="2178" w:type="dxa"/>
          </w:tcPr>
          <w:p w:rsidR="00EF4A91" w:rsidRPr="00803378" w:rsidRDefault="00EF4A91" w:rsidP="005A3F7B">
            <w:pPr>
              <w:pStyle w:val="TermGlossary"/>
            </w:pPr>
            <w:r w:rsidRPr="00803378">
              <w:t xml:space="preserve">Travel time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The average time spent by vehicles traversing a roadway.</w:t>
            </w:r>
          </w:p>
        </w:tc>
      </w:tr>
      <w:tr w:rsidR="00EF4A91" w:rsidRPr="00182D0E" w:rsidTr="005A3F7B">
        <w:tc>
          <w:tcPr>
            <w:tcW w:w="2178" w:type="dxa"/>
          </w:tcPr>
          <w:p w:rsidR="00EF4A91" w:rsidRPr="00803378" w:rsidRDefault="00EF4A91" w:rsidP="005A3F7B">
            <w:pPr>
              <w:pStyle w:val="TermGlossary"/>
            </w:pPr>
            <w:r w:rsidRPr="00803378">
              <w:t xml:space="preserve">Truck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 xml:space="preserve">In this Handbook the same as </w:t>
            </w:r>
            <w:r w:rsidRPr="000834A3">
              <w:rPr>
                <w:i/>
              </w:rPr>
              <w:t>heavy vehicle</w:t>
            </w:r>
            <w:r w:rsidRPr="00803378">
              <w:t>.</w:t>
            </w:r>
          </w:p>
        </w:tc>
      </w:tr>
      <w:tr w:rsidR="00EF4A91" w:rsidRPr="00182D0E" w:rsidTr="005A3F7B">
        <w:tc>
          <w:tcPr>
            <w:tcW w:w="2178" w:type="dxa"/>
          </w:tcPr>
          <w:p w:rsidR="00EF4A91" w:rsidRPr="00803378" w:rsidRDefault="00EF4A91" w:rsidP="005A3F7B">
            <w:pPr>
              <w:pStyle w:val="TermGlossary"/>
            </w:pPr>
            <w:r w:rsidRPr="00803378">
              <w:t xml:space="preserve">Two-way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Movement allowed in either direction.</w:t>
            </w:r>
          </w:p>
        </w:tc>
      </w:tr>
      <w:tr w:rsidR="00EF4A91" w:rsidRPr="00182D0E" w:rsidTr="005A3F7B">
        <w:tc>
          <w:tcPr>
            <w:tcW w:w="2178" w:type="dxa"/>
          </w:tcPr>
          <w:p w:rsidR="00EF4A91" w:rsidRPr="00803378" w:rsidRDefault="00EF4A91" w:rsidP="005A3F7B">
            <w:pPr>
              <w:pStyle w:val="TermGlossary"/>
            </w:pPr>
            <w:r w:rsidRPr="00803378">
              <w:t xml:space="preserve">Undivided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 xml:space="preserve">As used in the Generalized Tables, a roadway with no </w:t>
            </w:r>
            <w:r w:rsidRPr="000834A3">
              <w:rPr>
                <w:i/>
              </w:rPr>
              <w:t>median</w:t>
            </w:r>
            <w:r w:rsidRPr="00803378">
              <w:t>.</w:t>
            </w:r>
          </w:p>
        </w:tc>
      </w:tr>
      <w:tr w:rsidR="00EF4A91" w:rsidRPr="00182D0E" w:rsidTr="005A3F7B">
        <w:tc>
          <w:tcPr>
            <w:tcW w:w="2178" w:type="dxa"/>
          </w:tcPr>
          <w:p w:rsidR="00EF4A91" w:rsidRPr="00803378" w:rsidRDefault="00EF4A91" w:rsidP="005A3F7B">
            <w:pPr>
              <w:pStyle w:val="TermGlossary"/>
            </w:pPr>
            <w:r w:rsidRPr="00803378">
              <w:t xml:space="preserve">Urban area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 xml:space="preserve">A place with a population between 5,000 and 50,000 and not in an </w:t>
            </w:r>
            <w:r w:rsidRPr="000834A3">
              <w:rPr>
                <w:i/>
              </w:rPr>
              <w:t>urbanized</w:t>
            </w:r>
            <w:r w:rsidRPr="00803378">
              <w:t xml:space="preserve"> </w:t>
            </w:r>
            <w:r w:rsidRPr="000834A3">
              <w:rPr>
                <w:i/>
              </w:rPr>
              <w:t>area</w:t>
            </w:r>
            <w:r w:rsidRPr="00803378">
              <w:t>. The applicable boundary includes the Census’s urban area and the surrounding geographical area agreed upon by the FDOT, the local government, and the Federal Highway Administration (FHWA). The boundaries are commonly called FHWA Urban Area Boundaries and include those areas expected to develop medium density before the next decennial census.</w:t>
            </w:r>
          </w:p>
          <w:p w:rsidR="00EF4A91" w:rsidRDefault="00EF4A91" w:rsidP="005A3F7B">
            <w:pPr>
              <w:pStyle w:val="TermGlossaryDefine"/>
            </w:pPr>
            <w:r w:rsidRPr="00803378">
              <w:t>A general characterization of places where people live and work.</w:t>
            </w:r>
          </w:p>
        </w:tc>
      </w:tr>
      <w:tr w:rsidR="00EF4A91" w:rsidRPr="00182D0E" w:rsidTr="005A3F7B">
        <w:tc>
          <w:tcPr>
            <w:tcW w:w="2178" w:type="dxa"/>
          </w:tcPr>
          <w:p w:rsidR="00EF4A91" w:rsidRPr="00803378" w:rsidRDefault="00EF4A91" w:rsidP="005A3F7B">
            <w:pPr>
              <w:pStyle w:val="TermGlossary"/>
            </w:pPr>
            <w:r w:rsidRPr="00803378">
              <w:t xml:space="preserve">Urban infill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A land development strategy aimed at directing higher density residential and mixed-use development to available sites in developed areas to maximize the use of adequate existing infrastructure; often considered an alternative to low density land development.</w:t>
            </w:r>
          </w:p>
        </w:tc>
      </w:tr>
      <w:tr w:rsidR="00EF4A91" w:rsidRPr="00182D0E" w:rsidTr="005A3F7B">
        <w:tc>
          <w:tcPr>
            <w:tcW w:w="2178" w:type="dxa"/>
          </w:tcPr>
          <w:p w:rsidR="00EF4A91" w:rsidRPr="00803378" w:rsidRDefault="00EF4A91" w:rsidP="005A3F7B">
            <w:pPr>
              <w:pStyle w:val="TermGlossary"/>
            </w:pPr>
            <w:r w:rsidRPr="00803378">
              <w:t xml:space="preserve">Urbanized area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An area within an MPO’s designated urbanized area boundary. The minimum population for an urbanized area is 50,000 people.</w:t>
            </w:r>
          </w:p>
          <w:p w:rsidR="00EF4A91" w:rsidRDefault="00EF4A91" w:rsidP="005A3F7B">
            <w:pPr>
              <w:pStyle w:val="TermGlossaryDefine"/>
            </w:pPr>
            <w:r w:rsidRPr="00803378">
              <w:t>Based on the Census, any area the U.S. Bureau of Census designates as urbanized, together with any surrounding geographical area agreed upon by the FDOT, the relevant Metropolitan Planning Organization (MPO), and the Federal Highway Administration (FHWA), commonly called the FHWA Urbanized Area Boundary. The minimum population for an urbanized area is 50,000.</w:t>
            </w:r>
          </w:p>
        </w:tc>
      </w:tr>
      <w:tr w:rsidR="00EF4A91" w:rsidRPr="00182D0E" w:rsidTr="005A3F7B">
        <w:tc>
          <w:tcPr>
            <w:tcW w:w="2178" w:type="dxa"/>
          </w:tcPr>
          <w:p w:rsidR="00EF4A91" w:rsidRPr="00803378" w:rsidRDefault="00EF4A91" w:rsidP="005A3F7B">
            <w:pPr>
              <w:pStyle w:val="TermGlossary"/>
            </w:pPr>
            <w:r w:rsidRPr="00803378">
              <w:t xml:space="preserve">v/c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 xml:space="preserve">The ratio of </w:t>
            </w:r>
            <w:r w:rsidRPr="00467107">
              <w:rPr>
                <w:i/>
              </w:rPr>
              <w:t>demand flow rate</w:t>
            </w:r>
            <w:r w:rsidRPr="00803378">
              <w:t xml:space="preserve"> to </w:t>
            </w:r>
            <w:r w:rsidRPr="00467107">
              <w:rPr>
                <w:i/>
              </w:rPr>
              <w:t>capacity</w:t>
            </w:r>
            <w:r w:rsidRPr="00803378">
              <w:t xml:space="preserve"> of a signalized intersection, segment or facility.</w:t>
            </w:r>
          </w:p>
        </w:tc>
      </w:tr>
      <w:tr w:rsidR="00EF4A91" w:rsidRPr="00182D0E" w:rsidTr="005A3F7B">
        <w:tc>
          <w:tcPr>
            <w:tcW w:w="2178" w:type="dxa"/>
          </w:tcPr>
          <w:p w:rsidR="00EF4A91" w:rsidRPr="00803378" w:rsidRDefault="00EF4A91" w:rsidP="005A3F7B">
            <w:pPr>
              <w:pStyle w:val="TermGlossary"/>
            </w:pPr>
            <w:r w:rsidRPr="00803378">
              <w:t xml:space="preserve">Vehicle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In this Handbook, a motorized mode of transportation, unless specifically noted.</w:t>
            </w:r>
          </w:p>
        </w:tc>
      </w:tr>
      <w:tr w:rsidR="00EF4A91" w:rsidRPr="00182D0E" w:rsidTr="005A3F7B">
        <w:tc>
          <w:tcPr>
            <w:tcW w:w="2178" w:type="dxa"/>
          </w:tcPr>
          <w:p w:rsidR="00EF4A91" w:rsidRPr="00803378" w:rsidRDefault="00EF4A91" w:rsidP="005A3F7B">
            <w:pPr>
              <w:pStyle w:val="TermGlossary"/>
            </w:pPr>
            <w:r w:rsidRPr="00803378">
              <w:t xml:space="preserve">Volume </w:t>
            </w:r>
          </w:p>
        </w:tc>
        <w:tc>
          <w:tcPr>
            <w:tcW w:w="270" w:type="dxa"/>
          </w:tcPr>
          <w:p w:rsidR="00EF4A91" w:rsidRPr="00803378" w:rsidRDefault="00EF4A91" w:rsidP="005A3F7B">
            <w:pPr>
              <w:pStyle w:val="TermGlossaryDefine"/>
            </w:pPr>
            <w:r w:rsidRPr="0089265C">
              <w:t>–</w:t>
            </w:r>
          </w:p>
        </w:tc>
        <w:tc>
          <w:tcPr>
            <w:tcW w:w="8035" w:type="dxa"/>
          </w:tcPr>
          <w:p w:rsidR="00EF4A91" w:rsidRDefault="00EF4A91" w:rsidP="005A3F7B">
            <w:pPr>
              <w:pStyle w:val="TermGlossaryDefine"/>
            </w:pPr>
            <w:r w:rsidRPr="00803378">
              <w:t>In this Handbook usually the number of vehicles, and occasionally persons, passing a point on a roadway during a specified time period, often 1 hour; a volume may be measured or estimated, either of which could be a constrained value or a hypothetical demand volume.</w:t>
            </w:r>
          </w:p>
        </w:tc>
      </w:tr>
      <w:tr w:rsidR="009671FD" w:rsidRPr="00182D0E" w:rsidTr="005A3F7B">
        <w:tc>
          <w:tcPr>
            <w:tcW w:w="2178" w:type="dxa"/>
          </w:tcPr>
          <w:p w:rsidR="009671FD" w:rsidRDefault="009671FD" w:rsidP="009671FD">
            <w:pPr>
              <w:pStyle w:val="TermGlossary"/>
            </w:pPr>
            <w:r>
              <w:t xml:space="preserve">rule, </w:t>
            </w:r>
          </w:p>
          <w:p w:rsidR="009671FD" w:rsidRDefault="009671FD" w:rsidP="009671FD">
            <w:pPr>
              <w:pStyle w:val="TermGlossary"/>
            </w:pPr>
            <w:r>
              <w:t>statute,</w:t>
            </w:r>
          </w:p>
          <w:p w:rsidR="009671FD" w:rsidRDefault="009671FD" w:rsidP="009671FD">
            <w:pPr>
              <w:pStyle w:val="TermGlossary"/>
            </w:pPr>
            <w:r w:rsidRPr="00CF3FB6">
              <w:t>Multimodal Mobility Options</w:t>
            </w:r>
          </w:p>
          <w:p w:rsidR="009671FD" w:rsidRDefault="009671FD" w:rsidP="009671FD">
            <w:pPr>
              <w:pStyle w:val="TermGlossary"/>
            </w:pPr>
            <w:r w:rsidRPr="00CF3FB6">
              <w:t xml:space="preserve">Study Area </w:t>
            </w:r>
            <w:r w:rsidRPr="00CF3FB6">
              <w:lastRenderedPageBreak/>
              <w:t>Requirements</w:t>
            </w:r>
          </w:p>
          <w:p w:rsidR="009671FD" w:rsidRDefault="009671FD" w:rsidP="009671FD">
            <w:pPr>
              <w:pStyle w:val="TermGlossary"/>
            </w:pPr>
            <w:r w:rsidRPr="00CF3FB6">
              <w:t>Analysis Years</w:t>
            </w:r>
          </w:p>
          <w:p w:rsidR="009671FD" w:rsidRDefault="009671FD" w:rsidP="009671FD">
            <w:pPr>
              <w:pStyle w:val="TermGlossary"/>
            </w:pPr>
            <w:r w:rsidRPr="00CF3FB6">
              <w:t>General Transportation Factors</w:t>
            </w:r>
          </w:p>
          <w:p w:rsidR="009671FD" w:rsidRDefault="009671FD" w:rsidP="009671FD">
            <w:pPr>
              <w:pStyle w:val="TermGlossary"/>
            </w:pPr>
            <w:r w:rsidRPr="00CF3FB6">
              <w:t>Data Collection</w:t>
            </w:r>
          </w:p>
          <w:p w:rsidR="009671FD" w:rsidRDefault="009671FD" w:rsidP="009671FD">
            <w:pPr>
              <w:pStyle w:val="TermGlossary"/>
            </w:pPr>
            <w:r w:rsidRPr="00CF3FB6">
              <w:t>Site Development Characteristics</w:t>
            </w:r>
          </w:p>
          <w:p w:rsidR="009671FD" w:rsidRDefault="009671FD" w:rsidP="009671FD">
            <w:pPr>
              <w:pStyle w:val="TermGlossary"/>
            </w:pPr>
            <w:r w:rsidRPr="00CF3FB6">
              <w:t>Transportation System Data</w:t>
            </w:r>
          </w:p>
          <w:p w:rsidR="009671FD" w:rsidRDefault="009671FD" w:rsidP="009671FD">
            <w:pPr>
              <w:pStyle w:val="TermGlossary"/>
            </w:pPr>
            <w:r w:rsidRPr="00CF3FB6">
              <w:t>Traffic Data</w:t>
            </w:r>
          </w:p>
          <w:p w:rsidR="009671FD" w:rsidRDefault="009671FD" w:rsidP="009671FD">
            <w:pPr>
              <w:pStyle w:val="TermGlossary"/>
            </w:pPr>
            <w:r w:rsidRPr="00CF3FB6">
              <w:t>Traffic Counts</w:t>
            </w:r>
          </w:p>
          <w:p w:rsidR="009671FD" w:rsidRDefault="009671FD" w:rsidP="009671FD">
            <w:pPr>
              <w:pStyle w:val="TermGlossary"/>
            </w:pPr>
            <w:r w:rsidRPr="00CF3FB6">
              <w:t>Land Us</w:t>
            </w:r>
            <w:r>
              <w:t>e</w:t>
            </w:r>
          </w:p>
          <w:p w:rsidR="009671FD" w:rsidRDefault="009671FD" w:rsidP="009671FD">
            <w:pPr>
              <w:pStyle w:val="TermGlossary"/>
            </w:pPr>
            <w:r w:rsidRPr="00CF3FB6">
              <w:t>Demographic Data</w:t>
            </w:r>
          </w:p>
          <w:p w:rsidR="009671FD" w:rsidRDefault="009671FD" w:rsidP="009671FD">
            <w:pPr>
              <w:pStyle w:val="TermGlossary"/>
            </w:pPr>
            <w:r w:rsidRPr="00CF3FB6">
              <w:t>Background Traffic</w:t>
            </w:r>
          </w:p>
          <w:p w:rsidR="009671FD" w:rsidRDefault="009671FD" w:rsidP="009671FD">
            <w:pPr>
              <w:pStyle w:val="TermGlossary"/>
            </w:pPr>
            <w:r w:rsidRPr="00CF3FB6">
              <w:t>Growth Rate/Trend Method</w:t>
            </w:r>
          </w:p>
          <w:p w:rsidR="009671FD" w:rsidRDefault="009671FD" w:rsidP="009671FD">
            <w:pPr>
              <w:pStyle w:val="TermGlossary"/>
            </w:pPr>
            <w:r w:rsidRPr="00CF3FB6">
              <w:t>Build-Up Method</w:t>
            </w:r>
          </w:p>
          <w:p w:rsidR="009671FD" w:rsidRDefault="009671FD" w:rsidP="009671FD">
            <w:pPr>
              <w:pStyle w:val="TermGlossary"/>
            </w:pPr>
            <w:r w:rsidRPr="00A703A8">
              <w:t>Large Scale Transportation Model</w:t>
            </w:r>
          </w:p>
          <w:p w:rsidR="009671FD" w:rsidRDefault="009671FD" w:rsidP="009671FD">
            <w:pPr>
              <w:pStyle w:val="TermGlossary"/>
            </w:pPr>
            <w:r w:rsidRPr="00A703A8">
              <w:t>Trip Generation</w:t>
            </w:r>
          </w:p>
          <w:p w:rsidR="009671FD" w:rsidRDefault="009671FD" w:rsidP="009671FD">
            <w:pPr>
              <w:pStyle w:val="TermGlossary"/>
            </w:pPr>
            <w:r w:rsidRPr="00A703A8">
              <w:t>Trip Generation Rates</w:t>
            </w:r>
          </w:p>
          <w:p w:rsidR="009671FD" w:rsidRDefault="009671FD" w:rsidP="009671FD">
            <w:pPr>
              <w:pStyle w:val="TermGlossary"/>
            </w:pPr>
            <w:r w:rsidRPr="00A703A8">
              <w:t xml:space="preserve">Trip Generation </w:t>
            </w:r>
            <w:r>
              <w:t>Equations</w:t>
            </w:r>
          </w:p>
          <w:p w:rsidR="009671FD" w:rsidRDefault="009671FD" w:rsidP="009671FD">
            <w:pPr>
              <w:pStyle w:val="TermGlossary"/>
            </w:pPr>
            <w:r w:rsidRPr="00A703A8">
              <w:t>Internal Capture</w:t>
            </w:r>
          </w:p>
          <w:p w:rsidR="009671FD" w:rsidRDefault="009671FD" w:rsidP="009671FD">
            <w:pPr>
              <w:pStyle w:val="TermGlossary"/>
            </w:pPr>
            <w:r w:rsidRPr="00A703A8">
              <w:t>Community Capture</w:t>
            </w:r>
          </w:p>
          <w:p w:rsidR="009671FD" w:rsidRDefault="009671FD" w:rsidP="009671FD">
            <w:pPr>
              <w:pStyle w:val="TermGlossary"/>
            </w:pPr>
            <w:r w:rsidRPr="00A703A8">
              <w:t>Trip Types</w:t>
            </w:r>
          </w:p>
          <w:p w:rsidR="009671FD" w:rsidRDefault="009671FD" w:rsidP="009671FD">
            <w:pPr>
              <w:pStyle w:val="TermGlossary"/>
            </w:pPr>
          </w:p>
          <w:p w:rsidR="009671FD" w:rsidRDefault="009671FD" w:rsidP="009671FD">
            <w:pPr>
              <w:pStyle w:val="TermGlossary"/>
            </w:pPr>
            <w:r w:rsidRPr="00A703A8">
              <w:t>Pass-by Trips</w:t>
            </w:r>
          </w:p>
          <w:p w:rsidR="009671FD" w:rsidRDefault="009671FD" w:rsidP="009671FD">
            <w:pPr>
              <w:pStyle w:val="TermGlossary"/>
            </w:pPr>
            <w:r w:rsidRPr="00A703A8">
              <w:t>Adjacent Street Traffic</w:t>
            </w:r>
          </w:p>
          <w:p w:rsidR="009671FD" w:rsidRDefault="009671FD" w:rsidP="009671FD">
            <w:pPr>
              <w:pStyle w:val="TermGlossary"/>
            </w:pPr>
            <w:r w:rsidRPr="00A703A8">
              <w:t>Trip Distribution</w:t>
            </w:r>
          </w:p>
          <w:p w:rsidR="009671FD" w:rsidRDefault="009671FD" w:rsidP="009671FD">
            <w:pPr>
              <w:pStyle w:val="TermGlossary"/>
            </w:pPr>
            <w:r w:rsidRPr="00A703A8">
              <w:t>Model Volumes</w:t>
            </w:r>
          </w:p>
          <w:p w:rsidR="009671FD" w:rsidRDefault="009671FD" w:rsidP="009671FD">
            <w:pPr>
              <w:pStyle w:val="TermGlossary"/>
            </w:pPr>
            <w:r w:rsidRPr="00A703A8">
              <w:t>Model Method</w:t>
            </w:r>
          </w:p>
          <w:p w:rsidR="009671FD" w:rsidRDefault="009671FD" w:rsidP="009671FD">
            <w:pPr>
              <w:pStyle w:val="TermGlossary"/>
            </w:pPr>
            <w:r w:rsidRPr="00A703A8">
              <w:t>Manual Methods</w:t>
            </w:r>
          </w:p>
          <w:p w:rsidR="009671FD" w:rsidRDefault="009671FD" w:rsidP="009671FD">
            <w:pPr>
              <w:pStyle w:val="TermGlossary"/>
            </w:pPr>
            <w:r w:rsidRPr="00A703A8">
              <w:lastRenderedPageBreak/>
              <w:t>“Blended” Methods</w:t>
            </w:r>
          </w:p>
          <w:p w:rsidR="009671FD" w:rsidRDefault="009671FD" w:rsidP="009671FD">
            <w:pPr>
              <w:pStyle w:val="TermGlossary"/>
            </w:pPr>
            <w:r w:rsidRPr="00A703A8">
              <w:t>Mode Split/Alternative Travel Forecasts</w:t>
            </w:r>
          </w:p>
          <w:p w:rsidR="009671FD" w:rsidRDefault="009671FD" w:rsidP="009671FD">
            <w:pPr>
              <w:pStyle w:val="TermGlossary"/>
            </w:pPr>
            <w:r w:rsidRPr="00A703A8">
              <w:t>Trip Assignment</w:t>
            </w:r>
          </w:p>
          <w:p w:rsidR="009671FD" w:rsidRDefault="009671FD" w:rsidP="009671FD">
            <w:pPr>
              <w:pStyle w:val="TermGlossary"/>
            </w:pPr>
            <w:r w:rsidRPr="00A703A8">
              <w:t>Traffic Attenuation</w:t>
            </w:r>
          </w:p>
          <w:p w:rsidR="009671FD" w:rsidRDefault="009671FD" w:rsidP="009671FD">
            <w:pPr>
              <w:pStyle w:val="TermGlossary"/>
            </w:pPr>
            <w:r w:rsidRPr="00A703A8">
              <w:t>Future Conditions Analysis/</w:t>
            </w:r>
          </w:p>
          <w:p w:rsidR="009671FD" w:rsidRDefault="009671FD" w:rsidP="009671FD">
            <w:pPr>
              <w:pStyle w:val="TermGlossary"/>
            </w:pPr>
            <w:r w:rsidRPr="00A703A8">
              <w:t>Mitigation/</w:t>
            </w:r>
          </w:p>
          <w:p w:rsidR="009671FD" w:rsidRDefault="009671FD" w:rsidP="009671FD">
            <w:pPr>
              <w:pStyle w:val="TermGlossary"/>
            </w:pPr>
            <w:r w:rsidRPr="00A703A8">
              <w:t>Future Transportation Needs</w:t>
            </w:r>
          </w:p>
          <w:p w:rsidR="009671FD" w:rsidRDefault="009671FD" w:rsidP="009671FD">
            <w:pPr>
              <w:pStyle w:val="TermGlossary"/>
            </w:pPr>
            <w:r w:rsidRPr="00CF2B4E">
              <w:t>Significance Testing</w:t>
            </w:r>
          </w:p>
          <w:p w:rsidR="009671FD" w:rsidRDefault="009671FD" w:rsidP="009671FD">
            <w:pPr>
              <w:pStyle w:val="TermGlossary"/>
            </w:pPr>
            <w:r w:rsidRPr="00CF2B4E">
              <w:t>Adversity Testing</w:t>
            </w:r>
          </w:p>
          <w:p w:rsidR="009671FD" w:rsidRDefault="009671FD" w:rsidP="009671FD">
            <w:pPr>
              <w:pStyle w:val="TermGlossary"/>
            </w:pPr>
            <w:r w:rsidRPr="00CF2B4E">
              <w:t>Access Management</w:t>
            </w:r>
          </w:p>
          <w:p w:rsidR="009671FD" w:rsidRDefault="009671FD" w:rsidP="009671FD">
            <w:pPr>
              <w:pStyle w:val="TermGlossary"/>
            </w:pPr>
            <w:r w:rsidRPr="00CF2B4E">
              <w:t>Site Access</w:t>
            </w:r>
          </w:p>
          <w:p w:rsidR="009671FD" w:rsidRDefault="009671FD" w:rsidP="009671FD">
            <w:pPr>
              <w:pStyle w:val="TermGlossary"/>
            </w:pPr>
            <w:r w:rsidRPr="00CF2B4E">
              <w:t>Internal Circulation</w:t>
            </w:r>
          </w:p>
          <w:p w:rsidR="009671FD" w:rsidRDefault="009671FD" w:rsidP="009671FD">
            <w:pPr>
              <w:pStyle w:val="TermGlossary"/>
            </w:pPr>
            <w:r>
              <w:t>L</w:t>
            </w:r>
            <w:r w:rsidRPr="002534D2">
              <w:t>OCAL GOVERNMENT COMPREHENSIVE PLAN</w:t>
            </w:r>
          </w:p>
          <w:p w:rsidR="009671FD" w:rsidRDefault="009671FD" w:rsidP="009671FD">
            <w:pPr>
              <w:pStyle w:val="TermGlossary"/>
            </w:pPr>
            <w:r w:rsidRPr="002534D2">
              <w:t>FLUM - Future Land Use Map</w:t>
            </w:r>
          </w:p>
          <w:p w:rsidR="009671FD" w:rsidRDefault="009671FD" w:rsidP="009671FD">
            <w:pPr>
              <w:pStyle w:val="TermGlossary"/>
            </w:pPr>
            <w:r w:rsidRPr="002534D2">
              <w:t>Large Scale Plan Amendment</w:t>
            </w:r>
          </w:p>
          <w:p w:rsidR="009671FD" w:rsidRDefault="009671FD" w:rsidP="009671FD">
            <w:pPr>
              <w:pStyle w:val="TermGlossary"/>
            </w:pPr>
            <w:r w:rsidRPr="002534D2">
              <w:t>Future Land Use Element</w:t>
            </w:r>
          </w:p>
          <w:p w:rsidR="009671FD" w:rsidRDefault="009671FD" w:rsidP="009671FD">
            <w:pPr>
              <w:pStyle w:val="TermGlossary"/>
            </w:pPr>
            <w:r w:rsidRPr="002534D2">
              <w:t>Transportation Element</w:t>
            </w:r>
          </w:p>
          <w:p w:rsidR="009671FD" w:rsidRDefault="009671FD" w:rsidP="009671FD">
            <w:pPr>
              <w:pStyle w:val="TermGlossary"/>
            </w:pPr>
            <w:r w:rsidRPr="002534D2">
              <w:t>Capital Improvements Element</w:t>
            </w:r>
          </w:p>
          <w:p w:rsidR="009671FD" w:rsidRDefault="009671FD" w:rsidP="009671FD">
            <w:pPr>
              <w:pStyle w:val="TermGlossary"/>
            </w:pPr>
            <w:r w:rsidRPr="002534D2">
              <w:t>Concurrency</w:t>
            </w:r>
          </w:p>
          <w:p w:rsidR="009671FD" w:rsidRDefault="009671FD" w:rsidP="009671FD">
            <w:pPr>
              <w:pStyle w:val="TermGlossary"/>
            </w:pPr>
            <w:r w:rsidRPr="002534D2">
              <w:t>Transportation Concurrency Exception Areas</w:t>
            </w:r>
          </w:p>
          <w:p w:rsidR="009671FD" w:rsidRDefault="009671FD" w:rsidP="009671FD">
            <w:pPr>
              <w:pStyle w:val="TermGlossary"/>
            </w:pPr>
            <w:r w:rsidRPr="002534D2">
              <w:t>Dense Urban Land Area TCEAs</w:t>
            </w:r>
          </w:p>
          <w:p w:rsidR="009671FD" w:rsidRDefault="009671FD" w:rsidP="009671FD">
            <w:pPr>
              <w:pStyle w:val="TermGlossary"/>
            </w:pPr>
            <w:r>
              <w:t>DULA</w:t>
            </w:r>
          </w:p>
          <w:p w:rsidR="009671FD" w:rsidRDefault="009671FD" w:rsidP="009671FD">
            <w:pPr>
              <w:pStyle w:val="TermGlossary"/>
            </w:pPr>
            <w:r w:rsidRPr="002534D2">
              <w:lastRenderedPageBreak/>
              <w:t>Multimodal Transportation Districts</w:t>
            </w:r>
          </w:p>
          <w:p w:rsidR="009671FD" w:rsidRDefault="009671FD" w:rsidP="009671FD">
            <w:pPr>
              <w:pStyle w:val="TermGlossary"/>
            </w:pPr>
            <w:r w:rsidRPr="002534D2">
              <w:t>Concurrency Management Systems</w:t>
            </w:r>
          </w:p>
          <w:p w:rsidR="009671FD" w:rsidRDefault="009671FD" w:rsidP="009671FD">
            <w:pPr>
              <w:pStyle w:val="TermGlossary"/>
            </w:pPr>
            <w:r w:rsidRPr="002534D2">
              <w:t>Concurrency Management Areas</w:t>
            </w:r>
          </w:p>
          <w:p w:rsidR="009671FD" w:rsidRDefault="009671FD" w:rsidP="009671FD">
            <w:pPr>
              <w:pStyle w:val="TermGlossary"/>
            </w:pPr>
            <w:r w:rsidRPr="002534D2">
              <w:t>Concurrency Backlog Authorities</w:t>
            </w:r>
          </w:p>
          <w:p w:rsidR="009671FD" w:rsidRDefault="009671FD" w:rsidP="009671FD">
            <w:pPr>
              <w:pStyle w:val="TermGlossary"/>
            </w:pPr>
            <w:r w:rsidRPr="002534D2">
              <w:t>Evaluation and Appraisal Reports</w:t>
            </w:r>
            <w:r>
              <w:t xml:space="preserve"> (EARs)</w:t>
            </w:r>
          </w:p>
          <w:p w:rsidR="009671FD" w:rsidRDefault="009671FD" w:rsidP="009671FD">
            <w:pPr>
              <w:pStyle w:val="TermGlossary"/>
            </w:pPr>
            <w:r>
              <w:t>DRI Amendments</w:t>
            </w:r>
          </w:p>
          <w:p w:rsidR="009671FD" w:rsidRDefault="009671FD" w:rsidP="009671FD">
            <w:pPr>
              <w:pStyle w:val="TermGlossary"/>
            </w:pPr>
            <w:r w:rsidRPr="002534D2">
              <w:t>RPC Assessment Report (Also referred to as Regional Report and Recommendations 9J-2.024)</w:t>
            </w:r>
          </w:p>
          <w:p w:rsidR="009671FD" w:rsidRDefault="009671FD" w:rsidP="009671FD">
            <w:pPr>
              <w:pStyle w:val="TermGlossary"/>
            </w:pPr>
            <w:r w:rsidRPr="002534D2">
              <w:t>Transportation Methodology Development</w:t>
            </w:r>
          </w:p>
          <w:p w:rsidR="009671FD" w:rsidRDefault="009671FD" w:rsidP="009671FD">
            <w:pPr>
              <w:pStyle w:val="TermGlossary"/>
            </w:pPr>
            <w:r w:rsidRPr="002534D2">
              <w:t>Pre-application Conference/Transportation Methodology</w:t>
            </w:r>
          </w:p>
          <w:p w:rsidR="009671FD" w:rsidRPr="00803378" w:rsidRDefault="009671FD" w:rsidP="009671FD">
            <w:pPr>
              <w:pStyle w:val="TermGlossary"/>
            </w:pPr>
          </w:p>
        </w:tc>
        <w:tc>
          <w:tcPr>
            <w:tcW w:w="270" w:type="dxa"/>
          </w:tcPr>
          <w:p w:rsidR="009671FD" w:rsidRPr="0089265C" w:rsidRDefault="009671FD" w:rsidP="009671FD">
            <w:pPr>
              <w:pStyle w:val="TermGlossary"/>
            </w:pPr>
          </w:p>
        </w:tc>
        <w:tc>
          <w:tcPr>
            <w:tcW w:w="8035" w:type="dxa"/>
          </w:tcPr>
          <w:p w:rsidR="009671FD" w:rsidRPr="00803378" w:rsidRDefault="009671FD" w:rsidP="009671FD">
            <w:pPr>
              <w:pStyle w:val="TermGlossaryDefine"/>
            </w:pPr>
            <w:r>
              <w:t>Terms to be defined . . . not a complete list as of 10:45 am 6/15/2010</w:t>
            </w:r>
          </w:p>
        </w:tc>
      </w:tr>
    </w:tbl>
    <w:p w:rsidR="00EF4A91" w:rsidRPr="00803378" w:rsidRDefault="00EF4A91" w:rsidP="009671FD">
      <w:pPr>
        <w:pStyle w:val="TermGlossary"/>
        <w:rPr>
          <w:rFonts w:ascii="Times New Roman" w:hAnsi="Times New Roman"/>
        </w:rPr>
      </w:pPr>
    </w:p>
    <w:p w:rsidR="005600AB" w:rsidRDefault="005600AB" w:rsidP="009671FD">
      <w:pPr>
        <w:pStyle w:val="TermGlossary"/>
      </w:pPr>
    </w:p>
    <w:sectPr w:rsidR="005600AB" w:rsidSect="002642A9">
      <w:headerReference w:type="default" r:id="rId421"/>
      <w:pgSz w:w="12240" w:h="15840"/>
      <w:pgMar w:top="1440" w:right="720" w:bottom="1530" w:left="1152"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437CB" w:rsidRDefault="000437CB" w:rsidP="00225952">
      <w:pPr>
        <w:spacing w:after="0" w:line="240" w:lineRule="auto"/>
      </w:pPr>
      <w:r>
        <w:separator/>
      </w:r>
    </w:p>
  </w:endnote>
  <w:endnote w:type="continuationSeparator" w:id="0">
    <w:p w:rsidR="000437CB" w:rsidRDefault="000437CB" w:rsidP="0022595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Futura Md BT">
    <w:altName w:val="Swis721 Hv BT"/>
    <w:panose1 w:val="020B0802020204020204"/>
    <w:charset w:val="00"/>
    <w:family w:val="swiss"/>
    <w:pitch w:val="variable"/>
    <w:sig w:usb0="00000087" w:usb1="00000000" w:usb2="00000000" w:usb3="00000000" w:csb0="0000001B"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20002A87" w:usb1="80000000" w:usb2="00000008" w:usb3="00000000" w:csb0="000001FF" w:csb1="00000000"/>
  </w:font>
  <w:font w:name="BookAntiqua">
    <w:panose1 w:val="00000000000000000000"/>
    <w:charset w:val="00"/>
    <w:family w:val="roman"/>
    <w:notTrueType/>
    <w:pitch w:val="default"/>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Verdana">
    <w:panose1 w:val="020B0604030504040204"/>
    <w:charset w:val="00"/>
    <w:family w:val="swiss"/>
    <w:pitch w:val="variable"/>
    <w:sig w:usb0="20000287" w:usb1="00000000" w:usb2="00000000" w:usb3="00000000" w:csb0="0000019F" w:csb1="00000000"/>
  </w:font>
  <w:font w:name="Calibri-Italic">
    <w:panose1 w:val="00000000000000000000"/>
    <w:charset w:val="00"/>
    <w:family w:val="swiss"/>
    <w:notTrueType/>
    <w:pitch w:val="default"/>
    <w:sig w:usb0="00000003" w:usb1="00000000" w:usb2="00000000" w:usb3="00000000" w:csb0="00000001" w:csb1="00000000"/>
  </w:font>
  <w:font w:name="Slimbach-Book">
    <w:panose1 w:val="00000000000000000000"/>
    <w:charset w:val="00"/>
    <w:family w:val="roman"/>
    <w:notTrueType/>
    <w:pitch w:val="default"/>
    <w:sig w:usb0="00000003" w:usb1="00000000" w:usb2="00000000" w:usb3="00000000" w:csb0="00000001" w:csb1="00000000"/>
  </w:font>
  <w:font w:name="TimesNewRoman">
    <w:panose1 w:val="00000000000000000000"/>
    <w:charset w:val="00"/>
    <w:family w:val="roman"/>
    <w:notTrueType/>
    <w:pitch w:val="default"/>
    <w:sig w:usb0="00000003" w:usb1="00000000" w:usb2="00000000" w:usb3="00000000" w:csb0="00000001" w:csb1="00000000"/>
  </w:font>
  <w:font w:name="NewCenturySchlbk-Roman">
    <w:panose1 w:val="00000000000000000000"/>
    <w:charset w:val="00"/>
    <w:family w:val="roman"/>
    <w:notTrueType/>
    <w:pitch w:val="default"/>
    <w:sig w:usb0="00000003" w:usb1="00000000" w:usb2="00000000" w:usb3="00000000" w:csb0="00000001" w:csb1="00000000"/>
  </w:font>
  <w:font w:name="Corbel">
    <w:panose1 w:val="020B0503020204020204"/>
    <w:charset w:val="00"/>
    <w:family w:val="swiss"/>
    <w:pitch w:val="variable"/>
    <w:sig w:usb0="A00002EF" w:usb1="4000204B" w:usb2="00000000" w:usb3="00000000" w:csb0="0000009F" w:csb1="00000000"/>
  </w:font>
  <w:font w:name="Cambria Math">
    <w:panose1 w:val="02040503050406030204"/>
    <w:charset w:val="00"/>
    <w:family w:val="roman"/>
    <w:pitch w:val="variable"/>
    <w:sig w:usb0="A00002EF" w:usb1="420020EB" w:usb2="00000000" w:usb3="00000000" w:csb0="0000009F" w:csb1="00000000"/>
  </w:font>
  <w:font w:name="TimesNewRoman,Bold">
    <w:panose1 w:val="00000000000000000000"/>
    <w:charset w:val="00"/>
    <w:family w:val="roman"/>
    <w:notTrueType/>
    <w:pitch w:val="default"/>
    <w:sig w:usb0="00000003" w:usb1="00000000" w:usb2="00000000" w:usb3="00000000" w:csb0="00000001" w:csb1="00000000"/>
  </w:font>
  <w:font w:name="FortunaCondMedium">
    <w:panose1 w:val="00000000000000000000"/>
    <w:charset w:val="00"/>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Default="00E7413B">
    <w:pPr>
      <w:pStyle w:val="Footer"/>
      <w:tabs>
        <w:tab w:val="clear" w:pos="4320"/>
        <w:tab w:val="clear" w:pos="8640"/>
      </w:tabs>
      <w:jc w:val="right"/>
      <w:rPr>
        <w:color w:val="595959" w:themeColor="text1" w:themeTint="A6"/>
      </w:rPr>
    </w:pPr>
    <w:r w:rsidRPr="00F30B41">
      <w:rPr>
        <w:b/>
        <w:color w:val="595959" w:themeColor="text1" w:themeTint="A6"/>
      </w:rPr>
      <w:t xml:space="preserve">DRAFT </w:t>
    </w:r>
    <w:r w:rsidRPr="00F30B41">
      <w:rPr>
        <w:color w:val="595959" w:themeColor="text1" w:themeTint="A6"/>
      </w:rPr>
      <w:t>TRANSPORTATION IMPACT HANDBOOK 06/1</w:t>
    </w:r>
    <w:r>
      <w:rPr>
        <w:color w:val="595959" w:themeColor="text1" w:themeTint="A6"/>
      </w:rPr>
      <w:t>5</w:t>
    </w:r>
    <w:r w:rsidRPr="00F30B41">
      <w:rPr>
        <w:color w:val="595959" w:themeColor="text1" w:themeTint="A6"/>
      </w:rPr>
      <w:t xml:space="preserve">/2010  | </w:t>
    </w:r>
    <w:r w:rsidRPr="00F30B41">
      <w:rPr>
        <w:color w:val="595959" w:themeColor="text1" w:themeTint="A6"/>
      </w:rPr>
      <w:fldChar w:fldCharType="begin"/>
    </w:r>
    <w:r w:rsidRPr="00F30B41">
      <w:rPr>
        <w:color w:val="595959" w:themeColor="text1" w:themeTint="A6"/>
      </w:rPr>
      <w:instrText xml:space="preserve"> PAGE   \* MERGEFORMAT </w:instrText>
    </w:r>
    <w:r w:rsidRPr="00F30B41">
      <w:rPr>
        <w:color w:val="595959" w:themeColor="text1" w:themeTint="A6"/>
      </w:rPr>
      <w:fldChar w:fldCharType="separate"/>
    </w:r>
    <w:r w:rsidR="009671FD">
      <w:rPr>
        <w:noProof/>
        <w:color w:val="595959" w:themeColor="text1" w:themeTint="A6"/>
      </w:rPr>
      <w:t>239</w:t>
    </w:r>
    <w:r w:rsidRPr="00F30B41">
      <w:rPr>
        <w:color w:val="595959" w:themeColor="text1" w:themeTint="A6"/>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Default="00E7413B">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Default="00E7413B">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Default="00E7413B" w:rsidP="0022595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E7413B" w:rsidRDefault="00E7413B">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Default="00E7413B">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437CB" w:rsidRDefault="000437CB" w:rsidP="00225952">
      <w:pPr>
        <w:spacing w:after="0" w:line="240" w:lineRule="auto"/>
      </w:pPr>
      <w:r>
        <w:separator/>
      </w:r>
    </w:p>
  </w:footnote>
  <w:footnote w:type="continuationSeparator" w:id="0">
    <w:p w:rsidR="000437CB" w:rsidRDefault="000437CB" w:rsidP="00225952">
      <w:pPr>
        <w:spacing w:after="0" w:line="240" w:lineRule="auto"/>
      </w:pPr>
      <w:r>
        <w:continuationSeparator/>
      </w:r>
    </w:p>
  </w:footnote>
  <w:footnote w:id="1">
    <w:p w:rsidR="00E7413B" w:rsidRPr="00BC2527" w:rsidRDefault="00E7413B" w:rsidP="00225952">
      <w:pPr>
        <w:pStyle w:val="FootnoteText"/>
      </w:pPr>
      <w:r>
        <w:rPr>
          <w:rStyle w:val="FootnoteReference"/>
        </w:rPr>
        <w:footnoteRef/>
      </w:r>
      <w:r>
        <w:t xml:space="preserve"> “</w:t>
      </w:r>
      <w:smartTag w:uri="urn:schemas-microsoft-com:office:smarttags" w:element="PlaceName">
        <w:r w:rsidRPr="009B3A92">
          <w:t>Orchard</w:t>
        </w:r>
      </w:smartTag>
      <w:r w:rsidRPr="009B3A92">
        <w:t xml:space="preserve"> </w:t>
      </w:r>
      <w:smartTag w:uri="urn:schemas-microsoft-com:office:smarttags" w:element="PlaceType">
        <w:r w:rsidRPr="009B3A92">
          <w:t>Park</w:t>
        </w:r>
      </w:smartTag>
      <w:r w:rsidRPr="009B3A92">
        <w:t xml:space="preserve"> (formerly West St. Lucie Farms) ADA-OMD Comments</w:t>
      </w:r>
      <w:r>
        <w:t>,”</w:t>
      </w:r>
      <w:r w:rsidRPr="00BC2527">
        <w:t xml:space="preserve"> Florida Department of Transportation, District 4 Office of Modal Development, </w:t>
      </w:r>
      <w:smartTag w:uri="urn:schemas-microsoft-com:office:smarttags" w:element="place">
        <w:smartTag w:uri="urn:schemas-microsoft-com:office:smarttags" w:element="PlaceType">
          <w:r w:rsidRPr="00BC2527">
            <w:t>Ft.</w:t>
          </w:r>
        </w:smartTag>
        <w:r w:rsidRPr="00BC2527">
          <w:t xml:space="preserve"> </w:t>
        </w:r>
        <w:smartTag w:uri="urn:schemas-microsoft-com:office:smarttags" w:element="PlaceName">
          <w:r w:rsidRPr="00BC2527">
            <w:t>Lauderdale</w:t>
          </w:r>
        </w:smartTag>
      </w:smartTag>
      <w:r w:rsidRPr="00BC2527">
        <w:t>, October 2005, unpublished data.</w:t>
      </w:r>
    </w:p>
    <w:p w:rsidR="00E7413B" w:rsidRDefault="00E7413B" w:rsidP="00225952">
      <w:pPr>
        <w:pStyle w:val="FootnoteText"/>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3F432A" w:rsidRDefault="00E7413B" w:rsidP="003F432A">
    <w:pPr>
      <w:pStyle w:val="Header"/>
      <w:spacing w:after="0"/>
      <w:rPr>
        <w:rFonts w:ascii="Calibri" w:hAnsi="Calibri"/>
        <w:color w:val="595959"/>
        <w:spacing w:val="-8"/>
      </w:rPr>
    </w:pPr>
    <w:r>
      <w:rPr>
        <w:rFonts w:ascii="Calibri" w:hAnsi="Calibri"/>
        <w:color w:val="595959"/>
        <w:spacing w:val="-8"/>
      </w:rPr>
      <w:t>Purpose of Transportation Impact Handbook</w: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695646" w:rsidRDefault="00E7413B" w:rsidP="00225952">
    <w:pPr>
      <w:pStyle w:val="Header"/>
      <w:spacing w:after="0"/>
      <w:rPr>
        <w:rFonts w:ascii="Calibri" w:hAnsi="Calibri"/>
        <w:color w:val="595959"/>
        <w:spacing w:val="-8"/>
      </w:rPr>
    </w:pPr>
    <w:r>
      <w:rPr>
        <w:rFonts w:ascii="Calibri" w:hAnsi="Calibri"/>
        <w:color w:val="595959"/>
        <w:spacing w:val="-8"/>
      </w:rPr>
      <w:t>Standard Site Impact Process | 2.3 Existing Conditions Analysis</w: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695646" w:rsidRDefault="00E7413B" w:rsidP="00225952">
    <w:pPr>
      <w:pStyle w:val="Header"/>
      <w:spacing w:after="0"/>
      <w:rPr>
        <w:rFonts w:ascii="Calibri" w:hAnsi="Calibri"/>
        <w:color w:val="595959"/>
        <w:spacing w:val="-8"/>
      </w:rPr>
    </w:pPr>
    <w:r>
      <w:rPr>
        <w:rFonts w:ascii="Calibri" w:hAnsi="Calibri"/>
        <w:color w:val="595959"/>
        <w:spacing w:val="-8"/>
      </w:rPr>
      <w:t>Standard Site Impact Process | 2.4</w:t>
    </w:r>
    <w:r w:rsidRPr="00472DF2">
      <w:rPr>
        <w:rFonts w:ascii="Calibri" w:hAnsi="Calibri"/>
        <w:color w:val="595959"/>
        <w:spacing w:val="-8"/>
      </w:rPr>
      <w:t xml:space="preserve">  </w:t>
    </w:r>
    <w:r>
      <w:rPr>
        <w:rFonts w:ascii="Calibri" w:hAnsi="Calibri"/>
        <w:color w:val="595959"/>
        <w:spacing w:val="-8"/>
      </w:rPr>
      <w:t xml:space="preserve"> Projecting Future Conditions</w: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695646" w:rsidRDefault="00E7413B" w:rsidP="00225952">
    <w:pPr>
      <w:pStyle w:val="Header"/>
      <w:spacing w:after="0"/>
      <w:rPr>
        <w:rFonts w:ascii="Calibri" w:hAnsi="Calibri"/>
        <w:color w:val="595959"/>
        <w:spacing w:val="-8"/>
      </w:rPr>
    </w:pPr>
    <w:r>
      <w:rPr>
        <w:rFonts w:ascii="Calibri" w:hAnsi="Calibri"/>
        <w:color w:val="595959"/>
        <w:spacing w:val="-8"/>
      </w:rPr>
      <w:t>Standard Site Impact Process | 2.5</w:t>
    </w:r>
    <w:r w:rsidRPr="00472DF2">
      <w:rPr>
        <w:rFonts w:ascii="Calibri" w:hAnsi="Calibri"/>
        <w:color w:val="595959"/>
        <w:spacing w:val="-8"/>
      </w:rPr>
      <w:t xml:space="preserve">  </w:t>
    </w:r>
    <w:r>
      <w:rPr>
        <w:rFonts w:ascii="Calibri" w:hAnsi="Calibri"/>
        <w:color w:val="595959"/>
        <w:spacing w:val="-8"/>
      </w:rPr>
      <w:t xml:space="preserve"> Trip Generation</w: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Default="00E7413B" w:rsidP="00225952">
    <w:pPr>
      <w:pStyle w:val="Header"/>
      <w:spacing w:after="0"/>
      <w:rPr>
        <w:rFonts w:ascii="Calibri" w:hAnsi="Calibri"/>
        <w:color w:val="595959"/>
        <w:spacing w:val="-8"/>
      </w:rPr>
    </w:pPr>
    <w:r>
      <w:rPr>
        <w:rFonts w:ascii="Calibri" w:hAnsi="Calibri"/>
        <w:color w:val="595959"/>
        <w:spacing w:val="-8"/>
      </w:rPr>
      <w:t>Standard Site Impact Process | 2.6</w:t>
    </w:r>
    <w:r w:rsidRPr="00472DF2">
      <w:rPr>
        <w:rFonts w:ascii="Calibri" w:hAnsi="Calibri"/>
        <w:color w:val="595959"/>
        <w:spacing w:val="-8"/>
      </w:rPr>
      <w:t xml:space="preserve">  </w:t>
    </w:r>
    <w:r>
      <w:rPr>
        <w:rFonts w:ascii="Calibri" w:hAnsi="Calibri"/>
        <w:color w:val="595959"/>
        <w:spacing w:val="-8"/>
      </w:rPr>
      <w:t xml:space="preserve"> Trip Distribution</w:t>
    </w:r>
  </w:p>
  <w:p w:rsidR="00E7413B" w:rsidRPr="00695646" w:rsidRDefault="00E7413B" w:rsidP="00225952">
    <w:pPr>
      <w:pStyle w:val="Header"/>
      <w:spacing w:after="0"/>
      <w:rPr>
        <w:rFonts w:ascii="Calibri" w:hAnsi="Calibri"/>
        <w:color w:val="595959"/>
        <w:spacing w:val="-8"/>
      </w:rPr>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Default="00E7413B" w:rsidP="00225952">
    <w:pPr>
      <w:pStyle w:val="Header"/>
      <w:spacing w:after="0"/>
      <w:rPr>
        <w:rFonts w:ascii="Calibri" w:hAnsi="Calibri"/>
        <w:color w:val="595959"/>
        <w:spacing w:val="-8"/>
      </w:rPr>
    </w:pPr>
    <w:r>
      <w:rPr>
        <w:rFonts w:ascii="Calibri" w:hAnsi="Calibri"/>
        <w:color w:val="595959"/>
        <w:spacing w:val="-8"/>
      </w:rPr>
      <w:t>Standard Site Impact Process | 2.7  Mode Split</w:t>
    </w:r>
  </w:p>
  <w:p w:rsidR="00E7413B" w:rsidRPr="00695646" w:rsidRDefault="00E7413B" w:rsidP="00225952">
    <w:pPr>
      <w:pStyle w:val="Header"/>
      <w:spacing w:after="0"/>
      <w:rPr>
        <w:rFonts w:ascii="Calibri" w:hAnsi="Calibri"/>
        <w:color w:val="595959"/>
        <w:spacing w:val="-8"/>
      </w:rP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Default="00E7413B" w:rsidP="00225952">
    <w:pPr>
      <w:pStyle w:val="Header"/>
      <w:spacing w:after="0"/>
      <w:rPr>
        <w:rFonts w:ascii="Calibri" w:hAnsi="Calibri"/>
        <w:color w:val="595959"/>
        <w:spacing w:val="-8"/>
      </w:rPr>
    </w:pPr>
    <w:r>
      <w:rPr>
        <w:rFonts w:ascii="Calibri" w:hAnsi="Calibri"/>
        <w:color w:val="595959"/>
        <w:spacing w:val="-8"/>
      </w:rPr>
      <w:t>Standard Site Impact Process | 2.8  Trip Assignment</w:t>
    </w:r>
  </w:p>
  <w:p w:rsidR="00E7413B" w:rsidRPr="00695646" w:rsidRDefault="00E7413B" w:rsidP="00225952">
    <w:pPr>
      <w:pStyle w:val="Header"/>
      <w:spacing w:after="0"/>
      <w:rPr>
        <w:rFonts w:ascii="Calibri" w:hAnsi="Calibri"/>
        <w:color w:val="595959"/>
        <w:spacing w:val="-8"/>
      </w:rPr>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Default="00E7413B" w:rsidP="00225952">
    <w:pPr>
      <w:pStyle w:val="Header"/>
      <w:spacing w:after="0"/>
      <w:rPr>
        <w:rFonts w:ascii="Calibri" w:hAnsi="Calibri"/>
        <w:color w:val="595959"/>
        <w:spacing w:val="-8"/>
      </w:rPr>
    </w:pPr>
    <w:r>
      <w:rPr>
        <w:rFonts w:ascii="Calibri" w:hAnsi="Calibri"/>
        <w:color w:val="595959"/>
        <w:spacing w:val="-8"/>
      </w:rPr>
      <w:t>Standard Site Impact Process | 2.8  Trip Assignment</w:t>
    </w:r>
  </w:p>
  <w:p w:rsidR="00E7413B" w:rsidRPr="00695646" w:rsidRDefault="00E7413B" w:rsidP="00225952">
    <w:pPr>
      <w:pStyle w:val="Header"/>
      <w:spacing w:after="0"/>
      <w:rPr>
        <w:rFonts w:ascii="Calibri" w:hAnsi="Calibri"/>
        <w:color w:val="595959"/>
        <w:spacing w:val="-8"/>
      </w:rPr>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Default="00E7413B" w:rsidP="00225952">
    <w:pPr>
      <w:spacing w:after="60"/>
      <w:rPr>
        <w:rFonts w:ascii="Trebuchet MS" w:hAnsi="Trebuchet MS"/>
        <w:b/>
        <w:smallCaps/>
        <w:sz w:val="20"/>
      </w:rPr>
    </w:pPr>
    <w:r w:rsidRPr="002D0005">
      <w:rPr>
        <w:rFonts w:ascii="Trebuchet MS" w:hAnsi="Trebuchet MS"/>
        <w:b/>
        <w:smallCaps/>
        <w:sz w:val="20"/>
      </w:rPr>
      <w:t>Documenting Improved Mobility Techniques on SIS and TRIP Facilities: A Guide to Mitigation</w:t>
    </w:r>
  </w:p>
  <w:p w:rsidR="00E7413B" w:rsidRPr="002D0005" w:rsidRDefault="00E7413B" w:rsidP="00225952">
    <w:pPr>
      <w:spacing w:after="60"/>
      <w:rPr>
        <w:rFonts w:ascii="Trebuchet MS" w:hAnsi="Trebuchet MS"/>
        <w:b/>
        <w:smallCaps/>
        <w:sz w:val="20"/>
      </w:rPr>
    </w:pPr>
    <w:r>
      <w:rPr>
        <w:rFonts w:ascii="Trebuchet MS" w:hAnsi="Trebuchet MS"/>
        <w:b/>
        <w:smallCaps/>
        <w:sz w:val="20"/>
      </w:rPr>
      <w:t>Part II – Technical Memorandum 2</w:t>
    </w:r>
  </w:p>
  <w:p w:rsidR="00E7413B" w:rsidRPr="004B4983" w:rsidRDefault="00E7413B" w:rsidP="00225952">
    <w:pPr>
      <w:spacing w:after="60"/>
      <w:rPr>
        <w:rFonts w:ascii="Trebuchet MS" w:hAnsi="Trebuchet MS"/>
        <w:b/>
        <w:smallCaps/>
        <w:sz w:val="20"/>
      </w:rPr>
    </w:pPr>
    <w:r>
      <w:rPr>
        <w:rFonts w:ascii="Trebuchet MS" w:hAnsi="Trebuchet MS"/>
        <w:b/>
        <w:smallCaps/>
        <w:sz w:val="20"/>
      </w:rPr>
      <w:t>Attachment I-B – C</w:t>
    </w:r>
    <w:r w:rsidRPr="002D0005">
      <w:rPr>
        <w:rFonts w:ascii="Trebuchet MS" w:hAnsi="Trebuchet MS"/>
        <w:b/>
        <w:smallCaps/>
        <w:sz w:val="20"/>
      </w:rPr>
      <w:t xml:space="preserve">omprehensive </w:t>
    </w:r>
    <w:r>
      <w:rPr>
        <w:rFonts w:ascii="Trebuchet MS" w:hAnsi="Trebuchet MS"/>
        <w:b/>
        <w:smallCaps/>
        <w:sz w:val="20"/>
      </w:rPr>
      <w:t>P</w:t>
    </w:r>
    <w:r w:rsidRPr="002D0005">
      <w:rPr>
        <w:rFonts w:ascii="Trebuchet MS" w:hAnsi="Trebuchet MS"/>
        <w:b/>
        <w:smallCaps/>
        <w:sz w:val="20"/>
      </w:rPr>
      <w:t xml:space="preserve">lan </w:t>
    </w:r>
    <w:r>
      <w:rPr>
        <w:rFonts w:ascii="Trebuchet MS" w:hAnsi="Trebuchet MS"/>
        <w:b/>
        <w:smallCaps/>
        <w:sz w:val="20"/>
      </w:rPr>
      <w:t>R</w:t>
    </w:r>
    <w:r w:rsidRPr="002D0005">
      <w:rPr>
        <w:rFonts w:ascii="Trebuchet MS" w:hAnsi="Trebuchet MS"/>
        <w:b/>
        <w:smallCaps/>
        <w:sz w:val="20"/>
      </w:rPr>
      <w:t xml:space="preserve">eview </w:t>
    </w:r>
    <w:r>
      <w:rPr>
        <w:rFonts w:ascii="Trebuchet MS" w:hAnsi="Trebuchet MS"/>
        <w:b/>
        <w:smallCaps/>
        <w:sz w:val="20"/>
      </w:rPr>
      <w:t>P</w:t>
    </w:r>
    <w:r w:rsidRPr="002D0005">
      <w:rPr>
        <w:rFonts w:ascii="Trebuchet MS" w:hAnsi="Trebuchet MS"/>
        <w:b/>
        <w:smallCaps/>
        <w:sz w:val="20"/>
      </w:rPr>
      <w:t xml:space="preserve">rocess and </w:t>
    </w:r>
    <w:r>
      <w:rPr>
        <w:rFonts w:ascii="Trebuchet MS" w:hAnsi="Trebuchet MS"/>
        <w:b/>
        <w:smallCaps/>
        <w:sz w:val="20"/>
      </w:rPr>
      <w:t>Schedule</w: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695646" w:rsidRDefault="00E7413B" w:rsidP="00225952">
    <w:pPr>
      <w:pStyle w:val="Header"/>
      <w:spacing w:after="0"/>
      <w:rPr>
        <w:rFonts w:ascii="Calibri" w:hAnsi="Calibri"/>
        <w:color w:val="595959"/>
        <w:spacing w:val="-8"/>
      </w:rPr>
    </w:pPr>
    <w:r>
      <w:rPr>
        <w:rFonts w:ascii="Calibri" w:hAnsi="Calibri"/>
        <w:color w:val="595959"/>
        <w:spacing w:val="-8"/>
      </w:rPr>
      <w:t>Standard Site Impact Process | 2.9  Future Conditions</w:t>
    </w:r>
  </w:p>
  <w:p w:rsidR="00E7413B" w:rsidRDefault="00E7413B">
    <w:pPr>
      <w:tabs>
        <w:tab w:val="left" w:pos="6705"/>
      </w:tabs>
      <w:spacing w:after="60"/>
      <w:ind w:left="360"/>
      <w:rPr>
        <w:rFonts w:ascii="Trebuchet MS" w:hAnsi="Trebuchet MS"/>
        <w:b/>
        <w:smallCaps/>
        <w:sz w:val="20"/>
      </w:rPr>
    </w:pPr>
    <w:r>
      <w:rPr>
        <w:rFonts w:ascii="Trebuchet MS" w:hAnsi="Trebuchet MS"/>
        <w:b/>
        <w:smallCaps/>
        <w:sz w:val="20"/>
      </w:rPr>
      <w:tab/>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Default="00E7413B">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3F432A" w:rsidRDefault="00E7413B" w:rsidP="003F432A">
    <w:pPr>
      <w:pStyle w:val="Header"/>
      <w:spacing w:after="0"/>
      <w:rPr>
        <w:rFonts w:ascii="Calibri" w:hAnsi="Calibri"/>
        <w:color w:val="595959"/>
        <w:spacing w:val="-8"/>
      </w:rPr>
    </w:pPr>
    <w:r>
      <w:rPr>
        <w:rFonts w:ascii="Calibri" w:hAnsi="Calibri"/>
        <w:color w:val="595959"/>
        <w:spacing w:val="-8"/>
      </w:rPr>
      <w:t>TABLE OF CONTENTS</w: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Default="00E7413B" w:rsidP="007A0AB2">
    <w:pPr>
      <w:tabs>
        <w:tab w:val="left" w:pos="6705"/>
      </w:tabs>
      <w:spacing w:after="60"/>
      <w:rPr>
        <w:rFonts w:ascii="Trebuchet MS" w:hAnsi="Trebuchet MS"/>
        <w:b/>
        <w:smallCaps/>
        <w:sz w:val="20"/>
      </w:rPr>
    </w:pPr>
    <w:r>
      <w:rPr>
        <w:rFonts w:ascii="Calibri" w:hAnsi="Calibri"/>
        <w:color w:val="595959"/>
        <w:spacing w:val="-8"/>
      </w:rPr>
      <w:t xml:space="preserve">Standard Site Impact Process | </w:t>
    </w:r>
    <w:r w:rsidRPr="0021455D">
      <w:rPr>
        <w:rFonts w:ascii="Calibri" w:eastAsia="Calibri" w:hAnsi="Calibri" w:cs="Times New Roman"/>
        <w:color w:val="595959"/>
        <w:spacing w:val="-8"/>
        <w:szCs w:val="20"/>
      </w:rPr>
      <w:t>2.</w:t>
    </w:r>
    <w:r>
      <w:rPr>
        <w:rFonts w:ascii="Calibri" w:eastAsia="Calibri" w:hAnsi="Calibri" w:cs="Times New Roman"/>
        <w:color w:val="595959"/>
        <w:spacing w:val="-8"/>
        <w:szCs w:val="20"/>
      </w:rPr>
      <w:t>10</w:t>
    </w:r>
    <w:r w:rsidRPr="0021455D">
      <w:rPr>
        <w:rFonts w:ascii="Calibri" w:eastAsia="Calibri" w:hAnsi="Calibri" w:cs="Times New Roman"/>
        <w:color w:val="595959"/>
        <w:spacing w:val="-8"/>
        <w:szCs w:val="20"/>
      </w:rPr>
      <w:t xml:space="preserve"> Access Management, Site Access, and Internal Circulation</w:t>
    </w:r>
    <w:r>
      <w:rPr>
        <w:rFonts w:ascii="Trebuchet MS" w:hAnsi="Trebuchet MS"/>
        <w:b/>
        <w:smallCaps/>
        <w:sz w:val="20"/>
      </w:rPr>
      <w:tab/>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695646" w:rsidRDefault="00E7413B" w:rsidP="00225952">
    <w:pPr>
      <w:pStyle w:val="Header"/>
      <w:spacing w:after="0"/>
      <w:rPr>
        <w:rFonts w:ascii="Calibri" w:hAnsi="Calibri"/>
        <w:color w:val="595959"/>
        <w:spacing w:val="-8"/>
      </w:rPr>
    </w:pPr>
    <w:r>
      <w:rPr>
        <w:rFonts w:ascii="Calibri" w:hAnsi="Calibri"/>
        <w:color w:val="595959"/>
        <w:spacing w:val="-8"/>
      </w:rPr>
      <w:t xml:space="preserve">LGCP Reviews | </w:t>
    </w:r>
    <w:r w:rsidRPr="00EF76FE">
      <w:rPr>
        <w:rFonts w:ascii="Calibri" w:hAnsi="Calibri"/>
        <w:color w:val="595959"/>
        <w:spacing w:val="-8"/>
      </w:rPr>
      <w:t>3.1 Comprehensive Plans and Plan Amendments</w:t>
    </w:r>
  </w:p>
  <w:p w:rsidR="00E7413B" w:rsidRDefault="00E7413B">
    <w:pPr>
      <w:tabs>
        <w:tab w:val="left" w:pos="6705"/>
      </w:tabs>
      <w:spacing w:after="60"/>
      <w:ind w:left="360"/>
      <w:rPr>
        <w:rFonts w:ascii="Trebuchet MS" w:hAnsi="Trebuchet MS"/>
        <w:b/>
        <w:smallCaps/>
        <w:sz w:val="20"/>
      </w:rPr>
    </w:pPr>
    <w:r>
      <w:rPr>
        <w:rFonts w:ascii="Trebuchet MS" w:hAnsi="Trebuchet MS"/>
        <w:b/>
        <w:smallCaps/>
        <w:sz w:val="20"/>
      </w:rPr>
      <w:tab/>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695646" w:rsidRDefault="00E7413B" w:rsidP="00225952">
    <w:pPr>
      <w:pStyle w:val="Header"/>
      <w:spacing w:after="0"/>
      <w:rPr>
        <w:rFonts w:ascii="Calibri" w:hAnsi="Calibri"/>
        <w:color w:val="595959"/>
        <w:spacing w:val="-8"/>
      </w:rPr>
    </w:pPr>
    <w:r>
      <w:rPr>
        <w:rFonts w:ascii="Calibri" w:hAnsi="Calibri"/>
        <w:color w:val="595959"/>
        <w:spacing w:val="-8"/>
      </w:rPr>
      <w:t xml:space="preserve">LGCP Reviews | </w:t>
    </w:r>
    <w:r w:rsidRPr="00F17514">
      <w:rPr>
        <w:rFonts w:ascii="Calibri" w:hAnsi="Calibri"/>
        <w:color w:val="595959"/>
        <w:spacing w:val="-8"/>
      </w:rPr>
      <w:t>3.2 The Comprehensive Plan Amendment Process</w:t>
    </w:r>
  </w:p>
  <w:p w:rsidR="00E7413B" w:rsidRDefault="00E7413B">
    <w:pPr>
      <w:tabs>
        <w:tab w:val="left" w:pos="6705"/>
      </w:tabs>
      <w:spacing w:after="60"/>
      <w:ind w:left="360"/>
      <w:rPr>
        <w:rFonts w:ascii="Trebuchet MS" w:hAnsi="Trebuchet MS"/>
        <w:b/>
        <w:smallCaps/>
        <w:sz w:val="20"/>
      </w:rPr>
    </w:pPr>
    <w:r>
      <w:rPr>
        <w:rFonts w:ascii="Trebuchet MS" w:hAnsi="Trebuchet MS"/>
        <w:b/>
        <w:smallCaps/>
        <w:sz w:val="20"/>
      </w:rPr>
      <w:tab/>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695646" w:rsidRDefault="00E7413B" w:rsidP="00225952">
    <w:pPr>
      <w:pStyle w:val="Header"/>
      <w:spacing w:after="0"/>
      <w:rPr>
        <w:rFonts w:ascii="Calibri" w:hAnsi="Calibri"/>
        <w:color w:val="595959"/>
        <w:spacing w:val="-8"/>
      </w:rPr>
    </w:pPr>
    <w:r>
      <w:rPr>
        <w:rFonts w:ascii="Calibri" w:hAnsi="Calibri"/>
        <w:color w:val="595959"/>
        <w:spacing w:val="-8"/>
      </w:rPr>
      <w:t xml:space="preserve">LGCP Reviews | </w:t>
    </w:r>
    <w:r w:rsidRPr="00F17514">
      <w:rPr>
        <w:rFonts w:ascii="Calibri" w:hAnsi="Calibri"/>
        <w:color w:val="595959"/>
        <w:spacing w:val="-8"/>
      </w:rPr>
      <w:t>3.3 Review of FLUM Amendments</w:t>
    </w:r>
  </w:p>
  <w:p w:rsidR="00E7413B" w:rsidRDefault="00E7413B">
    <w:pPr>
      <w:tabs>
        <w:tab w:val="left" w:pos="6705"/>
      </w:tabs>
      <w:spacing w:after="60"/>
      <w:ind w:left="360"/>
      <w:rPr>
        <w:rFonts w:ascii="Trebuchet MS" w:hAnsi="Trebuchet MS"/>
        <w:b/>
        <w:smallCaps/>
        <w:sz w:val="20"/>
      </w:rPr>
    </w:pPr>
    <w:r>
      <w:rPr>
        <w:rFonts w:ascii="Trebuchet MS" w:hAnsi="Trebuchet MS"/>
        <w:b/>
        <w:smallCaps/>
        <w:sz w:val="20"/>
      </w:rPr>
      <w:tab/>
    </w: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695646" w:rsidRDefault="00E7413B" w:rsidP="00225952">
    <w:pPr>
      <w:pStyle w:val="Header"/>
      <w:spacing w:after="0"/>
      <w:rPr>
        <w:rFonts w:ascii="Calibri" w:hAnsi="Calibri"/>
        <w:color w:val="595959"/>
        <w:spacing w:val="-8"/>
      </w:rPr>
    </w:pPr>
    <w:r>
      <w:rPr>
        <w:rFonts w:ascii="Calibri" w:hAnsi="Calibri"/>
        <w:color w:val="595959"/>
        <w:spacing w:val="-8"/>
      </w:rPr>
      <w:t xml:space="preserve">LGCP Reviews | </w:t>
    </w:r>
    <w:r w:rsidRPr="00F17514">
      <w:rPr>
        <w:rFonts w:ascii="Calibri" w:hAnsi="Calibri"/>
        <w:color w:val="595959"/>
        <w:spacing w:val="-8"/>
      </w:rPr>
      <w:t>3.4 Review of Text Amendments</w:t>
    </w:r>
  </w:p>
  <w:p w:rsidR="00E7413B" w:rsidRDefault="00E7413B">
    <w:pPr>
      <w:tabs>
        <w:tab w:val="left" w:pos="6705"/>
      </w:tabs>
      <w:spacing w:after="60"/>
      <w:ind w:left="360"/>
      <w:rPr>
        <w:rFonts w:ascii="Trebuchet MS" w:hAnsi="Trebuchet MS"/>
        <w:b/>
        <w:smallCaps/>
        <w:sz w:val="20"/>
      </w:rPr>
    </w:pPr>
    <w:r>
      <w:rPr>
        <w:rFonts w:ascii="Trebuchet MS" w:hAnsi="Trebuchet MS"/>
        <w:b/>
        <w:smallCaps/>
        <w:sz w:val="20"/>
      </w:rPr>
      <w:tab/>
    </w: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695646" w:rsidRDefault="00E7413B" w:rsidP="00225952">
    <w:pPr>
      <w:pStyle w:val="Header"/>
      <w:spacing w:after="0"/>
      <w:rPr>
        <w:rFonts w:ascii="Calibri" w:hAnsi="Calibri"/>
        <w:color w:val="595959"/>
        <w:spacing w:val="-8"/>
      </w:rPr>
    </w:pPr>
    <w:r>
      <w:rPr>
        <w:rFonts w:ascii="Calibri" w:hAnsi="Calibri"/>
        <w:color w:val="595959"/>
        <w:spacing w:val="-8"/>
      </w:rPr>
      <w:t xml:space="preserve">LGCP Reviews | </w:t>
    </w:r>
    <w:r w:rsidRPr="00F17514">
      <w:rPr>
        <w:rFonts w:ascii="Calibri" w:hAnsi="Calibri"/>
        <w:color w:val="595959"/>
        <w:spacing w:val="-8"/>
      </w:rPr>
      <w:t>3.6 Transportation Element</w:t>
    </w:r>
  </w:p>
  <w:p w:rsidR="00E7413B" w:rsidRDefault="00E7413B">
    <w:pPr>
      <w:tabs>
        <w:tab w:val="left" w:pos="6705"/>
      </w:tabs>
      <w:spacing w:after="60"/>
      <w:ind w:left="360"/>
      <w:rPr>
        <w:rFonts w:ascii="Trebuchet MS" w:hAnsi="Trebuchet MS"/>
        <w:b/>
        <w:smallCaps/>
        <w:sz w:val="20"/>
      </w:rPr>
    </w:pPr>
    <w:r>
      <w:rPr>
        <w:rFonts w:ascii="Trebuchet MS" w:hAnsi="Trebuchet MS"/>
        <w:b/>
        <w:smallCaps/>
        <w:sz w:val="20"/>
      </w:rPr>
      <w:tab/>
    </w: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695646" w:rsidRDefault="00E7413B" w:rsidP="00225952">
    <w:pPr>
      <w:pStyle w:val="Header"/>
      <w:spacing w:after="0"/>
      <w:rPr>
        <w:rFonts w:ascii="Calibri" w:hAnsi="Calibri"/>
        <w:color w:val="595959"/>
        <w:spacing w:val="-8"/>
      </w:rPr>
    </w:pPr>
    <w:r>
      <w:rPr>
        <w:rFonts w:ascii="Calibri" w:hAnsi="Calibri"/>
        <w:color w:val="595959"/>
        <w:spacing w:val="-8"/>
      </w:rPr>
      <w:t xml:space="preserve">LGCP Reviews | </w:t>
    </w:r>
    <w:r w:rsidRPr="00F17514">
      <w:rPr>
        <w:rFonts w:ascii="Calibri" w:hAnsi="Calibri"/>
        <w:color w:val="595959"/>
        <w:spacing w:val="-8"/>
      </w:rPr>
      <w:t>3.</w:t>
    </w:r>
    <w:r>
      <w:rPr>
        <w:rFonts w:ascii="Calibri" w:hAnsi="Calibri"/>
        <w:color w:val="595959"/>
        <w:spacing w:val="-8"/>
      </w:rPr>
      <w:t>7</w:t>
    </w:r>
    <w:r w:rsidRPr="00F17514">
      <w:rPr>
        <w:rFonts w:ascii="Calibri" w:hAnsi="Calibri"/>
        <w:color w:val="595959"/>
        <w:spacing w:val="-8"/>
      </w:rPr>
      <w:t xml:space="preserve"> </w:t>
    </w:r>
    <w:r>
      <w:rPr>
        <w:rFonts w:ascii="Calibri" w:hAnsi="Calibri"/>
        <w:color w:val="595959"/>
        <w:spacing w:val="-8"/>
      </w:rPr>
      <w:t xml:space="preserve"> Capital Improvements</w:t>
    </w:r>
    <w:r w:rsidRPr="00F17514">
      <w:rPr>
        <w:rFonts w:ascii="Calibri" w:hAnsi="Calibri"/>
        <w:color w:val="595959"/>
        <w:spacing w:val="-8"/>
      </w:rPr>
      <w:t xml:space="preserve"> Element</w:t>
    </w:r>
  </w:p>
  <w:p w:rsidR="00E7413B" w:rsidRDefault="00E7413B">
    <w:pPr>
      <w:tabs>
        <w:tab w:val="left" w:pos="6705"/>
      </w:tabs>
      <w:spacing w:after="60"/>
      <w:ind w:left="360"/>
      <w:rPr>
        <w:rFonts w:ascii="Trebuchet MS" w:hAnsi="Trebuchet MS"/>
        <w:b/>
        <w:smallCaps/>
        <w:sz w:val="20"/>
      </w:rPr>
    </w:pPr>
    <w:r>
      <w:rPr>
        <w:rFonts w:ascii="Trebuchet MS" w:hAnsi="Trebuchet MS"/>
        <w:b/>
        <w:smallCaps/>
        <w:sz w:val="20"/>
      </w:rPr>
      <w:tab/>
    </w: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695646" w:rsidRDefault="00E7413B" w:rsidP="00225952">
    <w:pPr>
      <w:pStyle w:val="Header"/>
      <w:spacing w:after="0"/>
      <w:rPr>
        <w:rFonts w:ascii="Calibri" w:hAnsi="Calibri"/>
        <w:color w:val="595959"/>
        <w:spacing w:val="-8"/>
      </w:rPr>
    </w:pPr>
    <w:r>
      <w:rPr>
        <w:rFonts w:ascii="Calibri" w:hAnsi="Calibri"/>
        <w:color w:val="595959"/>
        <w:spacing w:val="-8"/>
      </w:rPr>
      <w:t xml:space="preserve">LGCP Reviews | </w:t>
    </w:r>
    <w:r>
      <w:rPr>
        <w:lang w:eastAsia="ko-KR"/>
      </w:rPr>
      <w:t xml:space="preserve">3.7 </w:t>
    </w:r>
    <w:r w:rsidRPr="008C6101">
      <w:rPr>
        <w:lang w:eastAsia="ko-KR"/>
      </w:rPr>
      <w:t>Capital Improvements Element</w:t>
    </w:r>
  </w:p>
  <w:p w:rsidR="00E7413B" w:rsidRDefault="00E7413B">
    <w:pPr>
      <w:tabs>
        <w:tab w:val="left" w:pos="6705"/>
      </w:tabs>
      <w:spacing w:after="60"/>
      <w:ind w:left="360"/>
      <w:rPr>
        <w:rFonts w:ascii="Trebuchet MS" w:hAnsi="Trebuchet MS"/>
        <w:b/>
        <w:smallCaps/>
        <w:sz w:val="20"/>
      </w:rPr>
    </w:pPr>
    <w:r>
      <w:rPr>
        <w:rFonts w:ascii="Trebuchet MS" w:hAnsi="Trebuchet MS"/>
        <w:b/>
        <w:smallCaps/>
        <w:sz w:val="20"/>
      </w:rPr>
      <w:tab/>
    </w: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695646" w:rsidRDefault="00E7413B" w:rsidP="00225952">
    <w:pPr>
      <w:pStyle w:val="Header"/>
      <w:spacing w:after="0"/>
      <w:rPr>
        <w:rFonts w:ascii="Calibri" w:hAnsi="Calibri"/>
        <w:color w:val="595959"/>
        <w:spacing w:val="-8"/>
      </w:rPr>
    </w:pPr>
    <w:r>
      <w:rPr>
        <w:rFonts w:ascii="Calibri" w:hAnsi="Calibri"/>
        <w:color w:val="595959"/>
        <w:spacing w:val="-8"/>
      </w:rPr>
      <w:t xml:space="preserve">LGCP Reviews | </w:t>
    </w:r>
    <w:r w:rsidRPr="00F17514">
      <w:rPr>
        <w:rFonts w:ascii="Calibri" w:hAnsi="Calibri"/>
        <w:color w:val="595959"/>
        <w:spacing w:val="-8"/>
      </w:rPr>
      <w:t>3.8 Transportation Concurrency-Related Amendments</w:t>
    </w:r>
  </w:p>
  <w:p w:rsidR="00E7413B" w:rsidRDefault="00E7413B">
    <w:pPr>
      <w:tabs>
        <w:tab w:val="left" w:pos="6705"/>
      </w:tabs>
      <w:spacing w:after="60"/>
      <w:ind w:left="360"/>
      <w:rPr>
        <w:rFonts w:ascii="Trebuchet MS" w:hAnsi="Trebuchet MS"/>
        <w:b/>
        <w:smallCaps/>
        <w:sz w:val="20"/>
      </w:rPr>
    </w:pPr>
    <w:r>
      <w:rPr>
        <w:rFonts w:ascii="Trebuchet MS" w:hAnsi="Trebuchet MS"/>
        <w:b/>
        <w:smallCaps/>
        <w:sz w:val="20"/>
      </w:rPr>
      <w:tab/>
    </w: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3F432A" w:rsidRDefault="00E7413B" w:rsidP="003F432A">
    <w:pPr>
      <w:pStyle w:val="Header"/>
      <w:spacing w:after="0"/>
      <w:rPr>
        <w:rFonts w:ascii="Calibri" w:hAnsi="Calibri"/>
        <w:color w:val="595959"/>
        <w:spacing w:val="-8"/>
      </w:rPr>
    </w:pPr>
    <w:r>
      <w:rPr>
        <w:rFonts w:ascii="Calibri" w:hAnsi="Calibri"/>
        <w:color w:val="595959"/>
        <w:spacing w:val="-8"/>
      </w:rPr>
      <w:t xml:space="preserve">LGCP Reviews | </w:t>
    </w:r>
    <w:r w:rsidRPr="00F17514">
      <w:rPr>
        <w:rFonts w:ascii="Calibri" w:hAnsi="Calibri"/>
        <w:color w:val="595959"/>
        <w:spacing w:val="-8"/>
      </w:rPr>
      <w:t>3.9 Other Local Government Comprehensive Plan Reviews</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3F432A" w:rsidRDefault="00E7413B" w:rsidP="003F432A">
    <w:pPr>
      <w:pStyle w:val="Header"/>
      <w:spacing w:after="0"/>
      <w:rPr>
        <w:rFonts w:ascii="Calibri" w:hAnsi="Calibri"/>
        <w:color w:val="595959"/>
        <w:spacing w:val="-8"/>
      </w:rPr>
    </w:pPr>
    <w:r>
      <w:rPr>
        <w:rFonts w:ascii="Calibri" w:hAnsi="Calibri"/>
        <w:color w:val="595959"/>
        <w:spacing w:val="-8"/>
      </w:rPr>
      <w:t>TABLE OF CONTENTS</w:t>
    </w: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695646" w:rsidRDefault="00E7413B" w:rsidP="00225952">
    <w:pPr>
      <w:pStyle w:val="Header"/>
      <w:spacing w:after="0"/>
      <w:rPr>
        <w:rFonts w:ascii="Calibri" w:hAnsi="Calibri"/>
        <w:color w:val="595959"/>
        <w:spacing w:val="-8"/>
      </w:rPr>
    </w:pPr>
    <w:r>
      <w:rPr>
        <w:rFonts w:ascii="Calibri" w:hAnsi="Calibri"/>
        <w:color w:val="595959"/>
        <w:spacing w:val="-8"/>
      </w:rPr>
      <w:t xml:space="preserve">LGCP Reviews | </w:t>
    </w:r>
    <w:r w:rsidRPr="00F17514">
      <w:rPr>
        <w:rFonts w:ascii="Calibri" w:hAnsi="Calibri"/>
        <w:color w:val="595959"/>
        <w:spacing w:val="-8"/>
      </w:rPr>
      <w:t>Resource Guide 1.  Legal Authority for Department Review</w:t>
    </w:r>
  </w:p>
  <w:p w:rsidR="00E7413B" w:rsidRDefault="00E7413B">
    <w:pPr>
      <w:tabs>
        <w:tab w:val="left" w:pos="6705"/>
      </w:tabs>
      <w:spacing w:after="60"/>
      <w:ind w:left="360"/>
      <w:rPr>
        <w:rFonts w:ascii="Trebuchet MS" w:hAnsi="Trebuchet MS"/>
        <w:b/>
        <w:smallCaps/>
        <w:sz w:val="20"/>
      </w:rPr>
    </w:pPr>
    <w:r>
      <w:rPr>
        <w:rFonts w:ascii="Trebuchet MS" w:hAnsi="Trebuchet MS"/>
        <w:b/>
        <w:smallCaps/>
        <w:sz w:val="20"/>
      </w:rPr>
      <w:tab/>
    </w: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695646" w:rsidRDefault="00E7413B" w:rsidP="00225952">
    <w:pPr>
      <w:pStyle w:val="Header"/>
      <w:spacing w:after="0"/>
      <w:rPr>
        <w:rFonts w:ascii="Calibri" w:hAnsi="Calibri"/>
        <w:color w:val="595959"/>
        <w:spacing w:val="-8"/>
      </w:rPr>
    </w:pPr>
    <w:r>
      <w:rPr>
        <w:rFonts w:ascii="Calibri" w:hAnsi="Calibri"/>
        <w:color w:val="595959"/>
        <w:spacing w:val="-8"/>
      </w:rPr>
      <w:t>LGCP Reviews | Resource Guide</w:t>
    </w:r>
    <w:r w:rsidRPr="00F17514">
      <w:rPr>
        <w:rFonts w:ascii="Calibri" w:hAnsi="Calibri"/>
        <w:color w:val="595959"/>
        <w:spacing w:val="-8"/>
      </w:rPr>
      <w:t xml:space="preserve"> 2</w:t>
    </w:r>
    <w:r>
      <w:rPr>
        <w:rFonts w:ascii="Calibri" w:hAnsi="Calibri"/>
        <w:color w:val="595959"/>
        <w:spacing w:val="-8"/>
      </w:rPr>
      <w:t xml:space="preserve">. </w:t>
    </w:r>
    <w:r w:rsidRPr="00F17514">
      <w:rPr>
        <w:rFonts w:ascii="Calibri" w:hAnsi="Calibri"/>
        <w:color w:val="595959"/>
        <w:spacing w:val="-8"/>
      </w:rPr>
      <w:t xml:space="preserve">  Online Resources</w:t>
    </w:r>
  </w:p>
  <w:p w:rsidR="00E7413B" w:rsidRDefault="00E7413B">
    <w:pPr>
      <w:tabs>
        <w:tab w:val="left" w:pos="6705"/>
      </w:tabs>
      <w:spacing w:after="60"/>
      <w:ind w:left="360"/>
      <w:rPr>
        <w:rFonts w:ascii="Trebuchet MS" w:hAnsi="Trebuchet MS"/>
        <w:b/>
        <w:smallCaps/>
        <w:sz w:val="20"/>
      </w:rPr>
    </w:pPr>
    <w:r>
      <w:rPr>
        <w:rFonts w:ascii="Trebuchet MS" w:hAnsi="Trebuchet MS"/>
        <w:b/>
        <w:smallCaps/>
        <w:sz w:val="20"/>
      </w:rPr>
      <w:tab/>
    </w: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695646" w:rsidRDefault="00E7413B" w:rsidP="00225952">
    <w:pPr>
      <w:pStyle w:val="Header"/>
      <w:spacing w:after="0"/>
      <w:rPr>
        <w:rFonts w:ascii="Calibri" w:hAnsi="Calibri"/>
        <w:color w:val="595959"/>
        <w:spacing w:val="-8"/>
      </w:rPr>
    </w:pPr>
    <w:r>
      <w:rPr>
        <w:rFonts w:ascii="Calibri" w:hAnsi="Calibri"/>
        <w:color w:val="595959"/>
        <w:spacing w:val="-8"/>
      </w:rPr>
      <w:t>LGCP Reviews | Resource Guides 3, 4, 5</w:t>
    </w:r>
  </w:p>
  <w:p w:rsidR="00E7413B" w:rsidRDefault="00E7413B">
    <w:pPr>
      <w:tabs>
        <w:tab w:val="left" w:pos="6705"/>
      </w:tabs>
      <w:spacing w:after="60"/>
      <w:ind w:left="360"/>
      <w:rPr>
        <w:rFonts w:ascii="Trebuchet MS" w:hAnsi="Trebuchet MS"/>
        <w:b/>
        <w:smallCaps/>
        <w:sz w:val="20"/>
      </w:rPr>
    </w:pPr>
    <w:r>
      <w:rPr>
        <w:rFonts w:ascii="Trebuchet MS" w:hAnsi="Trebuchet MS"/>
        <w:b/>
        <w:smallCaps/>
        <w:sz w:val="20"/>
      </w:rPr>
      <w:tab/>
    </w: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695646" w:rsidRDefault="00E7413B" w:rsidP="00225952">
    <w:pPr>
      <w:pStyle w:val="Header"/>
      <w:spacing w:after="0"/>
      <w:rPr>
        <w:rFonts w:ascii="Calibri" w:hAnsi="Calibri"/>
        <w:color w:val="595959"/>
        <w:spacing w:val="-8"/>
      </w:rPr>
    </w:pPr>
    <w:r>
      <w:rPr>
        <w:rFonts w:ascii="Calibri" w:hAnsi="Calibri"/>
        <w:color w:val="595959"/>
        <w:spacing w:val="-8"/>
      </w:rPr>
      <w:t>LGCP Reviews | Resource Guides 6, 7</w:t>
    </w:r>
  </w:p>
  <w:p w:rsidR="00E7413B" w:rsidRDefault="00E7413B">
    <w:pPr>
      <w:tabs>
        <w:tab w:val="left" w:pos="6705"/>
      </w:tabs>
      <w:spacing w:after="60"/>
      <w:ind w:left="360"/>
      <w:rPr>
        <w:rFonts w:ascii="Trebuchet MS" w:hAnsi="Trebuchet MS"/>
        <w:b/>
        <w:smallCaps/>
        <w:sz w:val="20"/>
      </w:rPr>
    </w:pPr>
    <w:r>
      <w:rPr>
        <w:rFonts w:ascii="Trebuchet MS" w:hAnsi="Trebuchet MS"/>
        <w:b/>
        <w:smallCaps/>
        <w:sz w:val="20"/>
      </w:rPr>
      <w:tab/>
    </w: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695646" w:rsidRDefault="00E7413B" w:rsidP="00225952">
    <w:pPr>
      <w:pStyle w:val="Header"/>
      <w:spacing w:after="0"/>
      <w:rPr>
        <w:rFonts w:ascii="Calibri" w:hAnsi="Calibri"/>
        <w:color w:val="595959"/>
        <w:spacing w:val="-8"/>
      </w:rPr>
    </w:pPr>
    <w:r>
      <w:rPr>
        <w:rFonts w:ascii="Calibri" w:hAnsi="Calibri"/>
        <w:color w:val="595959"/>
        <w:spacing w:val="-8"/>
      </w:rPr>
      <w:t xml:space="preserve">LGCP Reviews | </w:t>
    </w:r>
    <w:r w:rsidRPr="00F17514">
      <w:rPr>
        <w:rFonts w:ascii="Calibri" w:hAnsi="Calibri"/>
        <w:color w:val="595959"/>
        <w:spacing w:val="-8"/>
      </w:rPr>
      <w:t xml:space="preserve">Resource Guide </w:t>
    </w:r>
    <w:r>
      <w:rPr>
        <w:rFonts w:ascii="Calibri" w:hAnsi="Calibri"/>
        <w:color w:val="595959"/>
        <w:spacing w:val="-8"/>
      </w:rPr>
      <w:t>8.  LGCP Amendment Review Checklist</w:t>
    </w:r>
  </w:p>
  <w:p w:rsidR="00E7413B" w:rsidRDefault="00E7413B">
    <w:pPr>
      <w:tabs>
        <w:tab w:val="left" w:pos="6705"/>
      </w:tabs>
      <w:spacing w:after="60"/>
      <w:ind w:left="360"/>
      <w:rPr>
        <w:rFonts w:ascii="Trebuchet MS" w:hAnsi="Trebuchet MS"/>
        <w:b/>
        <w:smallCaps/>
        <w:sz w:val="20"/>
      </w:rPr>
    </w:pPr>
    <w:r>
      <w:rPr>
        <w:rFonts w:ascii="Trebuchet MS" w:hAnsi="Trebuchet MS"/>
        <w:b/>
        <w:smallCaps/>
        <w:sz w:val="20"/>
      </w:rPr>
      <w:tab/>
    </w: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Default="00E7413B">
    <w:pPr>
      <w:pStyle w:val="Header"/>
    </w:pP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992EDA" w:rsidRDefault="00E7413B" w:rsidP="00992EDA">
    <w:pPr>
      <w:pStyle w:val="Header"/>
      <w:spacing w:after="0"/>
      <w:rPr>
        <w:rFonts w:ascii="Calibri" w:hAnsi="Calibri"/>
        <w:color w:val="595959"/>
        <w:spacing w:val="-8"/>
      </w:rPr>
    </w:pPr>
    <w:r>
      <w:rPr>
        <w:rFonts w:ascii="Calibri" w:hAnsi="Calibri"/>
        <w:color w:val="595959"/>
        <w:spacing w:val="-8"/>
      </w:rPr>
      <w:t xml:space="preserve">LGCP Reviews | </w:t>
    </w:r>
    <w:r w:rsidRPr="00F17514">
      <w:rPr>
        <w:rFonts w:ascii="Calibri" w:hAnsi="Calibri"/>
        <w:color w:val="595959"/>
        <w:spacing w:val="-8"/>
      </w:rPr>
      <w:t xml:space="preserve">Resource Guide </w:t>
    </w:r>
    <w:r>
      <w:rPr>
        <w:rFonts w:ascii="Calibri" w:hAnsi="Calibri"/>
        <w:color w:val="595959"/>
        <w:spacing w:val="-8"/>
      </w:rPr>
      <w:t>9.  Standardized Comprehensive Plan Review Process</w:t>
    </w: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Default="00E7413B">
    <w:pPr>
      <w:pStyle w:val="Header"/>
    </w:pP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695646" w:rsidRDefault="00E7413B" w:rsidP="00225952">
    <w:pPr>
      <w:pStyle w:val="Header"/>
      <w:spacing w:after="0"/>
      <w:rPr>
        <w:rFonts w:ascii="Calibri" w:hAnsi="Calibri"/>
        <w:color w:val="595959"/>
        <w:spacing w:val="-8"/>
      </w:rPr>
    </w:pPr>
    <w:r>
      <w:rPr>
        <w:rFonts w:ascii="Calibri" w:hAnsi="Calibri"/>
        <w:color w:val="595959"/>
        <w:spacing w:val="-8"/>
      </w:rPr>
      <w:t>DRI | 4</w:t>
    </w:r>
    <w:r w:rsidRPr="000D3AAA">
      <w:rPr>
        <w:rFonts w:ascii="Calibri" w:hAnsi="Calibri"/>
        <w:color w:val="595959"/>
        <w:spacing w:val="-8"/>
      </w:rPr>
      <w:t>.</w:t>
    </w:r>
    <w:r>
      <w:rPr>
        <w:rFonts w:ascii="Calibri" w:hAnsi="Calibri"/>
        <w:color w:val="595959"/>
        <w:spacing w:val="-8"/>
      </w:rPr>
      <w:t>1</w:t>
    </w:r>
    <w:r w:rsidRPr="000D3AAA">
      <w:rPr>
        <w:rFonts w:ascii="Calibri" w:hAnsi="Calibri"/>
        <w:color w:val="595959"/>
        <w:spacing w:val="-8"/>
      </w:rPr>
      <w:t xml:space="preserve">   </w:t>
    </w:r>
    <w:r>
      <w:rPr>
        <w:rFonts w:ascii="Calibri" w:hAnsi="Calibri"/>
        <w:color w:val="595959"/>
        <w:spacing w:val="-8"/>
      </w:rPr>
      <w:t>Introduction to DRI Review</w:t>
    </w:r>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695646" w:rsidRDefault="00E7413B" w:rsidP="00225952">
    <w:pPr>
      <w:pStyle w:val="Header"/>
      <w:spacing w:after="0"/>
      <w:rPr>
        <w:rFonts w:ascii="Calibri" w:hAnsi="Calibri"/>
        <w:color w:val="595959"/>
        <w:spacing w:val="-8"/>
      </w:rPr>
    </w:pPr>
    <w:r>
      <w:rPr>
        <w:rFonts w:ascii="Calibri" w:hAnsi="Calibri"/>
        <w:color w:val="595959"/>
        <w:spacing w:val="-8"/>
      </w:rPr>
      <w:t>DRI | 4</w:t>
    </w:r>
    <w:r w:rsidRPr="000D3AAA">
      <w:rPr>
        <w:rFonts w:ascii="Calibri" w:hAnsi="Calibri"/>
        <w:color w:val="595959"/>
        <w:spacing w:val="-8"/>
      </w:rPr>
      <w:t>.2   Review Requirements for proposed DRIs/Substantial Deviations</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3F432A" w:rsidRDefault="00E7413B" w:rsidP="003F432A">
    <w:pPr>
      <w:pStyle w:val="Header"/>
      <w:spacing w:after="0"/>
      <w:rPr>
        <w:rFonts w:ascii="Calibri" w:hAnsi="Calibri"/>
        <w:color w:val="595959"/>
        <w:spacing w:val="-8"/>
      </w:rPr>
    </w:pPr>
    <w:r>
      <w:rPr>
        <w:rFonts w:ascii="Calibri" w:hAnsi="Calibri"/>
        <w:color w:val="595959"/>
        <w:spacing w:val="-8"/>
      </w:rPr>
      <w:t xml:space="preserve">INTRODUCTION |  1.1 Introduction </w:t>
    </w:r>
  </w:p>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695646" w:rsidRDefault="00E7413B" w:rsidP="00225952">
    <w:pPr>
      <w:pStyle w:val="Header"/>
      <w:spacing w:after="0"/>
      <w:rPr>
        <w:rFonts w:ascii="Calibri" w:hAnsi="Calibri"/>
        <w:color w:val="595959"/>
        <w:spacing w:val="-8"/>
      </w:rPr>
    </w:pPr>
    <w:r>
      <w:rPr>
        <w:rFonts w:ascii="Calibri" w:hAnsi="Calibri"/>
        <w:color w:val="595959"/>
        <w:spacing w:val="-8"/>
      </w:rPr>
      <w:t>DRI | 4</w:t>
    </w:r>
    <w:r w:rsidRPr="000D3AAA">
      <w:rPr>
        <w:rFonts w:ascii="Calibri" w:hAnsi="Calibri"/>
        <w:color w:val="595959"/>
        <w:spacing w:val="-8"/>
      </w:rPr>
      <w:t xml:space="preserve">.3  </w:t>
    </w:r>
    <w:r>
      <w:rPr>
        <w:rFonts w:ascii="Calibri" w:hAnsi="Calibri"/>
        <w:color w:val="595959"/>
        <w:spacing w:val="-8"/>
      </w:rPr>
      <w:t xml:space="preserve"> </w:t>
    </w:r>
    <w:r w:rsidRPr="000D3AAA">
      <w:rPr>
        <w:rFonts w:ascii="Calibri" w:hAnsi="Calibri"/>
        <w:color w:val="595959"/>
        <w:spacing w:val="-8"/>
      </w:rPr>
      <w:t>Modification of Approved DRIs</w:t>
    </w:r>
  </w:p>
</w:hdr>
</file>

<file path=word/header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695646" w:rsidRDefault="00E7413B" w:rsidP="00225952">
    <w:pPr>
      <w:pStyle w:val="Header"/>
      <w:spacing w:after="0"/>
      <w:rPr>
        <w:rFonts w:ascii="Calibri" w:hAnsi="Calibri"/>
        <w:color w:val="595959"/>
        <w:spacing w:val="-8"/>
      </w:rPr>
    </w:pPr>
    <w:r>
      <w:rPr>
        <w:rFonts w:ascii="Calibri" w:hAnsi="Calibri"/>
        <w:color w:val="595959"/>
        <w:spacing w:val="-8"/>
      </w:rPr>
      <w:t>Resource Section 4.5.1</w:t>
    </w:r>
  </w:p>
  <w:p w:rsidR="00E7413B" w:rsidRDefault="00E7413B" w:rsidP="00225952">
    <w:pPr>
      <w:pStyle w:val="Header"/>
      <w:spacing w:after="0"/>
      <w:rPr>
        <w:rFonts w:ascii="Calibri" w:hAnsi="Calibri"/>
        <w:color w:val="595959"/>
        <w:spacing w:val="-8"/>
      </w:rPr>
    </w:pPr>
  </w:p>
  <w:p w:rsidR="00E7413B" w:rsidRDefault="00E7413B">
    <w:pPr>
      <w:pStyle w:val="Header"/>
      <w:tabs>
        <w:tab w:val="clear" w:pos="4320"/>
        <w:tab w:val="clear" w:pos="8640"/>
        <w:tab w:val="left" w:pos="5806"/>
      </w:tabs>
      <w:spacing w:after="0"/>
      <w:rPr>
        <w:rFonts w:ascii="Calibri" w:hAnsi="Calibri"/>
        <w:color w:val="595959"/>
        <w:spacing w:val="-8"/>
      </w:rPr>
    </w:pPr>
    <w:r>
      <w:rPr>
        <w:rFonts w:ascii="Calibri" w:hAnsi="Calibri"/>
        <w:color w:val="595959"/>
        <w:spacing w:val="-8"/>
      </w:rPr>
      <w:tab/>
    </w:r>
  </w:p>
</w:hdr>
</file>

<file path=word/header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7A0AB2" w:rsidRDefault="00E7413B" w:rsidP="007A0AB2">
    <w:pPr>
      <w:pStyle w:val="Header"/>
      <w:spacing w:after="0"/>
      <w:rPr>
        <w:rFonts w:ascii="Calibri" w:hAnsi="Calibri"/>
        <w:color w:val="595959"/>
        <w:spacing w:val="-8"/>
      </w:rPr>
    </w:pPr>
    <w:r>
      <w:rPr>
        <w:rFonts w:ascii="Calibri" w:hAnsi="Calibri"/>
        <w:color w:val="595959"/>
        <w:spacing w:val="-8"/>
      </w:rPr>
      <w:t>DRI | 4</w:t>
    </w:r>
    <w:r w:rsidRPr="000D3AAA">
      <w:rPr>
        <w:rFonts w:ascii="Calibri" w:hAnsi="Calibri"/>
        <w:color w:val="595959"/>
        <w:spacing w:val="-8"/>
      </w:rPr>
      <w:t>.</w:t>
    </w:r>
    <w:r>
      <w:rPr>
        <w:rFonts w:ascii="Calibri" w:hAnsi="Calibri"/>
        <w:color w:val="595959"/>
        <w:spacing w:val="-8"/>
      </w:rPr>
      <w:t>4  DRI Reporting</w:t>
    </w:r>
  </w:p>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7A0AB2" w:rsidRDefault="00E7413B" w:rsidP="007A0AB2">
    <w:pPr>
      <w:pStyle w:val="Header"/>
      <w:rPr>
        <w:rFonts w:asciiTheme="minorHAnsi" w:hAnsiTheme="minorHAnsi"/>
        <w:color w:val="7F7F7F" w:themeColor="text1" w:themeTint="80"/>
      </w:rPr>
    </w:pPr>
    <w:r>
      <w:rPr>
        <w:rFonts w:asciiTheme="minorHAnsi" w:hAnsiTheme="minorHAnsi"/>
        <w:color w:val="7F7F7F" w:themeColor="text1" w:themeTint="80"/>
      </w:rPr>
      <w:t>Pre-Application Checklist</w:t>
    </w:r>
  </w:p>
</w:hdr>
</file>

<file path=word/header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7A0AB2" w:rsidRDefault="00E7413B">
    <w:pPr>
      <w:pStyle w:val="Header"/>
      <w:rPr>
        <w:rFonts w:asciiTheme="minorHAnsi" w:hAnsiTheme="minorHAnsi"/>
        <w:color w:val="7F7F7F" w:themeColor="text1" w:themeTint="80"/>
      </w:rPr>
    </w:pPr>
    <w:r w:rsidRPr="007A0AB2">
      <w:rPr>
        <w:rFonts w:asciiTheme="minorHAnsi" w:hAnsiTheme="minorHAnsi"/>
        <w:color w:val="7F7F7F" w:themeColor="text1" w:themeTint="80"/>
      </w:rPr>
      <w:t>Checklist 1 | Methodology Meeting</w:t>
    </w:r>
  </w:p>
</w:hdr>
</file>

<file path=word/header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7A0AB2" w:rsidRDefault="00E7413B">
    <w:pPr>
      <w:pStyle w:val="Header"/>
      <w:rPr>
        <w:rFonts w:asciiTheme="minorHAnsi" w:hAnsiTheme="minorHAnsi"/>
        <w:color w:val="7F7F7F" w:themeColor="text1" w:themeTint="80"/>
      </w:rPr>
    </w:pPr>
    <w:r w:rsidRPr="007A0AB2">
      <w:rPr>
        <w:rFonts w:asciiTheme="minorHAnsi" w:hAnsiTheme="minorHAnsi"/>
        <w:color w:val="7F7F7F" w:themeColor="text1" w:themeTint="80"/>
      </w:rPr>
      <w:t>Checklist 2 | ADA Sufficiency Review</w:t>
    </w:r>
  </w:p>
</w:hdr>
</file>

<file path=word/header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7A0AB2" w:rsidRDefault="00E7413B">
    <w:pPr>
      <w:pStyle w:val="Header"/>
      <w:rPr>
        <w:rFonts w:asciiTheme="minorHAnsi" w:hAnsiTheme="minorHAnsi"/>
        <w:color w:val="7F7F7F" w:themeColor="text1" w:themeTint="80"/>
      </w:rPr>
    </w:pPr>
    <w:r w:rsidRPr="007A0AB2">
      <w:rPr>
        <w:rFonts w:asciiTheme="minorHAnsi" w:hAnsiTheme="minorHAnsi"/>
        <w:color w:val="7F7F7F" w:themeColor="text1" w:themeTint="80"/>
      </w:rPr>
      <w:t xml:space="preserve">Checklist 3 | </w:t>
    </w:r>
    <w:smartTag w:uri="urn:schemas-microsoft-com:office:smarttags" w:element="place">
      <w:smartTag w:uri="urn:schemas-microsoft-com:office:smarttags" w:element="City">
        <w:r w:rsidRPr="007A0AB2">
          <w:rPr>
            <w:rFonts w:asciiTheme="minorHAnsi" w:hAnsiTheme="minorHAnsi"/>
            <w:color w:val="7F7F7F" w:themeColor="text1" w:themeTint="80"/>
          </w:rPr>
          <w:t>ADA</w:t>
        </w:r>
      </w:smartTag>
    </w:smartTag>
    <w:r w:rsidRPr="007A0AB2">
      <w:rPr>
        <w:rFonts w:asciiTheme="minorHAnsi" w:hAnsiTheme="minorHAnsi"/>
        <w:color w:val="7F7F7F" w:themeColor="text1" w:themeTint="80"/>
      </w:rPr>
      <w:t xml:space="preserve"> Review</w:t>
    </w:r>
  </w:p>
</w:hdr>
</file>

<file path=word/header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7A0AB2" w:rsidRDefault="00E7413B">
    <w:pPr>
      <w:pStyle w:val="Header"/>
      <w:rPr>
        <w:rFonts w:asciiTheme="minorHAnsi" w:hAnsiTheme="minorHAnsi"/>
        <w:color w:val="7F7F7F" w:themeColor="text1" w:themeTint="80"/>
      </w:rPr>
    </w:pPr>
    <w:r w:rsidRPr="007A0AB2">
      <w:rPr>
        <w:rFonts w:asciiTheme="minorHAnsi" w:hAnsiTheme="minorHAnsi"/>
        <w:color w:val="7F7F7F" w:themeColor="text1" w:themeTint="80"/>
      </w:rPr>
      <w:t>Checklist 4 | DO Review</w:t>
    </w:r>
  </w:p>
</w:hdr>
</file>

<file path=word/header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7A0AB2" w:rsidRDefault="00E7413B">
    <w:pPr>
      <w:pStyle w:val="Header"/>
      <w:rPr>
        <w:rFonts w:asciiTheme="minorHAnsi" w:hAnsiTheme="minorHAnsi"/>
        <w:color w:val="7F7F7F" w:themeColor="text1" w:themeTint="80"/>
      </w:rPr>
    </w:pPr>
    <w:r w:rsidRPr="007A0AB2">
      <w:rPr>
        <w:rFonts w:asciiTheme="minorHAnsi" w:hAnsiTheme="minorHAnsi"/>
        <w:color w:val="7F7F7F" w:themeColor="text1" w:themeTint="80"/>
      </w:rPr>
      <w:t>Checklist 5 | Project Monitoring &amp; Report Review</w:t>
    </w:r>
  </w:p>
</w:hdr>
</file>

<file path=word/header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7A0AB2" w:rsidRDefault="00E7413B">
    <w:pPr>
      <w:pStyle w:val="Header"/>
      <w:rPr>
        <w:rFonts w:asciiTheme="minorHAnsi" w:hAnsiTheme="minorHAnsi"/>
        <w:color w:val="7F7F7F" w:themeColor="text1" w:themeTint="80"/>
      </w:rPr>
    </w:pPr>
    <w:r w:rsidRPr="007A0AB2">
      <w:rPr>
        <w:rFonts w:asciiTheme="minorHAnsi" w:hAnsiTheme="minorHAnsi"/>
        <w:color w:val="7F7F7F" w:themeColor="text1" w:themeTint="80"/>
      </w:rPr>
      <w:t>Checklist 6 | Conceptual Site Access Review</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695646" w:rsidRDefault="00E7413B" w:rsidP="00225952">
    <w:pPr>
      <w:pStyle w:val="Header"/>
      <w:spacing w:after="0"/>
      <w:rPr>
        <w:rFonts w:ascii="Calibri" w:hAnsi="Calibri"/>
        <w:color w:val="595959"/>
        <w:spacing w:val="-8"/>
      </w:rPr>
    </w:pPr>
    <w:r>
      <w:rPr>
        <w:rFonts w:ascii="Calibri" w:hAnsi="Calibri"/>
        <w:color w:val="595959"/>
        <w:spacing w:val="-8"/>
      </w:rPr>
      <w:t xml:space="preserve">INTRODUCTION | </w:t>
    </w:r>
    <w:r w:rsidRPr="00FD7BA4">
      <w:rPr>
        <w:rFonts w:ascii="Calibri" w:hAnsi="Calibri"/>
        <w:color w:val="595959"/>
        <w:spacing w:val="-8"/>
      </w:rPr>
      <w:t xml:space="preserve">1.2 </w:t>
    </w:r>
    <w:r>
      <w:rPr>
        <w:rFonts w:ascii="Calibri" w:hAnsi="Calibri"/>
        <w:color w:val="595959"/>
        <w:spacing w:val="-8"/>
      </w:rPr>
      <w:t xml:space="preserve">  </w:t>
    </w:r>
    <w:r w:rsidRPr="00FD7BA4">
      <w:rPr>
        <w:rFonts w:ascii="Calibri" w:hAnsi="Calibri"/>
        <w:color w:val="595959"/>
        <w:spacing w:val="-8"/>
      </w:rPr>
      <w:t>Background</w:t>
    </w:r>
  </w:p>
</w:hdr>
</file>

<file path=word/header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221C60" w:rsidRDefault="00E7413B" w:rsidP="00221C60">
    <w:pPr>
      <w:pStyle w:val="Header"/>
      <w:rPr>
        <w:rFonts w:asciiTheme="minorHAnsi" w:hAnsiTheme="minorHAnsi"/>
        <w:color w:val="7F7F7F" w:themeColor="text1" w:themeTint="80"/>
      </w:rPr>
    </w:pPr>
    <w:r w:rsidRPr="007A0AB2">
      <w:rPr>
        <w:rFonts w:asciiTheme="minorHAnsi" w:hAnsiTheme="minorHAnsi"/>
        <w:color w:val="7F7F7F" w:themeColor="text1" w:themeTint="80"/>
      </w:rPr>
      <w:t xml:space="preserve">Checklist </w:t>
    </w:r>
    <w:r>
      <w:rPr>
        <w:rFonts w:asciiTheme="minorHAnsi" w:hAnsiTheme="minorHAnsi"/>
        <w:color w:val="7F7F7F" w:themeColor="text1" w:themeTint="80"/>
      </w:rPr>
      <w:t>7</w:t>
    </w:r>
    <w:r w:rsidRPr="007A0AB2">
      <w:rPr>
        <w:rFonts w:asciiTheme="minorHAnsi" w:hAnsiTheme="minorHAnsi"/>
        <w:color w:val="7F7F7F" w:themeColor="text1" w:themeTint="80"/>
      </w:rPr>
      <w:t xml:space="preserve"> | </w:t>
    </w:r>
    <w:r>
      <w:rPr>
        <w:rFonts w:asciiTheme="minorHAnsi" w:hAnsiTheme="minorHAnsi"/>
        <w:color w:val="7F7F7F" w:themeColor="text1" w:themeTint="80"/>
      </w:rPr>
      <w:t>NOPC Chekcklist</w:t>
    </w:r>
  </w:p>
</w:hdr>
</file>

<file path=word/header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695646" w:rsidRDefault="00E7413B" w:rsidP="00225952">
    <w:pPr>
      <w:pStyle w:val="Header"/>
      <w:spacing w:after="0"/>
      <w:rPr>
        <w:rFonts w:ascii="Calibri" w:hAnsi="Calibri"/>
        <w:color w:val="595959"/>
        <w:spacing w:val="-8"/>
      </w:rPr>
    </w:pPr>
    <w:r>
      <w:rPr>
        <w:rFonts w:ascii="Calibri" w:hAnsi="Calibri"/>
        <w:color w:val="595959"/>
        <w:spacing w:val="-8"/>
      </w:rPr>
      <w:t>Mitigation | 5   Introduction</w:t>
    </w:r>
  </w:p>
</w:hdr>
</file>

<file path=word/header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6424BC" w:rsidRDefault="00E7413B" w:rsidP="006424BC">
    <w:pPr>
      <w:pStyle w:val="Header"/>
      <w:spacing w:after="0"/>
      <w:rPr>
        <w:rFonts w:ascii="Calibri" w:hAnsi="Calibri"/>
        <w:color w:val="595959"/>
        <w:spacing w:val="-8"/>
      </w:rPr>
    </w:pPr>
    <w:r>
      <w:rPr>
        <w:rFonts w:ascii="Calibri" w:hAnsi="Calibri"/>
        <w:color w:val="595959"/>
        <w:spacing w:val="-8"/>
      </w:rPr>
      <w:t xml:space="preserve">Mitigation | 5.3   Three Basic Categories of Mitigation </w:t>
    </w:r>
    <w:r w:rsidRPr="00472DF2">
      <w:rPr>
        <w:rFonts w:ascii="Calibri" w:hAnsi="Calibri"/>
        <w:color w:val="595959"/>
        <w:spacing w:val="-8"/>
      </w:rPr>
      <w:t>Strategies</w:t>
    </w:r>
  </w:p>
</w:hdr>
</file>

<file path=word/header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6424BC" w:rsidRDefault="00E7413B" w:rsidP="006424BC">
    <w:pPr>
      <w:pStyle w:val="Header"/>
      <w:spacing w:after="0"/>
      <w:rPr>
        <w:rFonts w:ascii="Calibri" w:hAnsi="Calibri"/>
        <w:color w:val="595959"/>
        <w:spacing w:val="-8"/>
      </w:rPr>
    </w:pPr>
    <w:r>
      <w:rPr>
        <w:rFonts w:ascii="Calibri" w:hAnsi="Calibri"/>
        <w:color w:val="595959"/>
        <w:spacing w:val="-8"/>
      </w:rPr>
      <w:t xml:space="preserve">Mitigation | 5.4   Other Mitigation </w:t>
    </w:r>
    <w:r w:rsidRPr="00472DF2">
      <w:rPr>
        <w:rFonts w:ascii="Calibri" w:hAnsi="Calibri"/>
        <w:color w:val="595959"/>
        <w:spacing w:val="-8"/>
      </w:rPr>
      <w:t>Strategies</w:t>
    </w:r>
  </w:p>
</w:hdr>
</file>

<file path=word/header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221C60" w:rsidRDefault="00E7413B" w:rsidP="006424BC">
    <w:pPr>
      <w:pStyle w:val="Header"/>
      <w:tabs>
        <w:tab w:val="clear" w:pos="4320"/>
        <w:tab w:val="clear" w:pos="8640"/>
        <w:tab w:val="left" w:pos="5806"/>
      </w:tabs>
      <w:spacing w:after="0"/>
      <w:rPr>
        <w:rFonts w:asciiTheme="minorHAnsi" w:hAnsiTheme="minorHAnsi"/>
        <w:color w:val="7F7F7F" w:themeColor="text1" w:themeTint="80"/>
      </w:rPr>
    </w:pPr>
    <w:r w:rsidRPr="00221C60">
      <w:rPr>
        <w:rFonts w:asciiTheme="minorHAnsi" w:hAnsiTheme="minorHAnsi"/>
        <w:b/>
        <w:color w:val="7F7F7F" w:themeColor="text1" w:themeTint="80"/>
        <w:szCs w:val="24"/>
      </w:rPr>
      <w:t xml:space="preserve">Appendix A | </w:t>
    </w:r>
    <w:r w:rsidRPr="00221C60">
      <w:rPr>
        <w:rFonts w:asciiTheme="minorHAnsi" w:hAnsiTheme="minorHAnsi"/>
        <w:color w:val="7F7F7F" w:themeColor="text1" w:themeTint="80"/>
        <w:szCs w:val="24"/>
      </w:rPr>
      <w:t>FDOT Review Participation Chart</w:t>
    </w:r>
  </w:p>
</w:hdr>
</file>

<file path=word/header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221C60" w:rsidRDefault="00E7413B" w:rsidP="00225952">
    <w:pPr>
      <w:pStyle w:val="Header"/>
      <w:tabs>
        <w:tab w:val="clear" w:pos="4320"/>
        <w:tab w:val="clear" w:pos="8640"/>
        <w:tab w:val="left" w:pos="5806"/>
      </w:tabs>
      <w:spacing w:after="0"/>
      <w:rPr>
        <w:rFonts w:asciiTheme="minorHAnsi" w:hAnsiTheme="minorHAnsi"/>
        <w:color w:val="7F7F7F" w:themeColor="text1" w:themeTint="80"/>
      </w:rPr>
    </w:pPr>
    <w:r w:rsidRPr="00221C60">
      <w:rPr>
        <w:rFonts w:asciiTheme="minorHAnsi" w:hAnsiTheme="minorHAnsi"/>
        <w:b/>
        <w:color w:val="7F7F7F" w:themeColor="text1" w:themeTint="80"/>
        <w:szCs w:val="24"/>
      </w:rPr>
      <w:t xml:space="preserve">Appendix B | </w:t>
    </w:r>
    <w:r w:rsidRPr="00221C60">
      <w:rPr>
        <w:rFonts w:asciiTheme="minorHAnsi" w:hAnsiTheme="minorHAnsi"/>
        <w:color w:val="7F7F7F" w:themeColor="text1" w:themeTint="80"/>
        <w:szCs w:val="24"/>
      </w:rPr>
      <w:t>Questions 21 &amp; 22</w:t>
    </w:r>
  </w:p>
</w:hdr>
</file>

<file path=word/header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221C60" w:rsidRDefault="00E7413B" w:rsidP="00225952">
    <w:pPr>
      <w:pStyle w:val="Header"/>
      <w:tabs>
        <w:tab w:val="clear" w:pos="4320"/>
        <w:tab w:val="clear" w:pos="8640"/>
        <w:tab w:val="left" w:pos="5806"/>
      </w:tabs>
      <w:spacing w:after="0"/>
      <w:rPr>
        <w:rFonts w:asciiTheme="minorHAnsi" w:hAnsiTheme="minorHAnsi"/>
        <w:color w:val="7F7F7F" w:themeColor="text1" w:themeTint="80"/>
      </w:rPr>
    </w:pPr>
    <w:r w:rsidRPr="00221C60">
      <w:rPr>
        <w:rFonts w:asciiTheme="minorHAnsi" w:hAnsiTheme="minorHAnsi"/>
        <w:b/>
        <w:color w:val="7F7F7F" w:themeColor="text1" w:themeTint="80"/>
        <w:szCs w:val="24"/>
      </w:rPr>
      <w:t xml:space="preserve">Appendix C | </w:t>
    </w:r>
    <w:r w:rsidRPr="00221C60">
      <w:rPr>
        <w:rFonts w:asciiTheme="minorHAnsi" w:hAnsiTheme="minorHAnsi"/>
        <w:color w:val="7F7F7F" w:themeColor="text1" w:themeTint="80"/>
        <w:szCs w:val="24"/>
      </w:rPr>
      <w:t>Sample</w:t>
    </w:r>
    <w:r w:rsidRPr="00221C60">
      <w:rPr>
        <w:rFonts w:asciiTheme="minorHAnsi" w:hAnsiTheme="minorHAnsi"/>
        <w:b/>
        <w:color w:val="7F7F7F" w:themeColor="text1" w:themeTint="80"/>
        <w:szCs w:val="24"/>
      </w:rPr>
      <w:t xml:space="preserve"> </w:t>
    </w:r>
    <w:r w:rsidRPr="00221C60">
      <w:rPr>
        <w:rFonts w:asciiTheme="minorHAnsi" w:hAnsiTheme="minorHAnsi"/>
        <w:color w:val="7F7F7F" w:themeColor="text1" w:themeTint="80"/>
        <w:szCs w:val="24"/>
      </w:rPr>
      <w:t>Transportation Impact Methodology</w:t>
    </w:r>
  </w:p>
</w:hdr>
</file>

<file path=word/header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221C60" w:rsidRDefault="00E7413B" w:rsidP="00225952">
    <w:pPr>
      <w:pStyle w:val="Header"/>
      <w:tabs>
        <w:tab w:val="clear" w:pos="4320"/>
        <w:tab w:val="clear" w:pos="8640"/>
        <w:tab w:val="left" w:pos="5806"/>
      </w:tabs>
      <w:spacing w:after="0"/>
      <w:rPr>
        <w:rFonts w:asciiTheme="minorHAnsi" w:hAnsiTheme="minorHAnsi"/>
        <w:color w:val="7F7F7F" w:themeColor="text1" w:themeTint="80"/>
      </w:rPr>
    </w:pPr>
    <w:r w:rsidRPr="00221C60">
      <w:rPr>
        <w:rFonts w:asciiTheme="minorHAnsi" w:hAnsiTheme="minorHAnsi"/>
        <w:b/>
        <w:color w:val="7F7F7F" w:themeColor="text1" w:themeTint="80"/>
        <w:szCs w:val="24"/>
      </w:rPr>
      <w:t xml:space="preserve">Appendix D | </w:t>
    </w:r>
    <w:r w:rsidRPr="00221C60">
      <w:rPr>
        <w:rFonts w:asciiTheme="minorHAnsi" w:hAnsiTheme="minorHAnsi"/>
        <w:color w:val="7F7F7F" w:themeColor="text1" w:themeTint="80"/>
        <w:szCs w:val="24"/>
      </w:rPr>
      <w:t>Sample Transportation Methodology Comments</w:t>
    </w:r>
  </w:p>
</w:hdr>
</file>

<file path=word/header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B96778" w:rsidRDefault="00E7413B" w:rsidP="00225952">
    <w:pPr>
      <w:pStyle w:val="Header"/>
      <w:tabs>
        <w:tab w:val="clear" w:pos="4320"/>
        <w:tab w:val="clear" w:pos="8640"/>
        <w:tab w:val="left" w:pos="5806"/>
      </w:tabs>
      <w:spacing w:after="0"/>
      <w:rPr>
        <w:rFonts w:asciiTheme="minorHAnsi" w:hAnsiTheme="minorHAnsi"/>
        <w:b/>
      </w:rPr>
    </w:pPr>
    <w:r w:rsidRPr="00B96778">
      <w:rPr>
        <w:rFonts w:asciiTheme="minorHAnsi" w:hAnsiTheme="minorHAnsi"/>
        <w:b/>
        <w:szCs w:val="24"/>
      </w:rPr>
      <w:t>Appendix E</w:t>
    </w:r>
    <w:r>
      <w:rPr>
        <w:rFonts w:asciiTheme="minorHAnsi" w:hAnsiTheme="minorHAnsi"/>
        <w:b/>
        <w:szCs w:val="24"/>
      </w:rPr>
      <w:t xml:space="preserve"> | </w:t>
    </w:r>
    <w:r w:rsidRPr="0052308E">
      <w:rPr>
        <w:rFonts w:asciiTheme="minorHAnsi" w:hAnsiTheme="minorHAnsi"/>
        <w:szCs w:val="24"/>
      </w:rPr>
      <w:t>Sample</w:t>
    </w:r>
    <w:r>
      <w:rPr>
        <w:rFonts w:asciiTheme="minorHAnsi" w:hAnsiTheme="minorHAnsi"/>
        <w:b/>
        <w:szCs w:val="24"/>
      </w:rPr>
      <w:t xml:space="preserve"> </w:t>
    </w:r>
    <w:r w:rsidRPr="00AB241F">
      <w:rPr>
        <w:rFonts w:asciiTheme="minorHAnsi" w:hAnsiTheme="minorHAnsi"/>
        <w:szCs w:val="24"/>
      </w:rPr>
      <w:t>Transportation Methodology Comments</w:t>
    </w:r>
  </w:p>
</w:hdr>
</file>

<file path=word/header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221C60" w:rsidRDefault="00E7413B" w:rsidP="00225952">
    <w:pPr>
      <w:pStyle w:val="Header"/>
      <w:tabs>
        <w:tab w:val="clear" w:pos="4320"/>
        <w:tab w:val="clear" w:pos="8640"/>
        <w:tab w:val="left" w:pos="5806"/>
      </w:tabs>
      <w:spacing w:after="0"/>
      <w:rPr>
        <w:rFonts w:asciiTheme="minorHAnsi" w:hAnsiTheme="minorHAnsi"/>
        <w:b/>
        <w:color w:val="7F7F7F" w:themeColor="text1" w:themeTint="80"/>
      </w:rPr>
    </w:pPr>
    <w:r w:rsidRPr="00221C60">
      <w:rPr>
        <w:rFonts w:asciiTheme="minorHAnsi" w:hAnsiTheme="minorHAnsi"/>
        <w:b/>
        <w:color w:val="7F7F7F" w:themeColor="text1" w:themeTint="80"/>
        <w:szCs w:val="24"/>
      </w:rPr>
      <w:t xml:space="preserve">Appendix E | </w:t>
    </w:r>
    <w:r w:rsidRPr="00221C60">
      <w:rPr>
        <w:rFonts w:asciiTheme="minorHAnsi" w:hAnsiTheme="minorHAnsi"/>
        <w:color w:val="7F7F7F" w:themeColor="text1" w:themeTint="80"/>
        <w:szCs w:val="24"/>
      </w:rPr>
      <w:t>Sample</w:t>
    </w:r>
    <w:r w:rsidRPr="00221C60">
      <w:rPr>
        <w:rFonts w:asciiTheme="minorHAnsi" w:hAnsiTheme="minorHAnsi"/>
        <w:b/>
        <w:color w:val="7F7F7F" w:themeColor="text1" w:themeTint="80"/>
        <w:szCs w:val="24"/>
      </w:rPr>
      <w:t xml:space="preserve"> </w:t>
    </w:r>
    <w:r w:rsidRPr="00221C60">
      <w:rPr>
        <w:rFonts w:asciiTheme="minorHAnsi" w:hAnsiTheme="minorHAnsi"/>
        <w:color w:val="7F7F7F" w:themeColor="text1" w:themeTint="80"/>
        <w:szCs w:val="24"/>
      </w:rPr>
      <w:t>Transportation Methodology Comments</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695646" w:rsidRDefault="00E7413B" w:rsidP="00225952">
    <w:pPr>
      <w:pStyle w:val="Header"/>
      <w:spacing w:after="0"/>
      <w:rPr>
        <w:rFonts w:ascii="Calibri" w:hAnsi="Calibri"/>
        <w:color w:val="595959"/>
        <w:spacing w:val="-8"/>
      </w:rPr>
    </w:pPr>
    <w:r>
      <w:rPr>
        <w:rFonts w:ascii="Calibri" w:hAnsi="Calibri"/>
        <w:color w:val="595959"/>
        <w:spacing w:val="-8"/>
      </w:rPr>
      <w:t xml:space="preserve">INTRODUCTION | </w:t>
    </w:r>
    <w:r w:rsidRPr="00FD7BA4">
      <w:rPr>
        <w:rFonts w:ascii="Calibri" w:hAnsi="Calibri"/>
        <w:color w:val="595959"/>
        <w:spacing w:val="-8"/>
      </w:rPr>
      <w:t xml:space="preserve">1.3 </w:t>
    </w:r>
    <w:r>
      <w:rPr>
        <w:rFonts w:ascii="Calibri" w:hAnsi="Calibri"/>
        <w:color w:val="595959"/>
        <w:spacing w:val="-8"/>
      </w:rPr>
      <w:t xml:space="preserve">  </w:t>
    </w:r>
    <w:r w:rsidRPr="00FD7BA4">
      <w:rPr>
        <w:rFonts w:ascii="Calibri" w:hAnsi="Calibri"/>
        <w:color w:val="595959"/>
        <w:spacing w:val="-8"/>
      </w:rPr>
      <w:t>About this Handbook</w:t>
    </w:r>
  </w:p>
</w:hdr>
</file>

<file path=word/header6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221C60" w:rsidRDefault="00E7413B" w:rsidP="00225952">
    <w:pPr>
      <w:pStyle w:val="Header"/>
      <w:tabs>
        <w:tab w:val="clear" w:pos="4320"/>
        <w:tab w:val="clear" w:pos="8640"/>
        <w:tab w:val="left" w:pos="5806"/>
      </w:tabs>
      <w:spacing w:after="0"/>
      <w:rPr>
        <w:rFonts w:asciiTheme="minorHAnsi" w:hAnsiTheme="minorHAnsi"/>
        <w:b/>
        <w:color w:val="7F7F7F" w:themeColor="text1" w:themeTint="80"/>
      </w:rPr>
    </w:pPr>
    <w:r w:rsidRPr="00221C60">
      <w:rPr>
        <w:rFonts w:asciiTheme="minorHAnsi" w:hAnsiTheme="minorHAnsi"/>
        <w:b/>
        <w:color w:val="7F7F7F" w:themeColor="text1" w:themeTint="80"/>
        <w:szCs w:val="24"/>
      </w:rPr>
      <w:t xml:space="preserve">Appendix F | </w:t>
    </w:r>
    <w:r w:rsidRPr="00221C60">
      <w:rPr>
        <w:rFonts w:asciiTheme="minorHAnsi" w:hAnsiTheme="minorHAnsi"/>
        <w:color w:val="7F7F7F" w:themeColor="text1" w:themeTint="80"/>
        <w:szCs w:val="24"/>
      </w:rPr>
      <w:t>FDOT District 4 Example</w:t>
    </w:r>
  </w:p>
</w:hdr>
</file>

<file path=word/header6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221C60" w:rsidRDefault="00E7413B" w:rsidP="00225952">
    <w:pPr>
      <w:pStyle w:val="Header"/>
      <w:tabs>
        <w:tab w:val="clear" w:pos="4320"/>
        <w:tab w:val="clear" w:pos="8640"/>
        <w:tab w:val="left" w:pos="5806"/>
      </w:tabs>
      <w:spacing w:after="0"/>
      <w:rPr>
        <w:rFonts w:asciiTheme="minorHAnsi" w:hAnsiTheme="minorHAnsi"/>
        <w:b/>
        <w:color w:val="7F7F7F" w:themeColor="text1" w:themeTint="80"/>
      </w:rPr>
    </w:pPr>
    <w:r w:rsidRPr="00221C60">
      <w:rPr>
        <w:rFonts w:asciiTheme="minorHAnsi" w:hAnsiTheme="minorHAnsi"/>
        <w:b/>
        <w:color w:val="7F7F7F" w:themeColor="text1" w:themeTint="80"/>
        <w:szCs w:val="24"/>
      </w:rPr>
      <w:t xml:space="preserve">Appendix </w:t>
    </w:r>
    <w:r>
      <w:rPr>
        <w:rFonts w:asciiTheme="minorHAnsi" w:hAnsiTheme="minorHAnsi"/>
        <w:b/>
        <w:color w:val="7F7F7F" w:themeColor="text1" w:themeTint="80"/>
        <w:szCs w:val="24"/>
      </w:rPr>
      <w:t>G</w:t>
    </w:r>
    <w:r w:rsidRPr="00221C60">
      <w:rPr>
        <w:rFonts w:asciiTheme="minorHAnsi" w:hAnsiTheme="minorHAnsi"/>
        <w:b/>
        <w:color w:val="7F7F7F" w:themeColor="text1" w:themeTint="80"/>
        <w:szCs w:val="24"/>
      </w:rPr>
      <w:t xml:space="preserve"> | </w:t>
    </w:r>
    <w:r>
      <w:rPr>
        <w:rFonts w:asciiTheme="minorHAnsi" w:hAnsiTheme="minorHAnsi"/>
        <w:color w:val="7F7F7F" w:themeColor="text1" w:themeTint="80"/>
        <w:szCs w:val="24"/>
      </w:rPr>
      <w:t>Examples of Multimodal NOPC</w:t>
    </w:r>
  </w:p>
</w:hdr>
</file>

<file path=word/header6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221C60" w:rsidRDefault="00E7413B" w:rsidP="00225952">
    <w:pPr>
      <w:pStyle w:val="Header"/>
      <w:tabs>
        <w:tab w:val="clear" w:pos="4320"/>
        <w:tab w:val="clear" w:pos="8640"/>
        <w:tab w:val="left" w:pos="5806"/>
      </w:tabs>
      <w:spacing w:after="0"/>
      <w:rPr>
        <w:rFonts w:asciiTheme="minorHAnsi" w:hAnsiTheme="minorHAnsi"/>
        <w:b/>
        <w:color w:val="7F7F7F" w:themeColor="text1" w:themeTint="80"/>
      </w:rPr>
    </w:pPr>
    <w:r w:rsidRPr="00221C60">
      <w:rPr>
        <w:rFonts w:asciiTheme="minorHAnsi" w:hAnsiTheme="minorHAnsi"/>
        <w:b/>
        <w:color w:val="7F7F7F" w:themeColor="text1" w:themeTint="80"/>
        <w:szCs w:val="24"/>
      </w:rPr>
      <w:t xml:space="preserve">Appendix </w:t>
    </w:r>
    <w:r>
      <w:rPr>
        <w:rFonts w:asciiTheme="minorHAnsi" w:hAnsiTheme="minorHAnsi"/>
        <w:b/>
        <w:color w:val="7F7F7F" w:themeColor="text1" w:themeTint="80"/>
        <w:szCs w:val="24"/>
      </w:rPr>
      <w:t>H</w:t>
    </w:r>
    <w:r w:rsidRPr="00221C60">
      <w:rPr>
        <w:rFonts w:asciiTheme="minorHAnsi" w:hAnsiTheme="minorHAnsi"/>
        <w:b/>
        <w:color w:val="7F7F7F" w:themeColor="text1" w:themeTint="80"/>
        <w:szCs w:val="24"/>
      </w:rPr>
      <w:t xml:space="preserve"> | </w:t>
    </w:r>
    <w:r>
      <w:rPr>
        <w:rFonts w:asciiTheme="minorHAnsi" w:hAnsiTheme="minorHAnsi"/>
        <w:color w:val="7F7F7F" w:themeColor="text1" w:themeTint="80"/>
        <w:szCs w:val="24"/>
      </w:rPr>
      <w:t>Glossary</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21455D" w:rsidRDefault="00E7413B" w:rsidP="0021455D">
    <w:pPr>
      <w:pStyle w:val="Header"/>
      <w:spacing w:after="0"/>
      <w:rPr>
        <w:rFonts w:ascii="Calibri" w:hAnsi="Calibri"/>
        <w:color w:val="595959"/>
        <w:spacing w:val="-8"/>
      </w:rPr>
    </w:pPr>
    <w:r>
      <w:rPr>
        <w:rFonts w:ascii="Calibri" w:hAnsi="Calibri"/>
        <w:color w:val="595959"/>
        <w:spacing w:val="-8"/>
      </w:rPr>
      <w:t xml:space="preserve">INTRODUCTION | </w:t>
    </w:r>
    <w:r w:rsidRPr="00FD7BA4">
      <w:rPr>
        <w:rFonts w:ascii="Calibri" w:hAnsi="Calibri"/>
        <w:color w:val="595959"/>
        <w:spacing w:val="-8"/>
      </w:rPr>
      <w:t>1.</w:t>
    </w:r>
    <w:r>
      <w:rPr>
        <w:rFonts w:ascii="Calibri" w:hAnsi="Calibri"/>
        <w:color w:val="595959"/>
        <w:spacing w:val="-8"/>
      </w:rPr>
      <w:t>4</w:t>
    </w:r>
    <w:r w:rsidRPr="00FD7BA4">
      <w:rPr>
        <w:rFonts w:ascii="Calibri" w:hAnsi="Calibri"/>
        <w:color w:val="595959"/>
        <w:spacing w:val="-8"/>
      </w:rPr>
      <w:t xml:space="preserve"> </w:t>
    </w:r>
    <w:r>
      <w:rPr>
        <w:rFonts w:ascii="Calibri" w:hAnsi="Calibri"/>
        <w:color w:val="595959"/>
        <w:spacing w:val="-8"/>
      </w:rPr>
      <w:t xml:space="preserve">  Updates to</w:t>
    </w:r>
    <w:r w:rsidRPr="00FD7BA4">
      <w:rPr>
        <w:rFonts w:ascii="Calibri" w:hAnsi="Calibri"/>
        <w:color w:val="595959"/>
        <w:spacing w:val="-8"/>
      </w:rPr>
      <w:t xml:space="preserve"> this Handbook</w: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695646" w:rsidRDefault="00E7413B" w:rsidP="00225952">
    <w:pPr>
      <w:pStyle w:val="Header"/>
      <w:spacing w:after="0"/>
      <w:rPr>
        <w:rFonts w:ascii="Calibri" w:hAnsi="Calibri"/>
        <w:color w:val="595959"/>
        <w:spacing w:val="-8"/>
      </w:rPr>
    </w:pPr>
    <w:r>
      <w:rPr>
        <w:rFonts w:ascii="Calibri" w:hAnsi="Calibri"/>
        <w:color w:val="595959"/>
        <w:spacing w:val="-8"/>
      </w:rPr>
      <w:t>Standard Site Impact Process | 2.1  Introduction</w: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3B" w:rsidRPr="00695646" w:rsidRDefault="00E7413B" w:rsidP="00225952">
    <w:pPr>
      <w:pStyle w:val="Header"/>
      <w:spacing w:after="0"/>
      <w:rPr>
        <w:rFonts w:ascii="Calibri" w:hAnsi="Calibri"/>
        <w:color w:val="595959"/>
        <w:spacing w:val="-8"/>
      </w:rPr>
    </w:pPr>
    <w:r>
      <w:rPr>
        <w:rFonts w:ascii="Calibri" w:hAnsi="Calibri"/>
        <w:color w:val="595959"/>
        <w:spacing w:val="-8"/>
      </w:rPr>
      <w:t>Standard Site Impact Process | 2.2</w:t>
    </w:r>
    <w:r w:rsidRPr="00472DF2">
      <w:rPr>
        <w:rFonts w:ascii="Calibri" w:hAnsi="Calibri"/>
        <w:color w:val="595959"/>
        <w:spacing w:val="-8"/>
      </w:rPr>
      <w:t xml:space="preserve"> </w:t>
    </w:r>
    <w:r>
      <w:rPr>
        <w:rFonts w:ascii="Calibri" w:hAnsi="Calibri"/>
        <w:color w:val="595959"/>
        <w:spacing w:val="-8"/>
      </w:rPr>
      <w:t>Methodology Development</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167D12"/>
    <w:multiLevelType w:val="hybridMultilevel"/>
    <w:tmpl w:val="BA524AA6"/>
    <w:lvl w:ilvl="0" w:tplc="57A4C160">
      <w:start w:val="1"/>
      <w:numFmt w:val="bullet"/>
      <w:lvlText w:val=""/>
      <w:lvlJc w:val="left"/>
      <w:pPr>
        <w:ind w:left="720" w:hanging="360"/>
      </w:pPr>
      <w:rPr>
        <w:rFonts w:ascii="Symbol" w:hAnsi="Symbol" w:hint="default"/>
      </w:rPr>
    </w:lvl>
    <w:lvl w:ilvl="1" w:tplc="23A4B740" w:tentative="1">
      <w:start w:val="1"/>
      <w:numFmt w:val="bullet"/>
      <w:lvlText w:val="o"/>
      <w:lvlJc w:val="left"/>
      <w:pPr>
        <w:ind w:left="1440" w:hanging="360"/>
      </w:pPr>
      <w:rPr>
        <w:rFonts w:ascii="Courier New" w:hAnsi="Courier New" w:cs="Courier New" w:hint="default"/>
      </w:rPr>
    </w:lvl>
    <w:lvl w:ilvl="2" w:tplc="CBD64658" w:tentative="1">
      <w:start w:val="1"/>
      <w:numFmt w:val="bullet"/>
      <w:lvlText w:val=""/>
      <w:lvlJc w:val="left"/>
      <w:pPr>
        <w:ind w:left="2160" w:hanging="360"/>
      </w:pPr>
      <w:rPr>
        <w:rFonts w:ascii="Wingdings" w:hAnsi="Wingdings" w:hint="default"/>
      </w:rPr>
    </w:lvl>
    <w:lvl w:ilvl="3" w:tplc="FEE2E132" w:tentative="1">
      <w:start w:val="1"/>
      <w:numFmt w:val="bullet"/>
      <w:lvlText w:val=""/>
      <w:lvlJc w:val="left"/>
      <w:pPr>
        <w:ind w:left="2880" w:hanging="360"/>
      </w:pPr>
      <w:rPr>
        <w:rFonts w:ascii="Symbol" w:hAnsi="Symbol" w:hint="default"/>
      </w:rPr>
    </w:lvl>
    <w:lvl w:ilvl="4" w:tplc="F74264FA" w:tentative="1">
      <w:start w:val="1"/>
      <w:numFmt w:val="bullet"/>
      <w:lvlText w:val="o"/>
      <w:lvlJc w:val="left"/>
      <w:pPr>
        <w:ind w:left="3600" w:hanging="360"/>
      </w:pPr>
      <w:rPr>
        <w:rFonts w:ascii="Courier New" w:hAnsi="Courier New" w:cs="Courier New" w:hint="default"/>
      </w:rPr>
    </w:lvl>
    <w:lvl w:ilvl="5" w:tplc="53CE59EC" w:tentative="1">
      <w:start w:val="1"/>
      <w:numFmt w:val="bullet"/>
      <w:lvlText w:val=""/>
      <w:lvlJc w:val="left"/>
      <w:pPr>
        <w:ind w:left="4320" w:hanging="360"/>
      </w:pPr>
      <w:rPr>
        <w:rFonts w:ascii="Wingdings" w:hAnsi="Wingdings" w:hint="default"/>
      </w:rPr>
    </w:lvl>
    <w:lvl w:ilvl="6" w:tplc="3D86D0CE" w:tentative="1">
      <w:start w:val="1"/>
      <w:numFmt w:val="bullet"/>
      <w:lvlText w:val=""/>
      <w:lvlJc w:val="left"/>
      <w:pPr>
        <w:ind w:left="5040" w:hanging="360"/>
      </w:pPr>
      <w:rPr>
        <w:rFonts w:ascii="Symbol" w:hAnsi="Symbol" w:hint="default"/>
      </w:rPr>
    </w:lvl>
    <w:lvl w:ilvl="7" w:tplc="29BA39EA" w:tentative="1">
      <w:start w:val="1"/>
      <w:numFmt w:val="bullet"/>
      <w:lvlText w:val="o"/>
      <w:lvlJc w:val="left"/>
      <w:pPr>
        <w:ind w:left="5760" w:hanging="360"/>
      </w:pPr>
      <w:rPr>
        <w:rFonts w:ascii="Courier New" w:hAnsi="Courier New" w:cs="Courier New" w:hint="default"/>
      </w:rPr>
    </w:lvl>
    <w:lvl w:ilvl="8" w:tplc="57FE2D3A" w:tentative="1">
      <w:start w:val="1"/>
      <w:numFmt w:val="bullet"/>
      <w:lvlText w:val=""/>
      <w:lvlJc w:val="left"/>
      <w:pPr>
        <w:ind w:left="6480" w:hanging="360"/>
      </w:pPr>
      <w:rPr>
        <w:rFonts w:ascii="Wingdings" w:hAnsi="Wingdings" w:hint="default"/>
      </w:rPr>
    </w:lvl>
  </w:abstractNum>
  <w:abstractNum w:abstractNumId="1">
    <w:nsid w:val="00196C22"/>
    <w:multiLevelType w:val="hybridMultilevel"/>
    <w:tmpl w:val="616A9214"/>
    <w:lvl w:ilvl="0" w:tplc="27DA60A4">
      <w:start w:val="1"/>
      <w:numFmt w:val="bullet"/>
      <w:lvlText w:val=""/>
      <w:lvlJc w:val="left"/>
      <w:pPr>
        <w:ind w:left="720" w:hanging="360"/>
      </w:pPr>
      <w:rPr>
        <w:rFonts w:ascii="Symbol" w:hAnsi="Symbol" w:hint="default"/>
      </w:rPr>
    </w:lvl>
    <w:lvl w:ilvl="1" w:tplc="D37261F8" w:tentative="1">
      <w:start w:val="1"/>
      <w:numFmt w:val="bullet"/>
      <w:lvlText w:val="o"/>
      <w:lvlJc w:val="left"/>
      <w:pPr>
        <w:ind w:left="1440" w:hanging="360"/>
      </w:pPr>
      <w:rPr>
        <w:rFonts w:ascii="Courier New" w:hAnsi="Courier New" w:cs="Courier New" w:hint="default"/>
      </w:rPr>
    </w:lvl>
    <w:lvl w:ilvl="2" w:tplc="D1B6F006" w:tentative="1">
      <w:start w:val="1"/>
      <w:numFmt w:val="bullet"/>
      <w:lvlText w:val=""/>
      <w:lvlJc w:val="left"/>
      <w:pPr>
        <w:ind w:left="2160" w:hanging="360"/>
      </w:pPr>
      <w:rPr>
        <w:rFonts w:ascii="Wingdings" w:hAnsi="Wingdings" w:hint="default"/>
      </w:rPr>
    </w:lvl>
    <w:lvl w:ilvl="3" w:tplc="9460AED0" w:tentative="1">
      <w:start w:val="1"/>
      <w:numFmt w:val="bullet"/>
      <w:lvlText w:val=""/>
      <w:lvlJc w:val="left"/>
      <w:pPr>
        <w:ind w:left="2880" w:hanging="360"/>
      </w:pPr>
      <w:rPr>
        <w:rFonts w:ascii="Symbol" w:hAnsi="Symbol" w:hint="default"/>
      </w:rPr>
    </w:lvl>
    <w:lvl w:ilvl="4" w:tplc="0D9A48C4" w:tentative="1">
      <w:start w:val="1"/>
      <w:numFmt w:val="bullet"/>
      <w:lvlText w:val="o"/>
      <w:lvlJc w:val="left"/>
      <w:pPr>
        <w:ind w:left="3600" w:hanging="360"/>
      </w:pPr>
      <w:rPr>
        <w:rFonts w:ascii="Courier New" w:hAnsi="Courier New" w:cs="Courier New" w:hint="default"/>
      </w:rPr>
    </w:lvl>
    <w:lvl w:ilvl="5" w:tplc="FA3802D4" w:tentative="1">
      <w:start w:val="1"/>
      <w:numFmt w:val="bullet"/>
      <w:lvlText w:val=""/>
      <w:lvlJc w:val="left"/>
      <w:pPr>
        <w:ind w:left="4320" w:hanging="360"/>
      </w:pPr>
      <w:rPr>
        <w:rFonts w:ascii="Wingdings" w:hAnsi="Wingdings" w:hint="default"/>
      </w:rPr>
    </w:lvl>
    <w:lvl w:ilvl="6" w:tplc="F0220C80" w:tentative="1">
      <w:start w:val="1"/>
      <w:numFmt w:val="bullet"/>
      <w:lvlText w:val=""/>
      <w:lvlJc w:val="left"/>
      <w:pPr>
        <w:ind w:left="5040" w:hanging="360"/>
      </w:pPr>
      <w:rPr>
        <w:rFonts w:ascii="Symbol" w:hAnsi="Symbol" w:hint="default"/>
      </w:rPr>
    </w:lvl>
    <w:lvl w:ilvl="7" w:tplc="0D3AB44C" w:tentative="1">
      <w:start w:val="1"/>
      <w:numFmt w:val="bullet"/>
      <w:lvlText w:val="o"/>
      <w:lvlJc w:val="left"/>
      <w:pPr>
        <w:ind w:left="5760" w:hanging="360"/>
      </w:pPr>
      <w:rPr>
        <w:rFonts w:ascii="Courier New" w:hAnsi="Courier New" w:cs="Courier New" w:hint="default"/>
      </w:rPr>
    </w:lvl>
    <w:lvl w:ilvl="8" w:tplc="3EC45D50" w:tentative="1">
      <w:start w:val="1"/>
      <w:numFmt w:val="bullet"/>
      <w:lvlText w:val=""/>
      <w:lvlJc w:val="left"/>
      <w:pPr>
        <w:ind w:left="6480" w:hanging="360"/>
      </w:pPr>
      <w:rPr>
        <w:rFonts w:ascii="Wingdings" w:hAnsi="Wingdings" w:hint="default"/>
      </w:rPr>
    </w:lvl>
  </w:abstractNum>
  <w:abstractNum w:abstractNumId="2">
    <w:nsid w:val="00CF4143"/>
    <w:multiLevelType w:val="hybridMultilevel"/>
    <w:tmpl w:val="B4ACDF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1525FE8"/>
    <w:multiLevelType w:val="hybridMultilevel"/>
    <w:tmpl w:val="29C82530"/>
    <w:lvl w:ilvl="0" w:tplc="14566958">
      <w:start w:val="1"/>
      <w:numFmt w:val="bullet"/>
      <w:lvlText w:val=""/>
      <w:lvlJc w:val="left"/>
      <w:pPr>
        <w:ind w:left="720" w:hanging="360"/>
      </w:pPr>
      <w:rPr>
        <w:rFonts w:ascii="Symbol" w:hAnsi="Symbol" w:hint="default"/>
      </w:rPr>
    </w:lvl>
    <w:lvl w:ilvl="1" w:tplc="C0B42B24" w:tentative="1">
      <w:start w:val="1"/>
      <w:numFmt w:val="bullet"/>
      <w:lvlText w:val="o"/>
      <w:lvlJc w:val="left"/>
      <w:pPr>
        <w:ind w:left="1440" w:hanging="360"/>
      </w:pPr>
      <w:rPr>
        <w:rFonts w:ascii="Courier New" w:hAnsi="Courier New" w:cs="Courier New" w:hint="default"/>
      </w:rPr>
    </w:lvl>
    <w:lvl w:ilvl="2" w:tplc="5BCAE15C" w:tentative="1">
      <w:start w:val="1"/>
      <w:numFmt w:val="bullet"/>
      <w:lvlText w:val=""/>
      <w:lvlJc w:val="left"/>
      <w:pPr>
        <w:ind w:left="2160" w:hanging="360"/>
      </w:pPr>
      <w:rPr>
        <w:rFonts w:ascii="Wingdings" w:hAnsi="Wingdings" w:hint="default"/>
      </w:rPr>
    </w:lvl>
    <w:lvl w:ilvl="3" w:tplc="20629C9A" w:tentative="1">
      <w:start w:val="1"/>
      <w:numFmt w:val="bullet"/>
      <w:lvlText w:val=""/>
      <w:lvlJc w:val="left"/>
      <w:pPr>
        <w:ind w:left="2880" w:hanging="360"/>
      </w:pPr>
      <w:rPr>
        <w:rFonts w:ascii="Symbol" w:hAnsi="Symbol" w:hint="default"/>
      </w:rPr>
    </w:lvl>
    <w:lvl w:ilvl="4" w:tplc="46B0233A" w:tentative="1">
      <w:start w:val="1"/>
      <w:numFmt w:val="bullet"/>
      <w:lvlText w:val="o"/>
      <w:lvlJc w:val="left"/>
      <w:pPr>
        <w:ind w:left="3600" w:hanging="360"/>
      </w:pPr>
      <w:rPr>
        <w:rFonts w:ascii="Courier New" w:hAnsi="Courier New" w:cs="Courier New" w:hint="default"/>
      </w:rPr>
    </w:lvl>
    <w:lvl w:ilvl="5" w:tplc="B6265E24" w:tentative="1">
      <w:start w:val="1"/>
      <w:numFmt w:val="bullet"/>
      <w:lvlText w:val=""/>
      <w:lvlJc w:val="left"/>
      <w:pPr>
        <w:ind w:left="4320" w:hanging="360"/>
      </w:pPr>
      <w:rPr>
        <w:rFonts w:ascii="Wingdings" w:hAnsi="Wingdings" w:hint="default"/>
      </w:rPr>
    </w:lvl>
    <w:lvl w:ilvl="6" w:tplc="E1A645D0" w:tentative="1">
      <w:start w:val="1"/>
      <w:numFmt w:val="bullet"/>
      <w:lvlText w:val=""/>
      <w:lvlJc w:val="left"/>
      <w:pPr>
        <w:ind w:left="5040" w:hanging="360"/>
      </w:pPr>
      <w:rPr>
        <w:rFonts w:ascii="Symbol" w:hAnsi="Symbol" w:hint="default"/>
      </w:rPr>
    </w:lvl>
    <w:lvl w:ilvl="7" w:tplc="9378F0E4" w:tentative="1">
      <w:start w:val="1"/>
      <w:numFmt w:val="bullet"/>
      <w:lvlText w:val="o"/>
      <w:lvlJc w:val="left"/>
      <w:pPr>
        <w:ind w:left="5760" w:hanging="360"/>
      </w:pPr>
      <w:rPr>
        <w:rFonts w:ascii="Courier New" w:hAnsi="Courier New" w:cs="Courier New" w:hint="default"/>
      </w:rPr>
    </w:lvl>
    <w:lvl w:ilvl="8" w:tplc="FE34A84E" w:tentative="1">
      <w:start w:val="1"/>
      <w:numFmt w:val="bullet"/>
      <w:lvlText w:val=""/>
      <w:lvlJc w:val="left"/>
      <w:pPr>
        <w:ind w:left="6480" w:hanging="360"/>
      </w:pPr>
      <w:rPr>
        <w:rFonts w:ascii="Wingdings" w:hAnsi="Wingdings" w:hint="default"/>
      </w:rPr>
    </w:lvl>
  </w:abstractNum>
  <w:abstractNum w:abstractNumId="4">
    <w:nsid w:val="01A55591"/>
    <w:multiLevelType w:val="hybridMultilevel"/>
    <w:tmpl w:val="B02C08B4"/>
    <w:lvl w:ilvl="0" w:tplc="2E363A54">
      <w:start w:val="1"/>
      <w:numFmt w:val="bullet"/>
      <w:lvlText w:val=""/>
      <w:lvlJc w:val="left"/>
      <w:pPr>
        <w:ind w:left="720" w:hanging="360"/>
      </w:pPr>
      <w:rPr>
        <w:rFonts w:ascii="Symbol" w:hAnsi="Symbol" w:hint="default"/>
      </w:rPr>
    </w:lvl>
    <w:lvl w:ilvl="1" w:tplc="F3B2B456" w:tentative="1">
      <w:start w:val="1"/>
      <w:numFmt w:val="bullet"/>
      <w:lvlText w:val="o"/>
      <w:lvlJc w:val="left"/>
      <w:pPr>
        <w:ind w:left="1440" w:hanging="360"/>
      </w:pPr>
      <w:rPr>
        <w:rFonts w:ascii="Courier New" w:hAnsi="Courier New" w:cs="Courier New" w:hint="default"/>
      </w:rPr>
    </w:lvl>
    <w:lvl w:ilvl="2" w:tplc="DE04EF20" w:tentative="1">
      <w:start w:val="1"/>
      <w:numFmt w:val="bullet"/>
      <w:lvlText w:val=""/>
      <w:lvlJc w:val="left"/>
      <w:pPr>
        <w:ind w:left="2160" w:hanging="360"/>
      </w:pPr>
      <w:rPr>
        <w:rFonts w:ascii="Wingdings" w:hAnsi="Wingdings" w:hint="default"/>
      </w:rPr>
    </w:lvl>
    <w:lvl w:ilvl="3" w:tplc="410CCC9C" w:tentative="1">
      <w:start w:val="1"/>
      <w:numFmt w:val="bullet"/>
      <w:lvlText w:val=""/>
      <w:lvlJc w:val="left"/>
      <w:pPr>
        <w:ind w:left="2880" w:hanging="360"/>
      </w:pPr>
      <w:rPr>
        <w:rFonts w:ascii="Symbol" w:hAnsi="Symbol" w:hint="default"/>
      </w:rPr>
    </w:lvl>
    <w:lvl w:ilvl="4" w:tplc="0CB829BE" w:tentative="1">
      <w:start w:val="1"/>
      <w:numFmt w:val="bullet"/>
      <w:lvlText w:val="o"/>
      <w:lvlJc w:val="left"/>
      <w:pPr>
        <w:ind w:left="3600" w:hanging="360"/>
      </w:pPr>
      <w:rPr>
        <w:rFonts w:ascii="Courier New" w:hAnsi="Courier New" w:cs="Courier New" w:hint="default"/>
      </w:rPr>
    </w:lvl>
    <w:lvl w:ilvl="5" w:tplc="CD56F732" w:tentative="1">
      <w:start w:val="1"/>
      <w:numFmt w:val="bullet"/>
      <w:lvlText w:val=""/>
      <w:lvlJc w:val="left"/>
      <w:pPr>
        <w:ind w:left="4320" w:hanging="360"/>
      </w:pPr>
      <w:rPr>
        <w:rFonts w:ascii="Wingdings" w:hAnsi="Wingdings" w:hint="default"/>
      </w:rPr>
    </w:lvl>
    <w:lvl w:ilvl="6" w:tplc="CF929C70" w:tentative="1">
      <w:start w:val="1"/>
      <w:numFmt w:val="bullet"/>
      <w:lvlText w:val=""/>
      <w:lvlJc w:val="left"/>
      <w:pPr>
        <w:ind w:left="5040" w:hanging="360"/>
      </w:pPr>
      <w:rPr>
        <w:rFonts w:ascii="Symbol" w:hAnsi="Symbol" w:hint="default"/>
      </w:rPr>
    </w:lvl>
    <w:lvl w:ilvl="7" w:tplc="2126FD1C" w:tentative="1">
      <w:start w:val="1"/>
      <w:numFmt w:val="bullet"/>
      <w:lvlText w:val="o"/>
      <w:lvlJc w:val="left"/>
      <w:pPr>
        <w:ind w:left="5760" w:hanging="360"/>
      </w:pPr>
      <w:rPr>
        <w:rFonts w:ascii="Courier New" w:hAnsi="Courier New" w:cs="Courier New" w:hint="default"/>
      </w:rPr>
    </w:lvl>
    <w:lvl w:ilvl="8" w:tplc="E04AFAA0" w:tentative="1">
      <w:start w:val="1"/>
      <w:numFmt w:val="bullet"/>
      <w:lvlText w:val=""/>
      <w:lvlJc w:val="left"/>
      <w:pPr>
        <w:ind w:left="6480" w:hanging="360"/>
      </w:pPr>
      <w:rPr>
        <w:rFonts w:ascii="Wingdings" w:hAnsi="Wingdings" w:hint="default"/>
      </w:rPr>
    </w:lvl>
  </w:abstractNum>
  <w:abstractNum w:abstractNumId="5">
    <w:nsid w:val="031A3853"/>
    <w:multiLevelType w:val="hybridMultilevel"/>
    <w:tmpl w:val="13088980"/>
    <w:lvl w:ilvl="0" w:tplc="BC524D26">
      <w:start w:val="1"/>
      <w:numFmt w:val="decimal"/>
      <w:lvlText w:val="%1."/>
      <w:lvlJc w:val="left"/>
      <w:pPr>
        <w:ind w:left="360" w:hanging="360"/>
      </w:pPr>
    </w:lvl>
    <w:lvl w:ilvl="1" w:tplc="0DBAE2C6" w:tentative="1">
      <w:start w:val="1"/>
      <w:numFmt w:val="lowerLetter"/>
      <w:lvlText w:val="%2."/>
      <w:lvlJc w:val="left"/>
      <w:pPr>
        <w:ind w:left="1080" w:hanging="360"/>
      </w:pPr>
    </w:lvl>
    <w:lvl w:ilvl="2" w:tplc="48C89BD2" w:tentative="1">
      <w:start w:val="1"/>
      <w:numFmt w:val="lowerRoman"/>
      <w:lvlText w:val="%3."/>
      <w:lvlJc w:val="right"/>
      <w:pPr>
        <w:ind w:left="1800" w:hanging="180"/>
      </w:pPr>
    </w:lvl>
    <w:lvl w:ilvl="3" w:tplc="70FCE068" w:tentative="1">
      <w:start w:val="1"/>
      <w:numFmt w:val="decimal"/>
      <w:lvlText w:val="%4."/>
      <w:lvlJc w:val="left"/>
      <w:pPr>
        <w:ind w:left="2520" w:hanging="360"/>
      </w:pPr>
    </w:lvl>
    <w:lvl w:ilvl="4" w:tplc="ACB41BC8" w:tentative="1">
      <w:start w:val="1"/>
      <w:numFmt w:val="lowerLetter"/>
      <w:lvlText w:val="%5."/>
      <w:lvlJc w:val="left"/>
      <w:pPr>
        <w:ind w:left="3240" w:hanging="360"/>
      </w:pPr>
    </w:lvl>
    <w:lvl w:ilvl="5" w:tplc="4C6423D6" w:tentative="1">
      <w:start w:val="1"/>
      <w:numFmt w:val="lowerRoman"/>
      <w:lvlText w:val="%6."/>
      <w:lvlJc w:val="right"/>
      <w:pPr>
        <w:ind w:left="3960" w:hanging="180"/>
      </w:pPr>
    </w:lvl>
    <w:lvl w:ilvl="6" w:tplc="0C2C4F14" w:tentative="1">
      <w:start w:val="1"/>
      <w:numFmt w:val="decimal"/>
      <w:lvlText w:val="%7."/>
      <w:lvlJc w:val="left"/>
      <w:pPr>
        <w:ind w:left="4680" w:hanging="360"/>
      </w:pPr>
    </w:lvl>
    <w:lvl w:ilvl="7" w:tplc="16FC1C30" w:tentative="1">
      <w:start w:val="1"/>
      <w:numFmt w:val="lowerLetter"/>
      <w:lvlText w:val="%8."/>
      <w:lvlJc w:val="left"/>
      <w:pPr>
        <w:ind w:left="5400" w:hanging="360"/>
      </w:pPr>
    </w:lvl>
    <w:lvl w:ilvl="8" w:tplc="D8B68058" w:tentative="1">
      <w:start w:val="1"/>
      <w:numFmt w:val="lowerRoman"/>
      <w:lvlText w:val="%9."/>
      <w:lvlJc w:val="right"/>
      <w:pPr>
        <w:ind w:left="6120" w:hanging="180"/>
      </w:pPr>
    </w:lvl>
  </w:abstractNum>
  <w:abstractNum w:abstractNumId="6">
    <w:nsid w:val="03F45BCD"/>
    <w:multiLevelType w:val="hybridMultilevel"/>
    <w:tmpl w:val="40C2D368"/>
    <w:lvl w:ilvl="0" w:tplc="916C7726">
      <w:start w:val="1"/>
      <w:numFmt w:val="bullet"/>
      <w:lvlText w:val=""/>
      <w:lvlJc w:val="left"/>
      <w:pPr>
        <w:ind w:left="1440" w:hanging="360"/>
      </w:pPr>
      <w:rPr>
        <w:rFonts w:ascii="Symbol" w:hAnsi="Symbol" w:hint="default"/>
      </w:rPr>
    </w:lvl>
    <w:lvl w:ilvl="1" w:tplc="7A0CB6F4" w:tentative="1">
      <w:start w:val="1"/>
      <w:numFmt w:val="bullet"/>
      <w:lvlText w:val="o"/>
      <w:lvlJc w:val="left"/>
      <w:pPr>
        <w:ind w:left="2160" w:hanging="360"/>
      </w:pPr>
      <w:rPr>
        <w:rFonts w:ascii="Courier New" w:hAnsi="Courier New" w:cs="Courier New" w:hint="default"/>
      </w:rPr>
    </w:lvl>
    <w:lvl w:ilvl="2" w:tplc="62F835AC" w:tentative="1">
      <w:start w:val="1"/>
      <w:numFmt w:val="bullet"/>
      <w:lvlText w:val=""/>
      <w:lvlJc w:val="left"/>
      <w:pPr>
        <w:ind w:left="2880" w:hanging="360"/>
      </w:pPr>
      <w:rPr>
        <w:rFonts w:ascii="Wingdings" w:hAnsi="Wingdings" w:hint="default"/>
      </w:rPr>
    </w:lvl>
    <w:lvl w:ilvl="3" w:tplc="9364EA60" w:tentative="1">
      <w:start w:val="1"/>
      <w:numFmt w:val="bullet"/>
      <w:lvlText w:val=""/>
      <w:lvlJc w:val="left"/>
      <w:pPr>
        <w:ind w:left="3600" w:hanging="360"/>
      </w:pPr>
      <w:rPr>
        <w:rFonts w:ascii="Symbol" w:hAnsi="Symbol" w:hint="default"/>
      </w:rPr>
    </w:lvl>
    <w:lvl w:ilvl="4" w:tplc="1C44CF8E" w:tentative="1">
      <w:start w:val="1"/>
      <w:numFmt w:val="bullet"/>
      <w:lvlText w:val="o"/>
      <w:lvlJc w:val="left"/>
      <w:pPr>
        <w:ind w:left="4320" w:hanging="360"/>
      </w:pPr>
      <w:rPr>
        <w:rFonts w:ascii="Courier New" w:hAnsi="Courier New" w:cs="Courier New" w:hint="default"/>
      </w:rPr>
    </w:lvl>
    <w:lvl w:ilvl="5" w:tplc="FD66CBB2" w:tentative="1">
      <w:start w:val="1"/>
      <w:numFmt w:val="bullet"/>
      <w:lvlText w:val=""/>
      <w:lvlJc w:val="left"/>
      <w:pPr>
        <w:ind w:left="5040" w:hanging="360"/>
      </w:pPr>
      <w:rPr>
        <w:rFonts w:ascii="Wingdings" w:hAnsi="Wingdings" w:hint="default"/>
      </w:rPr>
    </w:lvl>
    <w:lvl w:ilvl="6" w:tplc="FDDEBAD0" w:tentative="1">
      <w:start w:val="1"/>
      <w:numFmt w:val="bullet"/>
      <w:lvlText w:val=""/>
      <w:lvlJc w:val="left"/>
      <w:pPr>
        <w:ind w:left="5760" w:hanging="360"/>
      </w:pPr>
      <w:rPr>
        <w:rFonts w:ascii="Symbol" w:hAnsi="Symbol" w:hint="default"/>
      </w:rPr>
    </w:lvl>
    <w:lvl w:ilvl="7" w:tplc="385CB3AC" w:tentative="1">
      <w:start w:val="1"/>
      <w:numFmt w:val="bullet"/>
      <w:lvlText w:val="o"/>
      <w:lvlJc w:val="left"/>
      <w:pPr>
        <w:ind w:left="6480" w:hanging="360"/>
      </w:pPr>
      <w:rPr>
        <w:rFonts w:ascii="Courier New" w:hAnsi="Courier New" w:cs="Courier New" w:hint="default"/>
      </w:rPr>
    </w:lvl>
    <w:lvl w:ilvl="8" w:tplc="6C268566" w:tentative="1">
      <w:start w:val="1"/>
      <w:numFmt w:val="bullet"/>
      <w:lvlText w:val=""/>
      <w:lvlJc w:val="left"/>
      <w:pPr>
        <w:ind w:left="7200" w:hanging="360"/>
      </w:pPr>
      <w:rPr>
        <w:rFonts w:ascii="Wingdings" w:hAnsi="Wingdings" w:hint="default"/>
      </w:rPr>
    </w:lvl>
  </w:abstractNum>
  <w:abstractNum w:abstractNumId="7">
    <w:nsid w:val="052A40AA"/>
    <w:multiLevelType w:val="hybridMultilevel"/>
    <w:tmpl w:val="797C0176"/>
    <w:lvl w:ilvl="0" w:tplc="0CF6A1F6">
      <w:start w:val="1"/>
      <w:numFmt w:val="lowerLetter"/>
      <w:lvlText w:val="%1."/>
      <w:lvlJc w:val="left"/>
      <w:pPr>
        <w:ind w:left="615" w:hanging="360"/>
      </w:pPr>
      <w:rPr>
        <w:rFonts w:cs="Times New Roman" w:hint="default"/>
      </w:rPr>
    </w:lvl>
    <w:lvl w:ilvl="1" w:tplc="084A4326" w:tentative="1">
      <w:start w:val="1"/>
      <w:numFmt w:val="lowerLetter"/>
      <w:lvlText w:val="%2."/>
      <w:lvlJc w:val="left"/>
      <w:pPr>
        <w:ind w:left="1335" w:hanging="360"/>
      </w:pPr>
      <w:rPr>
        <w:rFonts w:cs="Times New Roman"/>
      </w:rPr>
    </w:lvl>
    <w:lvl w:ilvl="2" w:tplc="9B44238E" w:tentative="1">
      <w:start w:val="1"/>
      <w:numFmt w:val="lowerRoman"/>
      <w:lvlText w:val="%3."/>
      <w:lvlJc w:val="right"/>
      <w:pPr>
        <w:ind w:left="2055" w:hanging="180"/>
      </w:pPr>
      <w:rPr>
        <w:rFonts w:cs="Times New Roman"/>
      </w:rPr>
    </w:lvl>
    <w:lvl w:ilvl="3" w:tplc="68A60796" w:tentative="1">
      <w:start w:val="1"/>
      <w:numFmt w:val="decimal"/>
      <w:lvlText w:val="%4."/>
      <w:lvlJc w:val="left"/>
      <w:pPr>
        <w:ind w:left="2775" w:hanging="360"/>
      </w:pPr>
      <w:rPr>
        <w:rFonts w:cs="Times New Roman"/>
      </w:rPr>
    </w:lvl>
    <w:lvl w:ilvl="4" w:tplc="42A045B8" w:tentative="1">
      <w:start w:val="1"/>
      <w:numFmt w:val="lowerLetter"/>
      <w:lvlText w:val="%5."/>
      <w:lvlJc w:val="left"/>
      <w:pPr>
        <w:ind w:left="3495" w:hanging="360"/>
      </w:pPr>
      <w:rPr>
        <w:rFonts w:cs="Times New Roman"/>
      </w:rPr>
    </w:lvl>
    <w:lvl w:ilvl="5" w:tplc="F4AE68BC" w:tentative="1">
      <w:start w:val="1"/>
      <w:numFmt w:val="lowerRoman"/>
      <w:lvlText w:val="%6."/>
      <w:lvlJc w:val="right"/>
      <w:pPr>
        <w:ind w:left="4215" w:hanging="180"/>
      </w:pPr>
      <w:rPr>
        <w:rFonts w:cs="Times New Roman"/>
      </w:rPr>
    </w:lvl>
    <w:lvl w:ilvl="6" w:tplc="759C5308" w:tentative="1">
      <w:start w:val="1"/>
      <w:numFmt w:val="decimal"/>
      <w:lvlText w:val="%7."/>
      <w:lvlJc w:val="left"/>
      <w:pPr>
        <w:ind w:left="4935" w:hanging="360"/>
      </w:pPr>
      <w:rPr>
        <w:rFonts w:cs="Times New Roman"/>
      </w:rPr>
    </w:lvl>
    <w:lvl w:ilvl="7" w:tplc="E624A5E4" w:tentative="1">
      <w:start w:val="1"/>
      <w:numFmt w:val="lowerLetter"/>
      <w:lvlText w:val="%8."/>
      <w:lvlJc w:val="left"/>
      <w:pPr>
        <w:ind w:left="5655" w:hanging="360"/>
      </w:pPr>
      <w:rPr>
        <w:rFonts w:cs="Times New Roman"/>
      </w:rPr>
    </w:lvl>
    <w:lvl w:ilvl="8" w:tplc="C1DA6A38" w:tentative="1">
      <w:start w:val="1"/>
      <w:numFmt w:val="lowerRoman"/>
      <w:lvlText w:val="%9."/>
      <w:lvlJc w:val="right"/>
      <w:pPr>
        <w:ind w:left="6375" w:hanging="180"/>
      </w:pPr>
      <w:rPr>
        <w:rFonts w:cs="Times New Roman"/>
      </w:rPr>
    </w:lvl>
  </w:abstractNum>
  <w:abstractNum w:abstractNumId="8">
    <w:nsid w:val="0591488B"/>
    <w:multiLevelType w:val="hybridMultilevel"/>
    <w:tmpl w:val="6C54735C"/>
    <w:lvl w:ilvl="0" w:tplc="62AA9C64">
      <w:start w:val="1"/>
      <w:numFmt w:val="bullet"/>
      <w:lvlText w:val=""/>
      <w:lvlJc w:val="left"/>
      <w:pPr>
        <w:ind w:left="720" w:hanging="360"/>
      </w:pPr>
      <w:rPr>
        <w:rFonts w:ascii="Symbol" w:hAnsi="Symbol" w:hint="default"/>
      </w:rPr>
    </w:lvl>
    <w:lvl w:ilvl="1" w:tplc="383E1638">
      <w:start w:val="1"/>
      <w:numFmt w:val="bullet"/>
      <w:lvlText w:val="o"/>
      <w:lvlJc w:val="left"/>
      <w:pPr>
        <w:ind w:left="1440" w:hanging="360"/>
      </w:pPr>
      <w:rPr>
        <w:rFonts w:ascii="Courier New" w:hAnsi="Courier New" w:hint="default"/>
      </w:rPr>
    </w:lvl>
    <w:lvl w:ilvl="2" w:tplc="E02CAAEA">
      <w:start w:val="1"/>
      <w:numFmt w:val="bullet"/>
      <w:lvlText w:val=""/>
      <w:lvlJc w:val="left"/>
      <w:pPr>
        <w:ind w:left="2160" w:hanging="360"/>
      </w:pPr>
      <w:rPr>
        <w:rFonts w:ascii="Wingdings" w:hAnsi="Wingdings" w:hint="default"/>
      </w:rPr>
    </w:lvl>
    <w:lvl w:ilvl="3" w:tplc="515A78CA">
      <w:start w:val="1"/>
      <w:numFmt w:val="bullet"/>
      <w:lvlText w:val=""/>
      <w:lvlJc w:val="left"/>
      <w:pPr>
        <w:ind w:left="2880" w:hanging="360"/>
      </w:pPr>
      <w:rPr>
        <w:rFonts w:ascii="Symbol" w:hAnsi="Symbol" w:hint="default"/>
      </w:rPr>
    </w:lvl>
    <w:lvl w:ilvl="4" w:tplc="79AE94B6">
      <w:start w:val="1"/>
      <w:numFmt w:val="bullet"/>
      <w:lvlText w:val="o"/>
      <w:lvlJc w:val="left"/>
      <w:pPr>
        <w:ind w:left="3600" w:hanging="360"/>
      </w:pPr>
      <w:rPr>
        <w:rFonts w:ascii="Courier New" w:hAnsi="Courier New" w:hint="default"/>
      </w:rPr>
    </w:lvl>
    <w:lvl w:ilvl="5" w:tplc="73F62A60">
      <w:start w:val="1"/>
      <w:numFmt w:val="bullet"/>
      <w:lvlText w:val=""/>
      <w:lvlJc w:val="left"/>
      <w:pPr>
        <w:ind w:left="4320" w:hanging="360"/>
      </w:pPr>
      <w:rPr>
        <w:rFonts w:ascii="Wingdings" w:hAnsi="Wingdings" w:hint="default"/>
      </w:rPr>
    </w:lvl>
    <w:lvl w:ilvl="6" w:tplc="2B664092">
      <w:start w:val="1"/>
      <w:numFmt w:val="bullet"/>
      <w:lvlText w:val=""/>
      <w:lvlJc w:val="left"/>
      <w:pPr>
        <w:ind w:left="5040" w:hanging="360"/>
      </w:pPr>
      <w:rPr>
        <w:rFonts w:ascii="Symbol" w:hAnsi="Symbol" w:hint="default"/>
      </w:rPr>
    </w:lvl>
    <w:lvl w:ilvl="7" w:tplc="8C4A8B64">
      <w:start w:val="1"/>
      <w:numFmt w:val="bullet"/>
      <w:lvlText w:val="o"/>
      <w:lvlJc w:val="left"/>
      <w:pPr>
        <w:ind w:left="5760" w:hanging="360"/>
      </w:pPr>
      <w:rPr>
        <w:rFonts w:ascii="Courier New" w:hAnsi="Courier New" w:hint="default"/>
      </w:rPr>
    </w:lvl>
    <w:lvl w:ilvl="8" w:tplc="20E454D0">
      <w:start w:val="1"/>
      <w:numFmt w:val="bullet"/>
      <w:lvlText w:val=""/>
      <w:lvlJc w:val="left"/>
      <w:pPr>
        <w:ind w:left="6480" w:hanging="360"/>
      </w:pPr>
      <w:rPr>
        <w:rFonts w:ascii="Wingdings" w:hAnsi="Wingdings" w:hint="default"/>
      </w:rPr>
    </w:lvl>
  </w:abstractNum>
  <w:abstractNum w:abstractNumId="9">
    <w:nsid w:val="06A230B8"/>
    <w:multiLevelType w:val="hybridMultilevel"/>
    <w:tmpl w:val="E5D01BDA"/>
    <w:lvl w:ilvl="0" w:tplc="EDBCF964">
      <w:start w:val="1"/>
      <w:numFmt w:val="decimal"/>
      <w:lvlText w:val="%1."/>
      <w:lvlJc w:val="left"/>
      <w:pPr>
        <w:ind w:left="720" w:hanging="360"/>
      </w:pPr>
      <w:rPr>
        <w:rFonts w:cs="Times New Roman"/>
      </w:rPr>
    </w:lvl>
    <w:lvl w:ilvl="1" w:tplc="3B523E40" w:tentative="1">
      <w:start w:val="1"/>
      <w:numFmt w:val="lowerLetter"/>
      <w:lvlText w:val="%2."/>
      <w:lvlJc w:val="left"/>
      <w:pPr>
        <w:ind w:left="1440" w:hanging="360"/>
      </w:pPr>
      <w:rPr>
        <w:rFonts w:cs="Times New Roman"/>
      </w:rPr>
    </w:lvl>
    <w:lvl w:ilvl="2" w:tplc="8BDABAEC" w:tentative="1">
      <w:start w:val="1"/>
      <w:numFmt w:val="lowerRoman"/>
      <w:lvlText w:val="%3."/>
      <w:lvlJc w:val="right"/>
      <w:pPr>
        <w:ind w:left="2160" w:hanging="180"/>
      </w:pPr>
      <w:rPr>
        <w:rFonts w:cs="Times New Roman"/>
      </w:rPr>
    </w:lvl>
    <w:lvl w:ilvl="3" w:tplc="89A4E0EA" w:tentative="1">
      <w:start w:val="1"/>
      <w:numFmt w:val="decimal"/>
      <w:lvlText w:val="%4."/>
      <w:lvlJc w:val="left"/>
      <w:pPr>
        <w:ind w:left="2880" w:hanging="360"/>
      </w:pPr>
      <w:rPr>
        <w:rFonts w:cs="Times New Roman"/>
      </w:rPr>
    </w:lvl>
    <w:lvl w:ilvl="4" w:tplc="F77CD12C" w:tentative="1">
      <w:start w:val="1"/>
      <w:numFmt w:val="lowerLetter"/>
      <w:lvlText w:val="%5."/>
      <w:lvlJc w:val="left"/>
      <w:pPr>
        <w:ind w:left="3600" w:hanging="360"/>
      </w:pPr>
      <w:rPr>
        <w:rFonts w:cs="Times New Roman"/>
      </w:rPr>
    </w:lvl>
    <w:lvl w:ilvl="5" w:tplc="2EFE37A8" w:tentative="1">
      <w:start w:val="1"/>
      <w:numFmt w:val="lowerRoman"/>
      <w:lvlText w:val="%6."/>
      <w:lvlJc w:val="right"/>
      <w:pPr>
        <w:ind w:left="4320" w:hanging="180"/>
      </w:pPr>
      <w:rPr>
        <w:rFonts w:cs="Times New Roman"/>
      </w:rPr>
    </w:lvl>
    <w:lvl w:ilvl="6" w:tplc="7DCC64D8" w:tentative="1">
      <w:start w:val="1"/>
      <w:numFmt w:val="decimal"/>
      <w:lvlText w:val="%7."/>
      <w:lvlJc w:val="left"/>
      <w:pPr>
        <w:ind w:left="5040" w:hanging="360"/>
      </w:pPr>
      <w:rPr>
        <w:rFonts w:cs="Times New Roman"/>
      </w:rPr>
    </w:lvl>
    <w:lvl w:ilvl="7" w:tplc="21842960" w:tentative="1">
      <w:start w:val="1"/>
      <w:numFmt w:val="lowerLetter"/>
      <w:lvlText w:val="%8."/>
      <w:lvlJc w:val="left"/>
      <w:pPr>
        <w:ind w:left="5760" w:hanging="360"/>
      </w:pPr>
      <w:rPr>
        <w:rFonts w:cs="Times New Roman"/>
      </w:rPr>
    </w:lvl>
    <w:lvl w:ilvl="8" w:tplc="944C9BCE" w:tentative="1">
      <w:start w:val="1"/>
      <w:numFmt w:val="lowerRoman"/>
      <w:lvlText w:val="%9."/>
      <w:lvlJc w:val="right"/>
      <w:pPr>
        <w:ind w:left="6480" w:hanging="180"/>
      </w:pPr>
      <w:rPr>
        <w:rFonts w:cs="Times New Roman"/>
      </w:rPr>
    </w:lvl>
  </w:abstractNum>
  <w:abstractNum w:abstractNumId="10">
    <w:nsid w:val="06B85F45"/>
    <w:multiLevelType w:val="hybridMultilevel"/>
    <w:tmpl w:val="40185CF0"/>
    <w:lvl w:ilvl="0" w:tplc="22A22A04">
      <w:start w:val="1"/>
      <w:numFmt w:val="decimal"/>
      <w:lvlText w:val="%1."/>
      <w:lvlJc w:val="left"/>
      <w:pPr>
        <w:ind w:left="720" w:hanging="360"/>
      </w:pPr>
      <w:rPr>
        <w:rFonts w:hint="default"/>
      </w:rPr>
    </w:lvl>
    <w:lvl w:ilvl="1" w:tplc="1FC2CF8C" w:tentative="1">
      <w:start w:val="1"/>
      <w:numFmt w:val="lowerLetter"/>
      <w:lvlText w:val="%2."/>
      <w:lvlJc w:val="left"/>
      <w:pPr>
        <w:ind w:left="1440" w:hanging="360"/>
      </w:pPr>
    </w:lvl>
    <w:lvl w:ilvl="2" w:tplc="E83CF6DE" w:tentative="1">
      <w:start w:val="1"/>
      <w:numFmt w:val="lowerRoman"/>
      <w:lvlText w:val="%3."/>
      <w:lvlJc w:val="right"/>
      <w:pPr>
        <w:ind w:left="2160" w:hanging="180"/>
      </w:pPr>
    </w:lvl>
    <w:lvl w:ilvl="3" w:tplc="3A2AEA0E" w:tentative="1">
      <w:start w:val="1"/>
      <w:numFmt w:val="decimal"/>
      <w:lvlText w:val="%4."/>
      <w:lvlJc w:val="left"/>
      <w:pPr>
        <w:ind w:left="2880" w:hanging="360"/>
      </w:pPr>
    </w:lvl>
    <w:lvl w:ilvl="4" w:tplc="AF54DC46" w:tentative="1">
      <w:start w:val="1"/>
      <w:numFmt w:val="lowerLetter"/>
      <w:lvlText w:val="%5."/>
      <w:lvlJc w:val="left"/>
      <w:pPr>
        <w:ind w:left="3600" w:hanging="360"/>
      </w:pPr>
    </w:lvl>
    <w:lvl w:ilvl="5" w:tplc="213A1AF2" w:tentative="1">
      <w:start w:val="1"/>
      <w:numFmt w:val="lowerRoman"/>
      <w:lvlText w:val="%6."/>
      <w:lvlJc w:val="right"/>
      <w:pPr>
        <w:ind w:left="4320" w:hanging="180"/>
      </w:pPr>
    </w:lvl>
    <w:lvl w:ilvl="6" w:tplc="262A90B0" w:tentative="1">
      <w:start w:val="1"/>
      <w:numFmt w:val="decimal"/>
      <w:lvlText w:val="%7."/>
      <w:lvlJc w:val="left"/>
      <w:pPr>
        <w:ind w:left="5040" w:hanging="360"/>
      </w:pPr>
    </w:lvl>
    <w:lvl w:ilvl="7" w:tplc="1A98B4F4" w:tentative="1">
      <w:start w:val="1"/>
      <w:numFmt w:val="lowerLetter"/>
      <w:lvlText w:val="%8."/>
      <w:lvlJc w:val="left"/>
      <w:pPr>
        <w:ind w:left="5760" w:hanging="360"/>
      </w:pPr>
    </w:lvl>
    <w:lvl w:ilvl="8" w:tplc="83083FB8" w:tentative="1">
      <w:start w:val="1"/>
      <w:numFmt w:val="lowerRoman"/>
      <w:lvlText w:val="%9."/>
      <w:lvlJc w:val="right"/>
      <w:pPr>
        <w:ind w:left="6480" w:hanging="180"/>
      </w:pPr>
    </w:lvl>
  </w:abstractNum>
  <w:abstractNum w:abstractNumId="11">
    <w:nsid w:val="08567FDD"/>
    <w:multiLevelType w:val="hybridMultilevel"/>
    <w:tmpl w:val="2CA669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85E20C2"/>
    <w:multiLevelType w:val="hybridMultilevel"/>
    <w:tmpl w:val="CBBA2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8C17D54"/>
    <w:multiLevelType w:val="hybridMultilevel"/>
    <w:tmpl w:val="92AC7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09716DEA"/>
    <w:multiLevelType w:val="hybridMultilevel"/>
    <w:tmpl w:val="DD78EAD4"/>
    <w:lvl w:ilvl="0" w:tplc="04090001">
      <w:start w:val="1"/>
      <w:numFmt w:val="decimal"/>
      <w:lvlText w:val="%1."/>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5">
    <w:nsid w:val="0A434AE3"/>
    <w:multiLevelType w:val="hybridMultilevel"/>
    <w:tmpl w:val="63F04448"/>
    <w:lvl w:ilvl="0" w:tplc="0409000F">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0A702E9F"/>
    <w:multiLevelType w:val="hybridMultilevel"/>
    <w:tmpl w:val="73C827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0AEB7B15"/>
    <w:multiLevelType w:val="hybridMultilevel"/>
    <w:tmpl w:val="2F36A36C"/>
    <w:lvl w:ilvl="0" w:tplc="33F6E4F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0C0A0753"/>
    <w:multiLevelType w:val="hybridMultilevel"/>
    <w:tmpl w:val="59DCA77C"/>
    <w:lvl w:ilvl="0" w:tplc="04090001">
      <w:start w:val="1"/>
      <w:numFmt w:val="lowerLetter"/>
      <w:lvlText w:val="(%1)"/>
      <w:lvlJc w:val="left"/>
      <w:pPr>
        <w:tabs>
          <w:tab w:val="num" w:pos="720"/>
        </w:tabs>
        <w:ind w:left="720" w:hanging="360"/>
      </w:pPr>
      <w:rPr>
        <w:rFonts w:cs="Times New Roman" w:hint="default"/>
      </w:rPr>
    </w:lvl>
    <w:lvl w:ilvl="1" w:tplc="04090003" w:tentative="1">
      <w:start w:val="1"/>
      <w:numFmt w:val="lowerLetter"/>
      <w:lvlText w:val="%2."/>
      <w:lvlJc w:val="left"/>
      <w:pPr>
        <w:tabs>
          <w:tab w:val="num" w:pos="1440"/>
        </w:tabs>
        <w:ind w:left="1440" w:hanging="360"/>
      </w:pPr>
      <w:rPr>
        <w:rFonts w:cs="Times New Roman"/>
      </w:rPr>
    </w:lvl>
    <w:lvl w:ilvl="2" w:tplc="04090005" w:tentative="1">
      <w:start w:val="1"/>
      <w:numFmt w:val="lowerRoman"/>
      <w:lvlText w:val="%3."/>
      <w:lvlJc w:val="right"/>
      <w:pPr>
        <w:tabs>
          <w:tab w:val="num" w:pos="2160"/>
        </w:tabs>
        <w:ind w:left="2160" w:hanging="180"/>
      </w:pPr>
      <w:rPr>
        <w:rFonts w:cs="Times New Roman"/>
      </w:rPr>
    </w:lvl>
    <w:lvl w:ilvl="3" w:tplc="04090001" w:tentative="1">
      <w:start w:val="1"/>
      <w:numFmt w:val="decimal"/>
      <w:lvlText w:val="%4."/>
      <w:lvlJc w:val="left"/>
      <w:pPr>
        <w:tabs>
          <w:tab w:val="num" w:pos="2880"/>
        </w:tabs>
        <w:ind w:left="2880" w:hanging="360"/>
      </w:pPr>
      <w:rPr>
        <w:rFonts w:cs="Times New Roman"/>
      </w:rPr>
    </w:lvl>
    <w:lvl w:ilvl="4" w:tplc="04090003" w:tentative="1">
      <w:start w:val="1"/>
      <w:numFmt w:val="lowerLetter"/>
      <w:lvlText w:val="%5."/>
      <w:lvlJc w:val="left"/>
      <w:pPr>
        <w:tabs>
          <w:tab w:val="num" w:pos="3600"/>
        </w:tabs>
        <w:ind w:left="3600" w:hanging="360"/>
      </w:pPr>
      <w:rPr>
        <w:rFonts w:cs="Times New Roman"/>
      </w:rPr>
    </w:lvl>
    <w:lvl w:ilvl="5" w:tplc="04090005" w:tentative="1">
      <w:start w:val="1"/>
      <w:numFmt w:val="lowerRoman"/>
      <w:lvlText w:val="%6."/>
      <w:lvlJc w:val="right"/>
      <w:pPr>
        <w:tabs>
          <w:tab w:val="num" w:pos="4320"/>
        </w:tabs>
        <w:ind w:left="4320" w:hanging="180"/>
      </w:pPr>
      <w:rPr>
        <w:rFonts w:cs="Times New Roman"/>
      </w:rPr>
    </w:lvl>
    <w:lvl w:ilvl="6" w:tplc="04090001" w:tentative="1">
      <w:start w:val="1"/>
      <w:numFmt w:val="decimal"/>
      <w:lvlText w:val="%7."/>
      <w:lvlJc w:val="left"/>
      <w:pPr>
        <w:tabs>
          <w:tab w:val="num" w:pos="5040"/>
        </w:tabs>
        <w:ind w:left="5040" w:hanging="360"/>
      </w:pPr>
      <w:rPr>
        <w:rFonts w:cs="Times New Roman"/>
      </w:rPr>
    </w:lvl>
    <w:lvl w:ilvl="7" w:tplc="04090003" w:tentative="1">
      <w:start w:val="1"/>
      <w:numFmt w:val="lowerLetter"/>
      <w:lvlText w:val="%8."/>
      <w:lvlJc w:val="left"/>
      <w:pPr>
        <w:tabs>
          <w:tab w:val="num" w:pos="5760"/>
        </w:tabs>
        <w:ind w:left="5760" w:hanging="360"/>
      </w:pPr>
      <w:rPr>
        <w:rFonts w:cs="Times New Roman"/>
      </w:rPr>
    </w:lvl>
    <w:lvl w:ilvl="8" w:tplc="04090005" w:tentative="1">
      <w:start w:val="1"/>
      <w:numFmt w:val="lowerRoman"/>
      <w:lvlText w:val="%9."/>
      <w:lvlJc w:val="right"/>
      <w:pPr>
        <w:tabs>
          <w:tab w:val="num" w:pos="6480"/>
        </w:tabs>
        <w:ind w:left="6480" w:hanging="180"/>
      </w:pPr>
      <w:rPr>
        <w:rFonts w:cs="Times New Roman"/>
      </w:rPr>
    </w:lvl>
  </w:abstractNum>
  <w:abstractNum w:abstractNumId="19">
    <w:nsid w:val="0FE160B7"/>
    <w:multiLevelType w:val="hybridMultilevel"/>
    <w:tmpl w:val="13786858"/>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0">
    <w:nsid w:val="1006627C"/>
    <w:multiLevelType w:val="hybridMultilevel"/>
    <w:tmpl w:val="F2184AE6"/>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1">
    <w:nsid w:val="10815C8A"/>
    <w:multiLevelType w:val="hybridMultilevel"/>
    <w:tmpl w:val="A7E6A6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10B7505"/>
    <w:multiLevelType w:val="hybridMultilevel"/>
    <w:tmpl w:val="3E6873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20A3B5C"/>
    <w:multiLevelType w:val="hybridMultilevel"/>
    <w:tmpl w:val="DA2C7794"/>
    <w:lvl w:ilvl="0" w:tplc="04090001">
      <w:start w:val="1"/>
      <w:numFmt w:val="decimal"/>
      <w:lvlText w:val="%1."/>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4">
    <w:nsid w:val="12190666"/>
    <w:multiLevelType w:val="hybridMultilevel"/>
    <w:tmpl w:val="637AA9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12614C39"/>
    <w:multiLevelType w:val="hybridMultilevel"/>
    <w:tmpl w:val="BB12290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12C36989"/>
    <w:multiLevelType w:val="hybridMultilevel"/>
    <w:tmpl w:val="32C643EC"/>
    <w:lvl w:ilvl="0" w:tplc="81DA06F4">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7">
    <w:nsid w:val="13183568"/>
    <w:multiLevelType w:val="hybridMultilevel"/>
    <w:tmpl w:val="0C54463A"/>
    <w:lvl w:ilvl="0" w:tplc="7EA621A4">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8">
    <w:nsid w:val="13874CE2"/>
    <w:multiLevelType w:val="hybridMultilevel"/>
    <w:tmpl w:val="655C01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139D141F"/>
    <w:multiLevelType w:val="hybridMultilevel"/>
    <w:tmpl w:val="212E513E"/>
    <w:lvl w:ilvl="0" w:tplc="01F09824">
      <w:start w:val="3"/>
      <w:numFmt w:val="upperLetter"/>
      <w:lvlText w:val="%1."/>
      <w:lvlJc w:val="left"/>
      <w:pPr>
        <w:ind w:left="36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0">
    <w:nsid w:val="13F42388"/>
    <w:multiLevelType w:val="hybridMultilevel"/>
    <w:tmpl w:val="BD8E91EE"/>
    <w:lvl w:ilvl="0" w:tplc="E4A06314">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13FD0C05"/>
    <w:multiLevelType w:val="hybridMultilevel"/>
    <w:tmpl w:val="9FC6FAD6"/>
    <w:lvl w:ilvl="0" w:tplc="04090001">
      <w:start w:val="1"/>
      <w:numFmt w:val="decimal"/>
      <w:lvlText w:val="%1."/>
      <w:lvlJc w:val="left"/>
      <w:pPr>
        <w:tabs>
          <w:tab w:val="num" w:pos="1080"/>
        </w:tabs>
        <w:ind w:left="1080" w:hanging="360"/>
      </w:pPr>
      <w:rPr>
        <w:rFonts w:cs="Times New Roman"/>
      </w:rPr>
    </w:lvl>
    <w:lvl w:ilvl="1" w:tplc="04090003" w:tentative="1">
      <w:start w:val="1"/>
      <w:numFmt w:val="lowerLetter"/>
      <w:lvlText w:val="%2."/>
      <w:lvlJc w:val="left"/>
      <w:pPr>
        <w:tabs>
          <w:tab w:val="num" w:pos="1800"/>
        </w:tabs>
        <w:ind w:left="1800" w:hanging="360"/>
      </w:pPr>
      <w:rPr>
        <w:rFonts w:cs="Times New Roman"/>
      </w:rPr>
    </w:lvl>
    <w:lvl w:ilvl="2" w:tplc="04090005" w:tentative="1">
      <w:start w:val="1"/>
      <w:numFmt w:val="lowerRoman"/>
      <w:lvlText w:val="%3."/>
      <w:lvlJc w:val="right"/>
      <w:pPr>
        <w:tabs>
          <w:tab w:val="num" w:pos="2520"/>
        </w:tabs>
        <w:ind w:left="2520" w:hanging="180"/>
      </w:pPr>
      <w:rPr>
        <w:rFonts w:cs="Times New Roman"/>
      </w:rPr>
    </w:lvl>
    <w:lvl w:ilvl="3" w:tplc="04090001" w:tentative="1">
      <w:start w:val="1"/>
      <w:numFmt w:val="decimal"/>
      <w:lvlText w:val="%4."/>
      <w:lvlJc w:val="left"/>
      <w:pPr>
        <w:tabs>
          <w:tab w:val="num" w:pos="3240"/>
        </w:tabs>
        <w:ind w:left="3240" w:hanging="360"/>
      </w:pPr>
      <w:rPr>
        <w:rFonts w:cs="Times New Roman"/>
      </w:rPr>
    </w:lvl>
    <w:lvl w:ilvl="4" w:tplc="04090003" w:tentative="1">
      <w:start w:val="1"/>
      <w:numFmt w:val="lowerLetter"/>
      <w:lvlText w:val="%5."/>
      <w:lvlJc w:val="left"/>
      <w:pPr>
        <w:tabs>
          <w:tab w:val="num" w:pos="3960"/>
        </w:tabs>
        <w:ind w:left="3960" w:hanging="360"/>
      </w:pPr>
      <w:rPr>
        <w:rFonts w:cs="Times New Roman"/>
      </w:rPr>
    </w:lvl>
    <w:lvl w:ilvl="5" w:tplc="04090005" w:tentative="1">
      <w:start w:val="1"/>
      <w:numFmt w:val="lowerRoman"/>
      <w:lvlText w:val="%6."/>
      <w:lvlJc w:val="right"/>
      <w:pPr>
        <w:tabs>
          <w:tab w:val="num" w:pos="4680"/>
        </w:tabs>
        <w:ind w:left="4680" w:hanging="180"/>
      </w:pPr>
      <w:rPr>
        <w:rFonts w:cs="Times New Roman"/>
      </w:rPr>
    </w:lvl>
    <w:lvl w:ilvl="6" w:tplc="04090001" w:tentative="1">
      <w:start w:val="1"/>
      <w:numFmt w:val="decimal"/>
      <w:lvlText w:val="%7."/>
      <w:lvlJc w:val="left"/>
      <w:pPr>
        <w:tabs>
          <w:tab w:val="num" w:pos="5400"/>
        </w:tabs>
        <w:ind w:left="5400" w:hanging="360"/>
      </w:pPr>
      <w:rPr>
        <w:rFonts w:cs="Times New Roman"/>
      </w:rPr>
    </w:lvl>
    <w:lvl w:ilvl="7" w:tplc="04090003" w:tentative="1">
      <w:start w:val="1"/>
      <w:numFmt w:val="lowerLetter"/>
      <w:lvlText w:val="%8."/>
      <w:lvlJc w:val="left"/>
      <w:pPr>
        <w:tabs>
          <w:tab w:val="num" w:pos="6120"/>
        </w:tabs>
        <w:ind w:left="6120" w:hanging="360"/>
      </w:pPr>
      <w:rPr>
        <w:rFonts w:cs="Times New Roman"/>
      </w:rPr>
    </w:lvl>
    <w:lvl w:ilvl="8" w:tplc="04090005" w:tentative="1">
      <w:start w:val="1"/>
      <w:numFmt w:val="lowerRoman"/>
      <w:lvlText w:val="%9."/>
      <w:lvlJc w:val="right"/>
      <w:pPr>
        <w:tabs>
          <w:tab w:val="num" w:pos="6840"/>
        </w:tabs>
        <w:ind w:left="6840" w:hanging="180"/>
      </w:pPr>
      <w:rPr>
        <w:rFonts w:cs="Times New Roman"/>
      </w:rPr>
    </w:lvl>
  </w:abstractNum>
  <w:abstractNum w:abstractNumId="32">
    <w:nsid w:val="14761583"/>
    <w:multiLevelType w:val="hybridMultilevel"/>
    <w:tmpl w:val="A71A0E92"/>
    <w:lvl w:ilvl="0" w:tplc="04090001">
      <w:start w:val="1"/>
      <w:numFmt w:val="lowerLetter"/>
      <w:lvlText w:val="%1."/>
      <w:lvlJc w:val="left"/>
      <w:pPr>
        <w:ind w:left="585" w:hanging="360"/>
      </w:pPr>
      <w:rPr>
        <w:rFonts w:cs="Times New Roman" w:hint="default"/>
      </w:rPr>
    </w:lvl>
    <w:lvl w:ilvl="1" w:tplc="04090003" w:tentative="1">
      <w:start w:val="1"/>
      <w:numFmt w:val="lowerLetter"/>
      <w:lvlText w:val="%2."/>
      <w:lvlJc w:val="left"/>
      <w:pPr>
        <w:ind w:left="1305" w:hanging="360"/>
      </w:pPr>
      <w:rPr>
        <w:rFonts w:cs="Times New Roman"/>
      </w:rPr>
    </w:lvl>
    <w:lvl w:ilvl="2" w:tplc="04090005" w:tentative="1">
      <w:start w:val="1"/>
      <w:numFmt w:val="lowerRoman"/>
      <w:lvlText w:val="%3."/>
      <w:lvlJc w:val="right"/>
      <w:pPr>
        <w:ind w:left="2025" w:hanging="180"/>
      </w:pPr>
      <w:rPr>
        <w:rFonts w:cs="Times New Roman"/>
      </w:rPr>
    </w:lvl>
    <w:lvl w:ilvl="3" w:tplc="04090001" w:tentative="1">
      <w:start w:val="1"/>
      <w:numFmt w:val="decimal"/>
      <w:lvlText w:val="%4."/>
      <w:lvlJc w:val="left"/>
      <w:pPr>
        <w:ind w:left="2745" w:hanging="360"/>
      </w:pPr>
      <w:rPr>
        <w:rFonts w:cs="Times New Roman"/>
      </w:rPr>
    </w:lvl>
    <w:lvl w:ilvl="4" w:tplc="04090003" w:tentative="1">
      <w:start w:val="1"/>
      <w:numFmt w:val="lowerLetter"/>
      <w:lvlText w:val="%5."/>
      <w:lvlJc w:val="left"/>
      <w:pPr>
        <w:ind w:left="3465" w:hanging="360"/>
      </w:pPr>
      <w:rPr>
        <w:rFonts w:cs="Times New Roman"/>
      </w:rPr>
    </w:lvl>
    <w:lvl w:ilvl="5" w:tplc="04090005" w:tentative="1">
      <w:start w:val="1"/>
      <w:numFmt w:val="lowerRoman"/>
      <w:lvlText w:val="%6."/>
      <w:lvlJc w:val="right"/>
      <w:pPr>
        <w:ind w:left="4185" w:hanging="180"/>
      </w:pPr>
      <w:rPr>
        <w:rFonts w:cs="Times New Roman"/>
      </w:rPr>
    </w:lvl>
    <w:lvl w:ilvl="6" w:tplc="04090001" w:tentative="1">
      <w:start w:val="1"/>
      <w:numFmt w:val="decimal"/>
      <w:lvlText w:val="%7."/>
      <w:lvlJc w:val="left"/>
      <w:pPr>
        <w:ind w:left="4905" w:hanging="360"/>
      </w:pPr>
      <w:rPr>
        <w:rFonts w:cs="Times New Roman"/>
      </w:rPr>
    </w:lvl>
    <w:lvl w:ilvl="7" w:tplc="04090003" w:tentative="1">
      <w:start w:val="1"/>
      <w:numFmt w:val="lowerLetter"/>
      <w:lvlText w:val="%8."/>
      <w:lvlJc w:val="left"/>
      <w:pPr>
        <w:ind w:left="5625" w:hanging="360"/>
      </w:pPr>
      <w:rPr>
        <w:rFonts w:cs="Times New Roman"/>
      </w:rPr>
    </w:lvl>
    <w:lvl w:ilvl="8" w:tplc="04090005" w:tentative="1">
      <w:start w:val="1"/>
      <w:numFmt w:val="lowerRoman"/>
      <w:lvlText w:val="%9."/>
      <w:lvlJc w:val="right"/>
      <w:pPr>
        <w:ind w:left="6345" w:hanging="180"/>
      </w:pPr>
      <w:rPr>
        <w:rFonts w:cs="Times New Roman"/>
      </w:rPr>
    </w:lvl>
  </w:abstractNum>
  <w:abstractNum w:abstractNumId="33">
    <w:nsid w:val="14B64A2C"/>
    <w:multiLevelType w:val="hybridMultilevel"/>
    <w:tmpl w:val="4328B29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nsid w:val="16A01DD0"/>
    <w:multiLevelType w:val="hybridMultilevel"/>
    <w:tmpl w:val="58C4C12C"/>
    <w:lvl w:ilvl="0" w:tplc="04090001">
      <w:start w:val="1"/>
      <w:numFmt w:val="lowerLetter"/>
      <w:lvlText w:val="%1."/>
      <w:lvlJc w:val="left"/>
      <w:pPr>
        <w:ind w:left="615" w:hanging="360"/>
      </w:pPr>
      <w:rPr>
        <w:rFonts w:cs="Times New Roman" w:hint="default"/>
      </w:rPr>
    </w:lvl>
    <w:lvl w:ilvl="1" w:tplc="04090003" w:tentative="1">
      <w:start w:val="1"/>
      <w:numFmt w:val="lowerLetter"/>
      <w:lvlText w:val="%2."/>
      <w:lvlJc w:val="left"/>
      <w:pPr>
        <w:ind w:left="1335" w:hanging="360"/>
      </w:pPr>
      <w:rPr>
        <w:rFonts w:cs="Times New Roman"/>
      </w:rPr>
    </w:lvl>
    <w:lvl w:ilvl="2" w:tplc="04090005" w:tentative="1">
      <w:start w:val="1"/>
      <w:numFmt w:val="lowerRoman"/>
      <w:lvlText w:val="%3."/>
      <w:lvlJc w:val="right"/>
      <w:pPr>
        <w:ind w:left="2055" w:hanging="180"/>
      </w:pPr>
      <w:rPr>
        <w:rFonts w:cs="Times New Roman"/>
      </w:rPr>
    </w:lvl>
    <w:lvl w:ilvl="3" w:tplc="04090001" w:tentative="1">
      <w:start w:val="1"/>
      <w:numFmt w:val="decimal"/>
      <w:lvlText w:val="%4."/>
      <w:lvlJc w:val="left"/>
      <w:pPr>
        <w:ind w:left="2775" w:hanging="360"/>
      </w:pPr>
      <w:rPr>
        <w:rFonts w:cs="Times New Roman"/>
      </w:rPr>
    </w:lvl>
    <w:lvl w:ilvl="4" w:tplc="04090003" w:tentative="1">
      <w:start w:val="1"/>
      <w:numFmt w:val="lowerLetter"/>
      <w:lvlText w:val="%5."/>
      <w:lvlJc w:val="left"/>
      <w:pPr>
        <w:ind w:left="3495" w:hanging="360"/>
      </w:pPr>
      <w:rPr>
        <w:rFonts w:cs="Times New Roman"/>
      </w:rPr>
    </w:lvl>
    <w:lvl w:ilvl="5" w:tplc="04090005" w:tentative="1">
      <w:start w:val="1"/>
      <w:numFmt w:val="lowerRoman"/>
      <w:lvlText w:val="%6."/>
      <w:lvlJc w:val="right"/>
      <w:pPr>
        <w:ind w:left="4215" w:hanging="180"/>
      </w:pPr>
      <w:rPr>
        <w:rFonts w:cs="Times New Roman"/>
      </w:rPr>
    </w:lvl>
    <w:lvl w:ilvl="6" w:tplc="04090001" w:tentative="1">
      <w:start w:val="1"/>
      <w:numFmt w:val="decimal"/>
      <w:lvlText w:val="%7."/>
      <w:lvlJc w:val="left"/>
      <w:pPr>
        <w:ind w:left="4935" w:hanging="360"/>
      </w:pPr>
      <w:rPr>
        <w:rFonts w:cs="Times New Roman"/>
      </w:rPr>
    </w:lvl>
    <w:lvl w:ilvl="7" w:tplc="04090003" w:tentative="1">
      <w:start w:val="1"/>
      <w:numFmt w:val="lowerLetter"/>
      <w:lvlText w:val="%8."/>
      <w:lvlJc w:val="left"/>
      <w:pPr>
        <w:ind w:left="5655" w:hanging="360"/>
      </w:pPr>
      <w:rPr>
        <w:rFonts w:cs="Times New Roman"/>
      </w:rPr>
    </w:lvl>
    <w:lvl w:ilvl="8" w:tplc="04090005" w:tentative="1">
      <w:start w:val="1"/>
      <w:numFmt w:val="lowerRoman"/>
      <w:lvlText w:val="%9."/>
      <w:lvlJc w:val="right"/>
      <w:pPr>
        <w:ind w:left="6375" w:hanging="180"/>
      </w:pPr>
      <w:rPr>
        <w:rFonts w:cs="Times New Roman"/>
      </w:rPr>
    </w:lvl>
  </w:abstractNum>
  <w:abstractNum w:abstractNumId="35">
    <w:nsid w:val="16F15793"/>
    <w:multiLevelType w:val="hybridMultilevel"/>
    <w:tmpl w:val="5E66E93A"/>
    <w:lvl w:ilvl="0" w:tplc="4D54EDB6">
      <w:start w:val="1"/>
      <w:numFmt w:val="bullet"/>
      <w:lvlText w:val=""/>
      <w:lvlJc w:val="left"/>
      <w:pPr>
        <w:ind w:left="360" w:hanging="360"/>
      </w:pPr>
      <w:rPr>
        <w:rFonts w:ascii="Symbol" w:hAnsi="Symbol" w:hint="default"/>
      </w:rPr>
    </w:lvl>
    <w:lvl w:ilvl="1" w:tplc="04090019" w:tentative="1">
      <w:start w:val="1"/>
      <w:numFmt w:val="bullet"/>
      <w:lvlText w:val="o"/>
      <w:lvlJc w:val="left"/>
      <w:pPr>
        <w:ind w:left="1080" w:hanging="360"/>
      </w:pPr>
      <w:rPr>
        <w:rFonts w:ascii="Courier New" w:hAnsi="Courier New" w:cs="Courier New" w:hint="default"/>
      </w:rPr>
    </w:lvl>
    <w:lvl w:ilvl="2" w:tplc="0409001B" w:tentative="1">
      <w:start w:val="1"/>
      <w:numFmt w:val="bullet"/>
      <w:lvlText w:val=""/>
      <w:lvlJc w:val="left"/>
      <w:pPr>
        <w:ind w:left="1800" w:hanging="360"/>
      </w:pPr>
      <w:rPr>
        <w:rFonts w:ascii="Wingdings" w:hAnsi="Wingdings" w:hint="default"/>
      </w:rPr>
    </w:lvl>
    <w:lvl w:ilvl="3" w:tplc="0409000F" w:tentative="1">
      <w:start w:val="1"/>
      <w:numFmt w:val="bullet"/>
      <w:lvlText w:val=""/>
      <w:lvlJc w:val="left"/>
      <w:pPr>
        <w:ind w:left="2520" w:hanging="360"/>
      </w:pPr>
      <w:rPr>
        <w:rFonts w:ascii="Symbol" w:hAnsi="Symbol" w:hint="default"/>
      </w:rPr>
    </w:lvl>
    <w:lvl w:ilvl="4" w:tplc="04090019" w:tentative="1">
      <w:start w:val="1"/>
      <w:numFmt w:val="bullet"/>
      <w:lvlText w:val="o"/>
      <w:lvlJc w:val="left"/>
      <w:pPr>
        <w:ind w:left="3240" w:hanging="360"/>
      </w:pPr>
      <w:rPr>
        <w:rFonts w:ascii="Courier New" w:hAnsi="Courier New" w:cs="Courier New" w:hint="default"/>
      </w:rPr>
    </w:lvl>
    <w:lvl w:ilvl="5" w:tplc="0409001B"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9" w:tentative="1">
      <w:start w:val="1"/>
      <w:numFmt w:val="bullet"/>
      <w:lvlText w:val="o"/>
      <w:lvlJc w:val="left"/>
      <w:pPr>
        <w:ind w:left="5400" w:hanging="360"/>
      </w:pPr>
      <w:rPr>
        <w:rFonts w:ascii="Courier New" w:hAnsi="Courier New" w:cs="Courier New" w:hint="default"/>
      </w:rPr>
    </w:lvl>
    <w:lvl w:ilvl="8" w:tplc="0409001B" w:tentative="1">
      <w:start w:val="1"/>
      <w:numFmt w:val="bullet"/>
      <w:lvlText w:val=""/>
      <w:lvlJc w:val="left"/>
      <w:pPr>
        <w:ind w:left="6120" w:hanging="360"/>
      </w:pPr>
      <w:rPr>
        <w:rFonts w:ascii="Wingdings" w:hAnsi="Wingdings" w:hint="default"/>
      </w:rPr>
    </w:lvl>
  </w:abstractNum>
  <w:abstractNum w:abstractNumId="36">
    <w:nsid w:val="17320BC2"/>
    <w:multiLevelType w:val="hybridMultilevel"/>
    <w:tmpl w:val="667C24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17AE1DAE"/>
    <w:multiLevelType w:val="hybridMultilevel"/>
    <w:tmpl w:val="BB8ED4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185D4DF3"/>
    <w:multiLevelType w:val="hybridMultilevel"/>
    <w:tmpl w:val="30742D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186C1B85"/>
    <w:multiLevelType w:val="hybridMultilevel"/>
    <w:tmpl w:val="CBF4D7E2"/>
    <w:lvl w:ilvl="0" w:tplc="0BCCCF5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18CB67BE"/>
    <w:multiLevelType w:val="hybridMultilevel"/>
    <w:tmpl w:val="46A205C2"/>
    <w:lvl w:ilvl="0" w:tplc="0409000F">
      <w:start w:val="1"/>
      <w:numFmt w:val="bullet"/>
      <w:lvlText w:val=""/>
      <w:lvlJc w:val="left"/>
      <w:pPr>
        <w:tabs>
          <w:tab w:val="num" w:pos="720"/>
        </w:tabs>
        <w:ind w:left="720" w:hanging="360"/>
      </w:pPr>
      <w:rPr>
        <w:rFonts w:ascii="Symbol" w:hAnsi="Symbol" w:hint="default"/>
      </w:rPr>
    </w:lvl>
    <w:lvl w:ilvl="1" w:tplc="04090019">
      <w:start w:val="1"/>
      <w:numFmt w:val="bullet"/>
      <w:lvlText w:val="-"/>
      <w:lvlJc w:val="left"/>
      <w:pPr>
        <w:tabs>
          <w:tab w:val="num" w:pos="1440"/>
        </w:tabs>
        <w:ind w:left="1440" w:hanging="360"/>
      </w:pPr>
      <w:rPr>
        <w:rFonts w:ascii="Book Antiqua" w:eastAsia="Times New Roman" w:hAnsi="Book Antiqua"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41">
    <w:nsid w:val="18F70447"/>
    <w:multiLevelType w:val="hybridMultilevel"/>
    <w:tmpl w:val="F40E6DAE"/>
    <w:lvl w:ilvl="0" w:tplc="0409000F">
      <w:start w:val="1"/>
      <w:numFmt w:val="decimal"/>
      <w:lvlText w:val="%1."/>
      <w:lvlJc w:val="left"/>
      <w:pPr>
        <w:ind w:left="1080" w:hanging="72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42">
    <w:nsid w:val="18FB0773"/>
    <w:multiLevelType w:val="hybridMultilevel"/>
    <w:tmpl w:val="C91A659A"/>
    <w:lvl w:ilvl="0" w:tplc="16DE9BD2">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43">
    <w:nsid w:val="19464A06"/>
    <w:multiLevelType w:val="hybridMultilevel"/>
    <w:tmpl w:val="F3966AA8"/>
    <w:lvl w:ilvl="0" w:tplc="04090001">
      <w:start w:val="1"/>
      <w:numFmt w:val="bullet"/>
      <w:lvlText w:val=""/>
      <w:lvlJc w:val="left"/>
      <w:pPr>
        <w:tabs>
          <w:tab w:val="num" w:pos="720"/>
        </w:tabs>
        <w:ind w:left="720" w:hanging="360"/>
      </w:pPr>
      <w:rPr>
        <w:rFonts w:ascii="Wingdings" w:hAnsi="Wingdings" w:hint="default"/>
      </w:rPr>
    </w:lvl>
    <w:lvl w:ilvl="1" w:tplc="04090003" w:tentative="1">
      <w:start w:val="1"/>
      <w:numFmt w:val="lowerLetter"/>
      <w:lvlText w:val="%2."/>
      <w:lvlJc w:val="left"/>
      <w:pPr>
        <w:tabs>
          <w:tab w:val="num" w:pos="1440"/>
        </w:tabs>
        <w:ind w:left="1440" w:hanging="360"/>
      </w:pPr>
      <w:rPr>
        <w:rFonts w:cs="Times New Roman"/>
      </w:rPr>
    </w:lvl>
    <w:lvl w:ilvl="2" w:tplc="04090005" w:tentative="1">
      <w:start w:val="1"/>
      <w:numFmt w:val="lowerRoman"/>
      <w:lvlText w:val="%3."/>
      <w:lvlJc w:val="right"/>
      <w:pPr>
        <w:tabs>
          <w:tab w:val="num" w:pos="2160"/>
        </w:tabs>
        <w:ind w:left="2160" w:hanging="180"/>
      </w:pPr>
      <w:rPr>
        <w:rFonts w:cs="Times New Roman"/>
      </w:rPr>
    </w:lvl>
    <w:lvl w:ilvl="3" w:tplc="04090001" w:tentative="1">
      <w:start w:val="1"/>
      <w:numFmt w:val="decimal"/>
      <w:lvlText w:val="%4."/>
      <w:lvlJc w:val="left"/>
      <w:pPr>
        <w:tabs>
          <w:tab w:val="num" w:pos="2880"/>
        </w:tabs>
        <w:ind w:left="2880" w:hanging="360"/>
      </w:pPr>
      <w:rPr>
        <w:rFonts w:cs="Times New Roman"/>
      </w:rPr>
    </w:lvl>
    <w:lvl w:ilvl="4" w:tplc="04090003" w:tentative="1">
      <w:start w:val="1"/>
      <w:numFmt w:val="lowerLetter"/>
      <w:lvlText w:val="%5."/>
      <w:lvlJc w:val="left"/>
      <w:pPr>
        <w:tabs>
          <w:tab w:val="num" w:pos="3600"/>
        </w:tabs>
        <w:ind w:left="3600" w:hanging="360"/>
      </w:pPr>
      <w:rPr>
        <w:rFonts w:cs="Times New Roman"/>
      </w:rPr>
    </w:lvl>
    <w:lvl w:ilvl="5" w:tplc="04090005" w:tentative="1">
      <w:start w:val="1"/>
      <w:numFmt w:val="lowerRoman"/>
      <w:lvlText w:val="%6."/>
      <w:lvlJc w:val="right"/>
      <w:pPr>
        <w:tabs>
          <w:tab w:val="num" w:pos="4320"/>
        </w:tabs>
        <w:ind w:left="4320" w:hanging="180"/>
      </w:pPr>
      <w:rPr>
        <w:rFonts w:cs="Times New Roman"/>
      </w:rPr>
    </w:lvl>
    <w:lvl w:ilvl="6" w:tplc="04090001" w:tentative="1">
      <w:start w:val="1"/>
      <w:numFmt w:val="decimal"/>
      <w:lvlText w:val="%7."/>
      <w:lvlJc w:val="left"/>
      <w:pPr>
        <w:tabs>
          <w:tab w:val="num" w:pos="5040"/>
        </w:tabs>
        <w:ind w:left="5040" w:hanging="360"/>
      </w:pPr>
      <w:rPr>
        <w:rFonts w:cs="Times New Roman"/>
      </w:rPr>
    </w:lvl>
    <w:lvl w:ilvl="7" w:tplc="04090003" w:tentative="1">
      <w:start w:val="1"/>
      <w:numFmt w:val="lowerLetter"/>
      <w:lvlText w:val="%8."/>
      <w:lvlJc w:val="left"/>
      <w:pPr>
        <w:tabs>
          <w:tab w:val="num" w:pos="5760"/>
        </w:tabs>
        <w:ind w:left="5760" w:hanging="360"/>
      </w:pPr>
      <w:rPr>
        <w:rFonts w:cs="Times New Roman"/>
      </w:rPr>
    </w:lvl>
    <w:lvl w:ilvl="8" w:tplc="04090005" w:tentative="1">
      <w:start w:val="1"/>
      <w:numFmt w:val="lowerRoman"/>
      <w:lvlText w:val="%9."/>
      <w:lvlJc w:val="right"/>
      <w:pPr>
        <w:tabs>
          <w:tab w:val="num" w:pos="6480"/>
        </w:tabs>
        <w:ind w:left="6480" w:hanging="180"/>
      </w:pPr>
      <w:rPr>
        <w:rFonts w:cs="Times New Roman"/>
      </w:rPr>
    </w:lvl>
  </w:abstractNum>
  <w:abstractNum w:abstractNumId="44">
    <w:nsid w:val="19714107"/>
    <w:multiLevelType w:val="hybridMultilevel"/>
    <w:tmpl w:val="D2E062DC"/>
    <w:lvl w:ilvl="0" w:tplc="1DE64848">
      <w:start w:val="1"/>
      <w:numFmt w:val="bullet"/>
      <w:lvlText w:val=""/>
      <w:lvlJc w:val="left"/>
      <w:pPr>
        <w:ind w:left="720" w:hanging="360"/>
      </w:pPr>
      <w:rPr>
        <w:rFonts w:ascii="Symbol" w:hAnsi="Symbol" w:hint="default"/>
      </w:rPr>
    </w:lvl>
    <w:lvl w:ilvl="1" w:tplc="04090019">
      <w:start w:val="1"/>
      <w:numFmt w:val="bullet"/>
      <w:lvlText w:val=""/>
      <w:lvlJc w:val="left"/>
      <w:pPr>
        <w:ind w:left="1440" w:hanging="360"/>
      </w:pPr>
      <w:rPr>
        <w:rFonts w:ascii="Symbol" w:hAnsi="Symbol"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45">
    <w:nsid w:val="19AF0A65"/>
    <w:multiLevelType w:val="hybridMultilevel"/>
    <w:tmpl w:val="F360753E"/>
    <w:lvl w:ilvl="0" w:tplc="04090001">
      <w:start w:val="1"/>
      <w:numFmt w:val="bullet"/>
      <w:lvlText w:val=""/>
      <w:lvlJc w:val="left"/>
      <w:pPr>
        <w:tabs>
          <w:tab w:val="num" w:pos="720"/>
        </w:tabs>
        <w:ind w:left="720" w:hanging="360"/>
      </w:pPr>
      <w:rPr>
        <w:rFonts w:ascii="Wingdings" w:hAnsi="Wingdings" w:hint="default"/>
      </w:rPr>
    </w:lvl>
    <w:lvl w:ilvl="1" w:tplc="04090003">
      <w:start w:val="1"/>
      <w:numFmt w:val="bullet"/>
      <w:lvlText w:val="-"/>
      <w:lvlJc w:val="left"/>
      <w:pPr>
        <w:tabs>
          <w:tab w:val="num" w:pos="1440"/>
        </w:tabs>
        <w:ind w:left="1440" w:hanging="360"/>
      </w:pPr>
      <w:rPr>
        <w:rFonts w:ascii="Book Antiqua" w:eastAsia="Times New Roman" w:hAnsi="Book Antiqua" w:hint="default"/>
      </w:rPr>
    </w:lvl>
    <w:lvl w:ilvl="2" w:tplc="04090005" w:tentative="1">
      <w:start w:val="1"/>
      <w:numFmt w:val="lowerRoman"/>
      <w:lvlText w:val="%3."/>
      <w:lvlJc w:val="right"/>
      <w:pPr>
        <w:tabs>
          <w:tab w:val="num" w:pos="2160"/>
        </w:tabs>
        <w:ind w:left="2160" w:hanging="180"/>
      </w:pPr>
      <w:rPr>
        <w:rFonts w:cs="Times New Roman"/>
      </w:rPr>
    </w:lvl>
    <w:lvl w:ilvl="3" w:tplc="04090001" w:tentative="1">
      <w:start w:val="1"/>
      <w:numFmt w:val="decimal"/>
      <w:lvlText w:val="%4."/>
      <w:lvlJc w:val="left"/>
      <w:pPr>
        <w:tabs>
          <w:tab w:val="num" w:pos="2880"/>
        </w:tabs>
        <w:ind w:left="2880" w:hanging="360"/>
      </w:pPr>
      <w:rPr>
        <w:rFonts w:cs="Times New Roman"/>
      </w:rPr>
    </w:lvl>
    <w:lvl w:ilvl="4" w:tplc="04090003" w:tentative="1">
      <w:start w:val="1"/>
      <w:numFmt w:val="lowerLetter"/>
      <w:lvlText w:val="%5."/>
      <w:lvlJc w:val="left"/>
      <w:pPr>
        <w:tabs>
          <w:tab w:val="num" w:pos="3600"/>
        </w:tabs>
        <w:ind w:left="3600" w:hanging="360"/>
      </w:pPr>
      <w:rPr>
        <w:rFonts w:cs="Times New Roman"/>
      </w:rPr>
    </w:lvl>
    <w:lvl w:ilvl="5" w:tplc="04090005" w:tentative="1">
      <w:start w:val="1"/>
      <w:numFmt w:val="lowerRoman"/>
      <w:lvlText w:val="%6."/>
      <w:lvlJc w:val="right"/>
      <w:pPr>
        <w:tabs>
          <w:tab w:val="num" w:pos="4320"/>
        </w:tabs>
        <w:ind w:left="4320" w:hanging="180"/>
      </w:pPr>
      <w:rPr>
        <w:rFonts w:cs="Times New Roman"/>
      </w:rPr>
    </w:lvl>
    <w:lvl w:ilvl="6" w:tplc="04090001" w:tentative="1">
      <w:start w:val="1"/>
      <w:numFmt w:val="decimal"/>
      <w:lvlText w:val="%7."/>
      <w:lvlJc w:val="left"/>
      <w:pPr>
        <w:tabs>
          <w:tab w:val="num" w:pos="5040"/>
        </w:tabs>
        <w:ind w:left="5040" w:hanging="360"/>
      </w:pPr>
      <w:rPr>
        <w:rFonts w:cs="Times New Roman"/>
      </w:rPr>
    </w:lvl>
    <w:lvl w:ilvl="7" w:tplc="04090003" w:tentative="1">
      <w:start w:val="1"/>
      <w:numFmt w:val="lowerLetter"/>
      <w:lvlText w:val="%8."/>
      <w:lvlJc w:val="left"/>
      <w:pPr>
        <w:tabs>
          <w:tab w:val="num" w:pos="5760"/>
        </w:tabs>
        <w:ind w:left="5760" w:hanging="360"/>
      </w:pPr>
      <w:rPr>
        <w:rFonts w:cs="Times New Roman"/>
      </w:rPr>
    </w:lvl>
    <w:lvl w:ilvl="8" w:tplc="04090005" w:tentative="1">
      <w:start w:val="1"/>
      <w:numFmt w:val="lowerRoman"/>
      <w:lvlText w:val="%9."/>
      <w:lvlJc w:val="right"/>
      <w:pPr>
        <w:tabs>
          <w:tab w:val="num" w:pos="6480"/>
        </w:tabs>
        <w:ind w:left="6480" w:hanging="180"/>
      </w:pPr>
      <w:rPr>
        <w:rFonts w:cs="Times New Roman"/>
      </w:rPr>
    </w:lvl>
  </w:abstractNum>
  <w:abstractNum w:abstractNumId="46">
    <w:nsid w:val="19BF621B"/>
    <w:multiLevelType w:val="hybridMultilevel"/>
    <w:tmpl w:val="D8E69858"/>
    <w:lvl w:ilvl="0" w:tplc="04090001">
      <w:start w:val="1"/>
      <w:numFmt w:val="decimal"/>
      <w:lvlText w:val="%1."/>
      <w:lvlJc w:val="left"/>
      <w:pPr>
        <w:ind w:left="720" w:hanging="360"/>
      </w:pPr>
      <w:rPr>
        <w:rFonts w:cs="Times New Roman"/>
      </w:rPr>
    </w:lvl>
    <w:lvl w:ilvl="1" w:tplc="04090003">
      <w:start w:val="1"/>
      <w:numFmt w:val="lowerLetter"/>
      <w:lvlText w:val="%2."/>
      <w:lvlJc w:val="left"/>
      <w:pPr>
        <w:ind w:left="1440" w:hanging="360"/>
      </w:pPr>
      <w:rPr>
        <w:rFonts w:cs="Times New Roman"/>
      </w:rPr>
    </w:lvl>
    <w:lvl w:ilvl="2" w:tplc="04090005">
      <w:start w:val="1"/>
      <w:numFmt w:val="lowerRoman"/>
      <w:lvlText w:val="%3."/>
      <w:lvlJc w:val="right"/>
      <w:pPr>
        <w:ind w:left="2160" w:hanging="180"/>
      </w:pPr>
      <w:rPr>
        <w:rFonts w:cs="Times New Roman"/>
      </w:rPr>
    </w:lvl>
    <w:lvl w:ilvl="3" w:tplc="04090001">
      <w:start w:val="1"/>
      <w:numFmt w:val="decimal"/>
      <w:lvlText w:val="%4."/>
      <w:lvlJc w:val="left"/>
      <w:pPr>
        <w:ind w:left="2880" w:hanging="360"/>
      </w:pPr>
      <w:rPr>
        <w:rFonts w:cs="Times New Roman"/>
      </w:rPr>
    </w:lvl>
    <w:lvl w:ilvl="4" w:tplc="04090003">
      <w:start w:val="1"/>
      <w:numFmt w:val="lowerLetter"/>
      <w:lvlText w:val="%5."/>
      <w:lvlJc w:val="left"/>
      <w:pPr>
        <w:ind w:left="3600" w:hanging="360"/>
      </w:pPr>
      <w:rPr>
        <w:rFonts w:cs="Times New Roman"/>
      </w:rPr>
    </w:lvl>
    <w:lvl w:ilvl="5" w:tplc="04090005">
      <w:start w:val="1"/>
      <w:numFmt w:val="lowerRoman"/>
      <w:lvlText w:val="%6."/>
      <w:lvlJc w:val="right"/>
      <w:pPr>
        <w:ind w:left="4320" w:hanging="180"/>
      </w:pPr>
      <w:rPr>
        <w:rFonts w:cs="Times New Roman"/>
      </w:rPr>
    </w:lvl>
    <w:lvl w:ilvl="6" w:tplc="04090001">
      <w:start w:val="1"/>
      <w:numFmt w:val="decimal"/>
      <w:lvlText w:val="%7."/>
      <w:lvlJc w:val="left"/>
      <w:pPr>
        <w:ind w:left="5040" w:hanging="360"/>
      </w:pPr>
      <w:rPr>
        <w:rFonts w:cs="Times New Roman"/>
      </w:rPr>
    </w:lvl>
    <w:lvl w:ilvl="7" w:tplc="04090003">
      <w:start w:val="1"/>
      <w:numFmt w:val="lowerLetter"/>
      <w:lvlText w:val="%8."/>
      <w:lvlJc w:val="left"/>
      <w:pPr>
        <w:ind w:left="5760" w:hanging="360"/>
      </w:pPr>
      <w:rPr>
        <w:rFonts w:cs="Times New Roman"/>
      </w:rPr>
    </w:lvl>
    <w:lvl w:ilvl="8" w:tplc="04090005">
      <w:start w:val="1"/>
      <w:numFmt w:val="lowerRoman"/>
      <w:lvlText w:val="%9."/>
      <w:lvlJc w:val="right"/>
      <w:pPr>
        <w:ind w:left="6480" w:hanging="180"/>
      </w:pPr>
      <w:rPr>
        <w:rFonts w:cs="Times New Roman"/>
      </w:rPr>
    </w:lvl>
  </w:abstractNum>
  <w:abstractNum w:abstractNumId="47">
    <w:nsid w:val="1B6C2B86"/>
    <w:multiLevelType w:val="hybridMultilevel"/>
    <w:tmpl w:val="AAC4C1BC"/>
    <w:lvl w:ilvl="0" w:tplc="04090001">
      <w:start w:val="1"/>
      <w:numFmt w:val="lowerLetter"/>
      <w:lvlText w:val="%1."/>
      <w:lvlJc w:val="left"/>
      <w:pPr>
        <w:ind w:left="585" w:hanging="360"/>
      </w:pPr>
      <w:rPr>
        <w:rFonts w:cs="Times New Roman" w:hint="default"/>
      </w:rPr>
    </w:lvl>
    <w:lvl w:ilvl="1" w:tplc="04090003" w:tentative="1">
      <w:start w:val="1"/>
      <w:numFmt w:val="lowerLetter"/>
      <w:lvlText w:val="%2."/>
      <w:lvlJc w:val="left"/>
      <w:pPr>
        <w:ind w:left="1305" w:hanging="360"/>
      </w:pPr>
      <w:rPr>
        <w:rFonts w:cs="Times New Roman"/>
      </w:rPr>
    </w:lvl>
    <w:lvl w:ilvl="2" w:tplc="04090005" w:tentative="1">
      <w:start w:val="1"/>
      <w:numFmt w:val="lowerRoman"/>
      <w:lvlText w:val="%3."/>
      <w:lvlJc w:val="right"/>
      <w:pPr>
        <w:ind w:left="2025" w:hanging="180"/>
      </w:pPr>
      <w:rPr>
        <w:rFonts w:cs="Times New Roman"/>
      </w:rPr>
    </w:lvl>
    <w:lvl w:ilvl="3" w:tplc="04090001" w:tentative="1">
      <w:start w:val="1"/>
      <w:numFmt w:val="decimal"/>
      <w:lvlText w:val="%4."/>
      <w:lvlJc w:val="left"/>
      <w:pPr>
        <w:ind w:left="2745" w:hanging="360"/>
      </w:pPr>
      <w:rPr>
        <w:rFonts w:cs="Times New Roman"/>
      </w:rPr>
    </w:lvl>
    <w:lvl w:ilvl="4" w:tplc="04090003" w:tentative="1">
      <w:start w:val="1"/>
      <w:numFmt w:val="lowerLetter"/>
      <w:lvlText w:val="%5."/>
      <w:lvlJc w:val="left"/>
      <w:pPr>
        <w:ind w:left="3465" w:hanging="360"/>
      </w:pPr>
      <w:rPr>
        <w:rFonts w:cs="Times New Roman"/>
      </w:rPr>
    </w:lvl>
    <w:lvl w:ilvl="5" w:tplc="04090005" w:tentative="1">
      <w:start w:val="1"/>
      <w:numFmt w:val="lowerRoman"/>
      <w:lvlText w:val="%6."/>
      <w:lvlJc w:val="right"/>
      <w:pPr>
        <w:ind w:left="4185" w:hanging="180"/>
      </w:pPr>
      <w:rPr>
        <w:rFonts w:cs="Times New Roman"/>
      </w:rPr>
    </w:lvl>
    <w:lvl w:ilvl="6" w:tplc="04090001" w:tentative="1">
      <w:start w:val="1"/>
      <w:numFmt w:val="decimal"/>
      <w:lvlText w:val="%7."/>
      <w:lvlJc w:val="left"/>
      <w:pPr>
        <w:ind w:left="4905" w:hanging="360"/>
      </w:pPr>
      <w:rPr>
        <w:rFonts w:cs="Times New Roman"/>
      </w:rPr>
    </w:lvl>
    <w:lvl w:ilvl="7" w:tplc="04090003" w:tentative="1">
      <w:start w:val="1"/>
      <w:numFmt w:val="lowerLetter"/>
      <w:lvlText w:val="%8."/>
      <w:lvlJc w:val="left"/>
      <w:pPr>
        <w:ind w:left="5625" w:hanging="360"/>
      </w:pPr>
      <w:rPr>
        <w:rFonts w:cs="Times New Roman"/>
      </w:rPr>
    </w:lvl>
    <w:lvl w:ilvl="8" w:tplc="04090005" w:tentative="1">
      <w:start w:val="1"/>
      <w:numFmt w:val="lowerRoman"/>
      <w:lvlText w:val="%9."/>
      <w:lvlJc w:val="right"/>
      <w:pPr>
        <w:ind w:left="6345" w:hanging="180"/>
      </w:pPr>
      <w:rPr>
        <w:rFonts w:cs="Times New Roman"/>
      </w:rPr>
    </w:lvl>
  </w:abstractNum>
  <w:abstractNum w:abstractNumId="48">
    <w:nsid w:val="1D3351E3"/>
    <w:multiLevelType w:val="hybridMultilevel"/>
    <w:tmpl w:val="657E0030"/>
    <w:lvl w:ilvl="0" w:tplc="04090001">
      <w:start w:val="1"/>
      <w:numFmt w:val="decimal"/>
      <w:lvlText w:val="%1)"/>
      <w:lvlJc w:val="left"/>
      <w:pPr>
        <w:ind w:left="720" w:hanging="360"/>
      </w:pPr>
    </w:lvl>
    <w:lvl w:ilvl="1" w:tplc="04090003">
      <w:start w:val="1"/>
      <w:numFmt w:val="lowerLetter"/>
      <w:lvlText w:val="%2."/>
      <w:lvlJc w:val="left"/>
      <w:pPr>
        <w:ind w:left="1440" w:hanging="360"/>
      </w:pPr>
    </w:lvl>
    <w:lvl w:ilvl="2" w:tplc="04090005">
      <w:start w:val="1"/>
      <w:numFmt w:val="lowerRoman"/>
      <w:lvlText w:val="%3."/>
      <w:lvlJc w:val="right"/>
      <w:pPr>
        <w:ind w:left="2160" w:hanging="180"/>
      </w:pPr>
    </w:lvl>
    <w:lvl w:ilvl="3" w:tplc="0409000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49">
    <w:nsid w:val="1EC75D47"/>
    <w:multiLevelType w:val="hybridMultilevel"/>
    <w:tmpl w:val="8C4A9A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1EF30C32"/>
    <w:multiLevelType w:val="multilevel"/>
    <w:tmpl w:val="0409001D"/>
    <w:lvl w:ilvl="0">
      <w:start w:val="1"/>
      <w:numFmt w:val="decimal"/>
      <w:lvlText w:val="%1)"/>
      <w:lvlJc w:val="left"/>
      <w:pPr>
        <w:ind w:left="360" w:hanging="360"/>
      </w:pPr>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51">
    <w:nsid w:val="1F246259"/>
    <w:multiLevelType w:val="hybridMultilevel"/>
    <w:tmpl w:val="862E2E9C"/>
    <w:lvl w:ilvl="0" w:tplc="04090001">
      <w:start w:val="1"/>
      <w:numFmt w:val="decimal"/>
      <w:lvlText w:val="%1."/>
      <w:lvlJc w:val="left"/>
      <w:pPr>
        <w:ind w:left="585" w:hanging="360"/>
      </w:pPr>
      <w:rPr>
        <w:rFonts w:cs="Times New Roman" w:hint="default"/>
      </w:rPr>
    </w:lvl>
    <w:lvl w:ilvl="1" w:tplc="C79E98B8"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2">
    <w:nsid w:val="1F25764F"/>
    <w:multiLevelType w:val="hybridMultilevel"/>
    <w:tmpl w:val="210642F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53">
    <w:nsid w:val="1F98439A"/>
    <w:multiLevelType w:val="hybridMultilevel"/>
    <w:tmpl w:val="756C1A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lowerRoman"/>
      <w:lvlText w:val="%3."/>
      <w:lvlJc w:val="right"/>
      <w:pPr>
        <w:ind w:left="2160" w:hanging="180"/>
      </w:pPr>
      <w:rPr>
        <w:rFonts w:cs="Times New Roman"/>
      </w:rPr>
    </w:lvl>
    <w:lvl w:ilvl="3" w:tplc="04090001" w:tentative="1">
      <w:start w:val="1"/>
      <w:numFmt w:val="decimal"/>
      <w:lvlText w:val="%4."/>
      <w:lvlJc w:val="left"/>
      <w:pPr>
        <w:ind w:left="2880" w:hanging="360"/>
      </w:pPr>
      <w:rPr>
        <w:rFonts w:cs="Times New Roman"/>
      </w:rPr>
    </w:lvl>
    <w:lvl w:ilvl="4" w:tplc="04090003" w:tentative="1">
      <w:start w:val="1"/>
      <w:numFmt w:val="lowerLetter"/>
      <w:lvlText w:val="%5."/>
      <w:lvlJc w:val="left"/>
      <w:pPr>
        <w:ind w:left="3600" w:hanging="360"/>
      </w:pPr>
      <w:rPr>
        <w:rFonts w:cs="Times New Roman"/>
      </w:rPr>
    </w:lvl>
    <w:lvl w:ilvl="5" w:tplc="04090005" w:tentative="1">
      <w:start w:val="1"/>
      <w:numFmt w:val="lowerRoman"/>
      <w:lvlText w:val="%6."/>
      <w:lvlJc w:val="right"/>
      <w:pPr>
        <w:ind w:left="4320" w:hanging="180"/>
      </w:pPr>
      <w:rPr>
        <w:rFonts w:cs="Times New Roman"/>
      </w:rPr>
    </w:lvl>
    <w:lvl w:ilvl="6" w:tplc="04090001" w:tentative="1">
      <w:start w:val="1"/>
      <w:numFmt w:val="decimal"/>
      <w:lvlText w:val="%7."/>
      <w:lvlJc w:val="left"/>
      <w:pPr>
        <w:ind w:left="5040" w:hanging="360"/>
      </w:pPr>
      <w:rPr>
        <w:rFonts w:cs="Times New Roman"/>
      </w:rPr>
    </w:lvl>
    <w:lvl w:ilvl="7" w:tplc="04090003" w:tentative="1">
      <w:start w:val="1"/>
      <w:numFmt w:val="lowerLetter"/>
      <w:lvlText w:val="%8."/>
      <w:lvlJc w:val="left"/>
      <w:pPr>
        <w:ind w:left="5760" w:hanging="360"/>
      </w:pPr>
      <w:rPr>
        <w:rFonts w:cs="Times New Roman"/>
      </w:rPr>
    </w:lvl>
    <w:lvl w:ilvl="8" w:tplc="04090005" w:tentative="1">
      <w:start w:val="1"/>
      <w:numFmt w:val="lowerRoman"/>
      <w:lvlText w:val="%9."/>
      <w:lvlJc w:val="right"/>
      <w:pPr>
        <w:ind w:left="6480" w:hanging="180"/>
      </w:pPr>
      <w:rPr>
        <w:rFonts w:cs="Times New Roman"/>
      </w:rPr>
    </w:lvl>
  </w:abstractNum>
  <w:abstractNum w:abstractNumId="54">
    <w:nsid w:val="22DA34DE"/>
    <w:multiLevelType w:val="hybridMultilevel"/>
    <w:tmpl w:val="5510DDB4"/>
    <w:lvl w:ilvl="0" w:tplc="04090005">
      <w:start w:val="1"/>
      <w:numFmt w:val="decimal"/>
      <w:lvlText w:val="%1."/>
      <w:lvlJc w:val="left"/>
      <w:pPr>
        <w:ind w:left="585"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5">
    <w:nsid w:val="23A0673D"/>
    <w:multiLevelType w:val="hybridMultilevel"/>
    <w:tmpl w:val="73C49FE8"/>
    <w:lvl w:ilvl="0" w:tplc="04090001">
      <w:start w:val="1"/>
      <w:numFmt w:val="bullet"/>
      <w:lvlText w:val=""/>
      <w:lvlJc w:val="left"/>
      <w:pPr>
        <w:ind w:left="720" w:hanging="360"/>
      </w:pPr>
      <w:rPr>
        <w:rFonts w:ascii="Symbol" w:hAnsi="Symbol" w:hint="default"/>
      </w:rPr>
    </w:lvl>
    <w:lvl w:ilvl="1" w:tplc="04090001">
      <w:start w:val="1"/>
      <w:numFmt w:val="lowerLetter"/>
      <w:lvlText w:val="%2."/>
      <w:lvlJc w:val="left"/>
      <w:pPr>
        <w:ind w:left="1440" w:hanging="360"/>
      </w:pPr>
      <w:rPr>
        <w:rFonts w:cs="Times New Roman"/>
      </w:rPr>
    </w:lvl>
    <w:lvl w:ilvl="2" w:tplc="04090005" w:tentative="1">
      <w:start w:val="1"/>
      <w:numFmt w:val="lowerRoman"/>
      <w:lvlText w:val="%3."/>
      <w:lvlJc w:val="right"/>
      <w:pPr>
        <w:ind w:left="2160" w:hanging="180"/>
      </w:pPr>
      <w:rPr>
        <w:rFonts w:cs="Times New Roman"/>
      </w:rPr>
    </w:lvl>
    <w:lvl w:ilvl="3" w:tplc="04090001" w:tentative="1">
      <w:start w:val="1"/>
      <w:numFmt w:val="decimal"/>
      <w:lvlText w:val="%4."/>
      <w:lvlJc w:val="left"/>
      <w:pPr>
        <w:ind w:left="2880" w:hanging="360"/>
      </w:pPr>
      <w:rPr>
        <w:rFonts w:cs="Times New Roman"/>
      </w:rPr>
    </w:lvl>
    <w:lvl w:ilvl="4" w:tplc="04090003" w:tentative="1">
      <w:start w:val="1"/>
      <w:numFmt w:val="lowerLetter"/>
      <w:lvlText w:val="%5."/>
      <w:lvlJc w:val="left"/>
      <w:pPr>
        <w:ind w:left="3600" w:hanging="360"/>
      </w:pPr>
      <w:rPr>
        <w:rFonts w:cs="Times New Roman"/>
      </w:rPr>
    </w:lvl>
    <w:lvl w:ilvl="5" w:tplc="04090005" w:tentative="1">
      <w:start w:val="1"/>
      <w:numFmt w:val="lowerRoman"/>
      <w:lvlText w:val="%6."/>
      <w:lvlJc w:val="right"/>
      <w:pPr>
        <w:ind w:left="4320" w:hanging="180"/>
      </w:pPr>
      <w:rPr>
        <w:rFonts w:cs="Times New Roman"/>
      </w:rPr>
    </w:lvl>
    <w:lvl w:ilvl="6" w:tplc="04090001" w:tentative="1">
      <w:start w:val="1"/>
      <w:numFmt w:val="decimal"/>
      <w:lvlText w:val="%7."/>
      <w:lvlJc w:val="left"/>
      <w:pPr>
        <w:ind w:left="5040" w:hanging="360"/>
      </w:pPr>
      <w:rPr>
        <w:rFonts w:cs="Times New Roman"/>
      </w:rPr>
    </w:lvl>
    <w:lvl w:ilvl="7" w:tplc="04090003" w:tentative="1">
      <w:start w:val="1"/>
      <w:numFmt w:val="lowerLetter"/>
      <w:lvlText w:val="%8."/>
      <w:lvlJc w:val="left"/>
      <w:pPr>
        <w:ind w:left="5760" w:hanging="360"/>
      </w:pPr>
      <w:rPr>
        <w:rFonts w:cs="Times New Roman"/>
      </w:rPr>
    </w:lvl>
    <w:lvl w:ilvl="8" w:tplc="04090005" w:tentative="1">
      <w:start w:val="1"/>
      <w:numFmt w:val="lowerRoman"/>
      <w:lvlText w:val="%9."/>
      <w:lvlJc w:val="right"/>
      <w:pPr>
        <w:ind w:left="6480" w:hanging="180"/>
      </w:pPr>
      <w:rPr>
        <w:rFonts w:cs="Times New Roman"/>
      </w:rPr>
    </w:lvl>
  </w:abstractNum>
  <w:abstractNum w:abstractNumId="56">
    <w:nsid w:val="23B2214D"/>
    <w:multiLevelType w:val="hybridMultilevel"/>
    <w:tmpl w:val="83C6DFF4"/>
    <w:lvl w:ilvl="0" w:tplc="0B16C238">
      <w:start w:val="1"/>
      <w:numFmt w:val="decimal"/>
      <w:lvlText w:val="%1."/>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57">
    <w:nsid w:val="248E1B69"/>
    <w:multiLevelType w:val="hybridMultilevel"/>
    <w:tmpl w:val="6A3009F6"/>
    <w:lvl w:ilvl="0" w:tplc="0B16C238">
      <w:start w:val="1"/>
      <w:numFmt w:val="decimal"/>
      <w:lvlText w:val="%1."/>
      <w:lvlJc w:val="left"/>
      <w:pPr>
        <w:ind w:left="360" w:hanging="360"/>
      </w:pPr>
    </w:lvl>
    <w:lvl w:ilvl="1" w:tplc="04090003" w:tentative="1">
      <w:start w:val="1"/>
      <w:numFmt w:val="lowerLetter"/>
      <w:lvlText w:val="%2."/>
      <w:lvlJc w:val="left"/>
      <w:pPr>
        <w:ind w:left="1080" w:hanging="360"/>
      </w:pPr>
    </w:lvl>
    <w:lvl w:ilvl="2" w:tplc="04090005" w:tentative="1">
      <w:start w:val="1"/>
      <w:numFmt w:val="lowerRoman"/>
      <w:lvlText w:val="%3."/>
      <w:lvlJc w:val="right"/>
      <w:pPr>
        <w:ind w:left="1800" w:hanging="180"/>
      </w:pPr>
    </w:lvl>
    <w:lvl w:ilvl="3" w:tplc="04090001" w:tentative="1">
      <w:start w:val="1"/>
      <w:numFmt w:val="decimal"/>
      <w:lvlText w:val="%4."/>
      <w:lvlJc w:val="left"/>
      <w:pPr>
        <w:ind w:left="2520" w:hanging="360"/>
      </w:pPr>
    </w:lvl>
    <w:lvl w:ilvl="4" w:tplc="04090003" w:tentative="1">
      <w:start w:val="1"/>
      <w:numFmt w:val="lowerLetter"/>
      <w:lvlText w:val="%5."/>
      <w:lvlJc w:val="left"/>
      <w:pPr>
        <w:ind w:left="3240" w:hanging="360"/>
      </w:pPr>
    </w:lvl>
    <w:lvl w:ilvl="5" w:tplc="04090005" w:tentative="1">
      <w:start w:val="1"/>
      <w:numFmt w:val="lowerRoman"/>
      <w:lvlText w:val="%6."/>
      <w:lvlJc w:val="right"/>
      <w:pPr>
        <w:ind w:left="3960" w:hanging="180"/>
      </w:pPr>
    </w:lvl>
    <w:lvl w:ilvl="6" w:tplc="04090001" w:tentative="1">
      <w:start w:val="1"/>
      <w:numFmt w:val="decimal"/>
      <w:lvlText w:val="%7."/>
      <w:lvlJc w:val="left"/>
      <w:pPr>
        <w:ind w:left="4680" w:hanging="360"/>
      </w:pPr>
    </w:lvl>
    <w:lvl w:ilvl="7" w:tplc="04090003" w:tentative="1">
      <w:start w:val="1"/>
      <w:numFmt w:val="lowerLetter"/>
      <w:lvlText w:val="%8."/>
      <w:lvlJc w:val="left"/>
      <w:pPr>
        <w:ind w:left="5400" w:hanging="360"/>
      </w:pPr>
    </w:lvl>
    <w:lvl w:ilvl="8" w:tplc="04090005" w:tentative="1">
      <w:start w:val="1"/>
      <w:numFmt w:val="lowerRoman"/>
      <w:lvlText w:val="%9."/>
      <w:lvlJc w:val="right"/>
      <w:pPr>
        <w:ind w:left="6120" w:hanging="180"/>
      </w:pPr>
    </w:lvl>
  </w:abstractNum>
  <w:abstractNum w:abstractNumId="58">
    <w:nsid w:val="24B43778"/>
    <w:multiLevelType w:val="hybridMultilevel"/>
    <w:tmpl w:val="492C81A0"/>
    <w:lvl w:ilvl="0" w:tplc="04090005">
      <w:start w:val="1"/>
      <w:numFmt w:val="bullet"/>
      <w:lvlText w:val=""/>
      <w:lvlJc w:val="left"/>
      <w:pPr>
        <w:tabs>
          <w:tab w:val="num" w:pos="360"/>
        </w:tabs>
        <w:ind w:left="360" w:hanging="360"/>
      </w:pPr>
      <w:rPr>
        <w:rFonts w:ascii="Wingdings" w:hAnsi="Wingdings" w:hint="default"/>
      </w:rPr>
    </w:lvl>
    <w:lvl w:ilvl="1" w:tplc="C79E98B8" w:tentative="1">
      <w:start w:val="1"/>
      <w:numFmt w:val="bullet"/>
      <w:lvlText w:val="o"/>
      <w:lvlJc w:val="left"/>
      <w:pPr>
        <w:tabs>
          <w:tab w:val="num" w:pos="1080"/>
        </w:tabs>
        <w:ind w:left="1080" w:hanging="360"/>
      </w:pPr>
      <w:rPr>
        <w:rFonts w:ascii="Courier New" w:hAnsi="Courier New" w:hint="default"/>
      </w:rPr>
    </w:lvl>
    <w:lvl w:ilvl="2" w:tplc="0409001B" w:tentative="1">
      <w:start w:val="1"/>
      <w:numFmt w:val="bullet"/>
      <w:lvlText w:val=""/>
      <w:lvlJc w:val="left"/>
      <w:pPr>
        <w:tabs>
          <w:tab w:val="num" w:pos="1800"/>
        </w:tabs>
        <w:ind w:left="1800" w:hanging="360"/>
      </w:pPr>
      <w:rPr>
        <w:rFonts w:ascii="Wingdings" w:hAnsi="Wingdings" w:hint="default"/>
      </w:rPr>
    </w:lvl>
    <w:lvl w:ilvl="3" w:tplc="0409000F" w:tentative="1">
      <w:start w:val="1"/>
      <w:numFmt w:val="bullet"/>
      <w:lvlText w:val=""/>
      <w:lvlJc w:val="left"/>
      <w:pPr>
        <w:tabs>
          <w:tab w:val="num" w:pos="2520"/>
        </w:tabs>
        <w:ind w:left="2520" w:hanging="360"/>
      </w:pPr>
      <w:rPr>
        <w:rFonts w:ascii="Symbol" w:hAnsi="Symbol" w:hint="default"/>
      </w:rPr>
    </w:lvl>
    <w:lvl w:ilvl="4" w:tplc="04090019" w:tentative="1">
      <w:start w:val="1"/>
      <w:numFmt w:val="bullet"/>
      <w:lvlText w:val="o"/>
      <w:lvlJc w:val="left"/>
      <w:pPr>
        <w:tabs>
          <w:tab w:val="num" w:pos="3240"/>
        </w:tabs>
        <w:ind w:left="3240" w:hanging="360"/>
      </w:pPr>
      <w:rPr>
        <w:rFonts w:ascii="Courier New" w:hAnsi="Courier New" w:hint="default"/>
      </w:rPr>
    </w:lvl>
    <w:lvl w:ilvl="5" w:tplc="0409001B" w:tentative="1">
      <w:start w:val="1"/>
      <w:numFmt w:val="bullet"/>
      <w:lvlText w:val=""/>
      <w:lvlJc w:val="left"/>
      <w:pPr>
        <w:tabs>
          <w:tab w:val="num" w:pos="3960"/>
        </w:tabs>
        <w:ind w:left="3960" w:hanging="360"/>
      </w:pPr>
      <w:rPr>
        <w:rFonts w:ascii="Wingdings" w:hAnsi="Wingdings" w:hint="default"/>
      </w:rPr>
    </w:lvl>
    <w:lvl w:ilvl="6" w:tplc="0409000F" w:tentative="1">
      <w:start w:val="1"/>
      <w:numFmt w:val="bullet"/>
      <w:lvlText w:val=""/>
      <w:lvlJc w:val="left"/>
      <w:pPr>
        <w:tabs>
          <w:tab w:val="num" w:pos="4680"/>
        </w:tabs>
        <w:ind w:left="4680" w:hanging="360"/>
      </w:pPr>
      <w:rPr>
        <w:rFonts w:ascii="Symbol" w:hAnsi="Symbol" w:hint="default"/>
      </w:rPr>
    </w:lvl>
    <w:lvl w:ilvl="7" w:tplc="04090019" w:tentative="1">
      <w:start w:val="1"/>
      <w:numFmt w:val="bullet"/>
      <w:lvlText w:val="o"/>
      <w:lvlJc w:val="left"/>
      <w:pPr>
        <w:tabs>
          <w:tab w:val="num" w:pos="5400"/>
        </w:tabs>
        <w:ind w:left="5400" w:hanging="360"/>
      </w:pPr>
      <w:rPr>
        <w:rFonts w:ascii="Courier New" w:hAnsi="Courier New" w:hint="default"/>
      </w:rPr>
    </w:lvl>
    <w:lvl w:ilvl="8" w:tplc="0409001B" w:tentative="1">
      <w:start w:val="1"/>
      <w:numFmt w:val="bullet"/>
      <w:lvlText w:val=""/>
      <w:lvlJc w:val="left"/>
      <w:pPr>
        <w:tabs>
          <w:tab w:val="num" w:pos="6120"/>
        </w:tabs>
        <w:ind w:left="6120" w:hanging="360"/>
      </w:pPr>
      <w:rPr>
        <w:rFonts w:ascii="Wingdings" w:hAnsi="Wingdings" w:hint="default"/>
      </w:rPr>
    </w:lvl>
  </w:abstractNum>
  <w:abstractNum w:abstractNumId="59">
    <w:nsid w:val="25171BF5"/>
    <w:multiLevelType w:val="hybridMultilevel"/>
    <w:tmpl w:val="6562DCE0"/>
    <w:lvl w:ilvl="0" w:tplc="15C48614">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60">
    <w:nsid w:val="257233C3"/>
    <w:multiLevelType w:val="hybridMultilevel"/>
    <w:tmpl w:val="F134117C"/>
    <w:lvl w:ilvl="0" w:tplc="16DE9BD2">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1">
    <w:nsid w:val="26D61BDD"/>
    <w:multiLevelType w:val="hybridMultilevel"/>
    <w:tmpl w:val="36E436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27AF1DF1"/>
    <w:multiLevelType w:val="multilevel"/>
    <w:tmpl w:val="CC36B806"/>
    <w:lvl w:ilvl="0">
      <w:start w:val="1"/>
      <w:numFmt w:val="decimal"/>
      <w:lvlText w:val="%1)"/>
      <w:lvlJc w:val="left"/>
      <w:pPr>
        <w:ind w:left="360" w:hanging="360"/>
      </w:pPr>
      <w:rPr>
        <w:rFonts w:hint="default"/>
      </w:rPr>
    </w:lvl>
    <w:lvl w:ilvl="1">
      <w:start w:val="1"/>
      <w:numFmt w:val="bullet"/>
      <w:lvlText w:val=""/>
      <w:lvlJc w:val="left"/>
      <w:pPr>
        <w:ind w:left="720" w:hanging="360"/>
      </w:pPr>
      <w:rPr>
        <w:rFonts w:ascii="Symbol" w:hAnsi="Symbol" w:hint="default"/>
      </w:rPr>
    </w:lvl>
    <w:lvl w:ilvl="2">
      <w:start w:val="1"/>
      <w:numFmt w:val="lowerRoman"/>
      <w:lvlText w:val="%3)"/>
      <w:lvlJc w:val="left"/>
      <w:pPr>
        <w:ind w:left="1080" w:hanging="360"/>
      </w:pPr>
      <w:rPr>
        <w:rFonts w:cs="Times New Roman" w:hint="default"/>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63">
    <w:nsid w:val="283077CF"/>
    <w:multiLevelType w:val="hybridMultilevel"/>
    <w:tmpl w:val="006EEB9A"/>
    <w:lvl w:ilvl="0" w:tplc="04090001">
      <w:start w:val="1"/>
      <w:numFmt w:val="lowerLetter"/>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64">
    <w:nsid w:val="284B70B6"/>
    <w:multiLevelType w:val="hybridMultilevel"/>
    <w:tmpl w:val="86B674D2"/>
    <w:lvl w:ilvl="0" w:tplc="08284738">
      <w:start w:val="1"/>
      <w:numFmt w:val="bullet"/>
      <w:lvlText w:val=""/>
      <w:lvlJc w:val="left"/>
      <w:pPr>
        <w:ind w:left="1080" w:hanging="360"/>
      </w:pPr>
      <w:rPr>
        <w:rFonts w:ascii="Symbol" w:hAnsi="Symbol" w:hint="default"/>
      </w:rPr>
    </w:lvl>
    <w:lvl w:ilvl="1" w:tplc="C16CED38" w:tentative="1">
      <w:start w:val="1"/>
      <w:numFmt w:val="bullet"/>
      <w:lvlText w:val="o"/>
      <w:lvlJc w:val="left"/>
      <w:pPr>
        <w:ind w:left="1800" w:hanging="360"/>
      </w:pPr>
      <w:rPr>
        <w:rFonts w:ascii="Courier New" w:hAnsi="Courier New" w:cs="Courier New" w:hint="default"/>
      </w:rPr>
    </w:lvl>
    <w:lvl w:ilvl="2" w:tplc="FB98AABC" w:tentative="1">
      <w:start w:val="1"/>
      <w:numFmt w:val="bullet"/>
      <w:lvlText w:val=""/>
      <w:lvlJc w:val="left"/>
      <w:pPr>
        <w:ind w:left="2520" w:hanging="360"/>
      </w:pPr>
      <w:rPr>
        <w:rFonts w:ascii="Wingdings" w:hAnsi="Wingdings" w:hint="default"/>
      </w:rPr>
    </w:lvl>
    <w:lvl w:ilvl="3" w:tplc="63E85946" w:tentative="1">
      <w:start w:val="1"/>
      <w:numFmt w:val="bullet"/>
      <w:lvlText w:val=""/>
      <w:lvlJc w:val="left"/>
      <w:pPr>
        <w:ind w:left="3240" w:hanging="360"/>
      </w:pPr>
      <w:rPr>
        <w:rFonts w:ascii="Symbol" w:hAnsi="Symbol" w:hint="default"/>
      </w:rPr>
    </w:lvl>
    <w:lvl w:ilvl="4" w:tplc="3B26954E" w:tentative="1">
      <w:start w:val="1"/>
      <w:numFmt w:val="bullet"/>
      <w:lvlText w:val="o"/>
      <w:lvlJc w:val="left"/>
      <w:pPr>
        <w:ind w:left="3960" w:hanging="360"/>
      </w:pPr>
      <w:rPr>
        <w:rFonts w:ascii="Courier New" w:hAnsi="Courier New" w:cs="Courier New" w:hint="default"/>
      </w:rPr>
    </w:lvl>
    <w:lvl w:ilvl="5" w:tplc="6636C1D8" w:tentative="1">
      <w:start w:val="1"/>
      <w:numFmt w:val="bullet"/>
      <w:lvlText w:val=""/>
      <w:lvlJc w:val="left"/>
      <w:pPr>
        <w:ind w:left="4680" w:hanging="360"/>
      </w:pPr>
      <w:rPr>
        <w:rFonts w:ascii="Wingdings" w:hAnsi="Wingdings" w:hint="default"/>
      </w:rPr>
    </w:lvl>
    <w:lvl w:ilvl="6" w:tplc="EC5ACB36" w:tentative="1">
      <w:start w:val="1"/>
      <w:numFmt w:val="bullet"/>
      <w:lvlText w:val=""/>
      <w:lvlJc w:val="left"/>
      <w:pPr>
        <w:ind w:left="5400" w:hanging="360"/>
      </w:pPr>
      <w:rPr>
        <w:rFonts w:ascii="Symbol" w:hAnsi="Symbol" w:hint="default"/>
      </w:rPr>
    </w:lvl>
    <w:lvl w:ilvl="7" w:tplc="77BE4C72" w:tentative="1">
      <w:start w:val="1"/>
      <w:numFmt w:val="bullet"/>
      <w:lvlText w:val="o"/>
      <w:lvlJc w:val="left"/>
      <w:pPr>
        <w:ind w:left="6120" w:hanging="360"/>
      </w:pPr>
      <w:rPr>
        <w:rFonts w:ascii="Courier New" w:hAnsi="Courier New" w:cs="Courier New" w:hint="default"/>
      </w:rPr>
    </w:lvl>
    <w:lvl w:ilvl="8" w:tplc="338E47E8" w:tentative="1">
      <w:start w:val="1"/>
      <w:numFmt w:val="bullet"/>
      <w:lvlText w:val=""/>
      <w:lvlJc w:val="left"/>
      <w:pPr>
        <w:ind w:left="6840" w:hanging="360"/>
      </w:pPr>
      <w:rPr>
        <w:rFonts w:ascii="Wingdings" w:hAnsi="Wingdings" w:hint="default"/>
      </w:rPr>
    </w:lvl>
  </w:abstractNum>
  <w:abstractNum w:abstractNumId="65">
    <w:nsid w:val="28DB0BB7"/>
    <w:multiLevelType w:val="hybridMultilevel"/>
    <w:tmpl w:val="1D0487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2A4E1AEA"/>
    <w:multiLevelType w:val="hybridMultilevel"/>
    <w:tmpl w:val="634A8F88"/>
    <w:lvl w:ilvl="0" w:tplc="04090001">
      <w:start w:val="17"/>
      <w:numFmt w:val="upperLetter"/>
      <w:lvlText w:val="%1."/>
      <w:lvlJc w:val="left"/>
      <w:pPr>
        <w:ind w:left="360" w:hanging="360"/>
      </w:pPr>
      <w:rPr>
        <w:rFonts w:cs="Times New Roman" w:hint="default"/>
      </w:rPr>
    </w:lvl>
    <w:lvl w:ilvl="1" w:tplc="04090003" w:tentative="1">
      <w:start w:val="1"/>
      <w:numFmt w:val="lowerLetter"/>
      <w:lvlText w:val="%2."/>
      <w:lvlJc w:val="left"/>
      <w:pPr>
        <w:ind w:left="1440" w:hanging="360"/>
      </w:pPr>
      <w:rPr>
        <w:rFonts w:cs="Times New Roman"/>
      </w:rPr>
    </w:lvl>
    <w:lvl w:ilvl="2" w:tplc="04090005" w:tentative="1">
      <w:start w:val="1"/>
      <w:numFmt w:val="lowerRoman"/>
      <w:lvlText w:val="%3."/>
      <w:lvlJc w:val="right"/>
      <w:pPr>
        <w:ind w:left="2160" w:hanging="180"/>
      </w:pPr>
      <w:rPr>
        <w:rFonts w:cs="Times New Roman"/>
      </w:rPr>
    </w:lvl>
    <w:lvl w:ilvl="3" w:tplc="04090001" w:tentative="1">
      <w:start w:val="1"/>
      <w:numFmt w:val="decimal"/>
      <w:lvlText w:val="%4."/>
      <w:lvlJc w:val="left"/>
      <w:pPr>
        <w:ind w:left="2880" w:hanging="360"/>
      </w:pPr>
      <w:rPr>
        <w:rFonts w:cs="Times New Roman"/>
      </w:rPr>
    </w:lvl>
    <w:lvl w:ilvl="4" w:tplc="04090003" w:tentative="1">
      <w:start w:val="1"/>
      <w:numFmt w:val="lowerLetter"/>
      <w:lvlText w:val="%5."/>
      <w:lvlJc w:val="left"/>
      <w:pPr>
        <w:ind w:left="3600" w:hanging="360"/>
      </w:pPr>
      <w:rPr>
        <w:rFonts w:cs="Times New Roman"/>
      </w:rPr>
    </w:lvl>
    <w:lvl w:ilvl="5" w:tplc="04090005" w:tentative="1">
      <w:start w:val="1"/>
      <w:numFmt w:val="lowerRoman"/>
      <w:lvlText w:val="%6."/>
      <w:lvlJc w:val="right"/>
      <w:pPr>
        <w:ind w:left="4320" w:hanging="180"/>
      </w:pPr>
      <w:rPr>
        <w:rFonts w:cs="Times New Roman"/>
      </w:rPr>
    </w:lvl>
    <w:lvl w:ilvl="6" w:tplc="04090001" w:tentative="1">
      <w:start w:val="1"/>
      <w:numFmt w:val="decimal"/>
      <w:lvlText w:val="%7."/>
      <w:lvlJc w:val="left"/>
      <w:pPr>
        <w:ind w:left="5040" w:hanging="360"/>
      </w:pPr>
      <w:rPr>
        <w:rFonts w:cs="Times New Roman"/>
      </w:rPr>
    </w:lvl>
    <w:lvl w:ilvl="7" w:tplc="04090003" w:tentative="1">
      <w:start w:val="1"/>
      <w:numFmt w:val="lowerLetter"/>
      <w:lvlText w:val="%8."/>
      <w:lvlJc w:val="left"/>
      <w:pPr>
        <w:ind w:left="5760" w:hanging="360"/>
      </w:pPr>
      <w:rPr>
        <w:rFonts w:cs="Times New Roman"/>
      </w:rPr>
    </w:lvl>
    <w:lvl w:ilvl="8" w:tplc="04090005" w:tentative="1">
      <w:start w:val="1"/>
      <w:numFmt w:val="lowerRoman"/>
      <w:lvlText w:val="%9."/>
      <w:lvlJc w:val="right"/>
      <w:pPr>
        <w:ind w:left="6480" w:hanging="180"/>
      </w:pPr>
      <w:rPr>
        <w:rFonts w:cs="Times New Roman"/>
      </w:rPr>
    </w:lvl>
  </w:abstractNum>
  <w:abstractNum w:abstractNumId="67">
    <w:nsid w:val="2AF77A2A"/>
    <w:multiLevelType w:val="hybridMultilevel"/>
    <w:tmpl w:val="F2DEEE14"/>
    <w:lvl w:ilvl="0" w:tplc="04090001">
      <w:start w:val="1"/>
      <w:numFmt w:val="decimal"/>
      <w:lvlText w:val="%1."/>
      <w:lvlJc w:val="left"/>
      <w:pPr>
        <w:tabs>
          <w:tab w:val="num" w:pos="1080"/>
        </w:tabs>
        <w:ind w:left="1080" w:hanging="360"/>
      </w:pPr>
    </w:lvl>
    <w:lvl w:ilvl="1" w:tplc="04090003" w:tentative="1">
      <w:start w:val="1"/>
      <w:numFmt w:val="lowerLetter"/>
      <w:lvlText w:val="%2."/>
      <w:lvlJc w:val="left"/>
      <w:pPr>
        <w:tabs>
          <w:tab w:val="num" w:pos="1800"/>
        </w:tabs>
        <w:ind w:left="1800" w:hanging="360"/>
      </w:pPr>
    </w:lvl>
    <w:lvl w:ilvl="2" w:tplc="04090005" w:tentative="1">
      <w:start w:val="1"/>
      <w:numFmt w:val="lowerRoman"/>
      <w:lvlText w:val="%3."/>
      <w:lvlJc w:val="right"/>
      <w:pPr>
        <w:tabs>
          <w:tab w:val="num" w:pos="2520"/>
        </w:tabs>
        <w:ind w:left="2520" w:hanging="180"/>
      </w:pPr>
    </w:lvl>
    <w:lvl w:ilvl="3" w:tplc="04090001" w:tentative="1">
      <w:start w:val="1"/>
      <w:numFmt w:val="decimal"/>
      <w:lvlText w:val="%4."/>
      <w:lvlJc w:val="left"/>
      <w:pPr>
        <w:tabs>
          <w:tab w:val="num" w:pos="3240"/>
        </w:tabs>
        <w:ind w:left="3240" w:hanging="360"/>
      </w:pPr>
    </w:lvl>
    <w:lvl w:ilvl="4" w:tplc="04090003" w:tentative="1">
      <w:start w:val="1"/>
      <w:numFmt w:val="lowerLetter"/>
      <w:lvlText w:val="%5."/>
      <w:lvlJc w:val="left"/>
      <w:pPr>
        <w:tabs>
          <w:tab w:val="num" w:pos="3960"/>
        </w:tabs>
        <w:ind w:left="3960" w:hanging="360"/>
      </w:pPr>
    </w:lvl>
    <w:lvl w:ilvl="5" w:tplc="04090005" w:tentative="1">
      <w:start w:val="1"/>
      <w:numFmt w:val="lowerRoman"/>
      <w:lvlText w:val="%6."/>
      <w:lvlJc w:val="right"/>
      <w:pPr>
        <w:tabs>
          <w:tab w:val="num" w:pos="4680"/>
        </w:tabs>
        <w:ind w:left="4680" w:hanging="180"/>
      </w:pPr>
    </w:lvl>
    <w:lvl w:ilvl="6" w:tplc="04090001" w:tentative="1">
      <w:start w:val="1"/>
      <w:numFmt w:val="decimal"/>
      <w:lvlText w:val="%7."/>
      <w:lvlJc w:val="left"/>
      <w:pPr>
        <w:tabs>
          <w:tab w:val="num" w:pos="5400"/>
        </w:tabs>
        <w:ind w:left="5400" w:hanging="360"/>
      </w:pPr>
    </w:lvl>
    <w:lvl w:ilvl="7" w:tplc="04090003" w:tentative="1">
      <w:start w:val="1"/>
      <w:numFmt w:val="lowerLetter"/>
      <w:lvlText w:val="%8."/>
      <w:lvlJc w:val="left"/>
      <w:pPr>
        <w:tabs>
          <w:tab w:val="num" w:pos="6120"/>
        </w:tabs>
        <w:ind w:left="6120" w:hanging="360"/>
      </w:pPr>
    </w:lvl>
    <w:lvl w:ilvl="8" w:tplc="04090005" w:tentative="1">
      <w:start w:val="1"/>
      <w:numFmt w:val="lowerRoman"/>
      <w:lvlText w:val="%9."/>
      <w:lvlJc w:val="right"/>
      <w:pPr>
        <w:tabs>
          <w:tab w:val="num" w:pos="6840"/>
        </w:tabs>
        <w:ind w:left="6840" w:hanging="180"/>
      </w:pPr>
    </w:lvl>
  </w:abstractNum>
  <w:abstractNum w:abstractNumId="68">
    <w:nsid w:val="2C880C36"/>
    <w:multiLevelType w:val="hybridMultilevel"/>
    <w:tmpl w:val="65526EA8"/>
    <w:lvl w:ilvl="0" w:tplc="04090001">
      <w:start w:val="1"/>
      <w:numFmt w:val="decimal"/>
      <w:lvlText w:val="%1."/>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69">
    <w:nsid w:val="2D886D1F"/>
    <w:multiLevelType w:val="hybridMultilevel"/>
    <w:tmpl w:val="23D29452"/>
    <w:lvl w:ilvl="0" w:tplc="74BCBD0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2DB66D1A"/>
    <w:multiLevelType w:val="hybridMultilevel"/>
    <w:tmpl w:val="B7560B76"/>
    <w:lvl w:ilvl="0" w:tplc="0B16C23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2DC933ED"/>
    <w:multiLevelType w:val="hybridMultilevel"/>
    <w:tmpl w:val="B336B0DC"/>
    <w:lvl w:ilvl="0" w:tplc="04090005">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2EE83BED"/>
    <w:multiLevelType w:val="hybridMultilevel"/>
    <w:tmpl w:val="9E38550E"/>
    <w:lvl w:ilvl="0" w:tplc="04090001">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3">
    <w:nsid w:val="2F382A56"/>
    <w:multiLevelType w:val="hybridMultilevel"/>
    <w:tmpl w:val="A6E87F70"/>
    <w:lvl w:ilvl="0" w:tplc="0409000F">
      <w:start w:val="1"/>
      <w:numFmt w:val="bullet"/>
      <w:lvlText w:val="o"/>
      <w:lvlJc w:val="left"/>
      <w:pPr>
        <w:tabs>
          <w:tab w:val="num" w:pos="1080"/>
        </w:tabs>
        <w:ind w:left="1080" w:hanging="360"/>
      </w:pPr>
      <w:rPr>
        <w:rFonts w:ascii="Courier New" w:hAnsi="Courier New" w:hint="default"/>
        <w:color w:val="auto"/>
        <w:sz w:val="22"/>
      </w:rPr>
    </w:lvl>
    <w:lvl w:ilvl="1" w:tplc="04090019">
      <w:start w:val="1"/>
      <w:numFmt w:val="bullet"/>
      <w:lvlText w:val="o"/>
      <w:lvlJc w:val="left"/>
      <w:pPr>
        <w:tabs>
          <w:tab w:val="num" w:pos="1800"/>
        </w:tabs>
        <w:ind w:left="1800" w:hanging="360"/>
      </w:pPr>
      <w:rPr>
        <w:rFonts w:ascii="Courier New" w:hAnsi="Courier New" w:hint="default"/>
      </w:rPr>
    </w:lvl>
    <w:lvl w:ilvl="2" w:tplc="0409001B">
      <w:start w:val="1"/>
      <w:numFmt w:val="bullet"/>
      <w:lvlText w:val=""/>
      <w:lvlJc w:val="left"/>
      <w:pPr>
        <w:tabs>
          <w:tab w:val="num" w:pos="2520"/>
        </w:tabs>
        <w:ind w:left="2520" w:hanging="360"/>
      </w:pPr>
      <w:rPr>
        <w:rFonts w:ascii="Wingdings" w:hAnsi="Wingdings" w:hint="default"/>
      </w:rPr>
    </w:lvl>
    <w:lvl w:ilvl="3" w:tplc="0409000F">
      <w:start w:val="1"/>
      <w:numFmt w:val="bullet"/>
      <w:lvlText w:val=""/>
      <w:lvlJc w:val="left"/>
      <w:pPr>
        <w:tabs>
          <w:tab w:val="num" w:pos="3240"/>
        </w:tabs>
        <w:ind w:left="3240" w:hanging="360"/>
      </w:pPr>
      <w:rPr>
        <w:rFonts w:ascii="Symbol" w:hAnsi="Symbol" w:hint="default"/>
      </w:rPr>
    </w:lvl>
    <w:lvl w:ilvl="4" w:tplc="04090019" w:tentative="1">
      <w:start w:val="1"/>
      <w:numFmt w:val="bullet"/>
      <w:lvlText w:val="o"/>
      <w:lvlJc w:val="left"/>
      <w:pPr>
        <w:tabs>
          <w:tab w:val="num" w:pos="3960"/>
        </w:tabs>
        <w:ind w:left="3960" w:hanging="360"/>
      </w:pPr>
      <w:rPr>
        <w:rFonts w:ascii="Courier New" w:hAnsi="Courier New" w:hint="default"/>
      </w:rPr>
    </w:lvl>
    <w:lvl w:ilvl="5" w:tplc="0409001B" w:tentative="1">
      <w:start w:val="1"/>
      <w:numFmt w:val="bullet"/>
      <w:lvlText w:val=""/>
      <w:lvlJc w:val="left"/>
      <w:pPr>
        <w:tabs>
          <w:tab w:val="num" w:pos="4680"/>
        </w:tabs>
        <w:ind w:left="4680" w:hanging="360"/>
      </w:pPr>
      <w:rPr>
        <w:rFonts w:ascii="Wingdings" w:hAnsi="Wingdings" w:hint="default"/>
      </w:rPr>
    </w:lvl>
    <w:lvl w:ilvl="6" w:tplc="0409000F" w:tentative="1">
      <w:start w:val="1"/>
      <w:numFmt w:val="bullet"/>
      <w:lvlText w:val=""/>
      <w:lvlJc w:val="left"/>
      <w:pPr>
        <w:tabs>
          <w:tab w:val="num" w:pos="5400"/>
        </w:tabs>
        <w:ind w:left="5400" w:hanging="360"/>
      </w:pPr>
      <w:rPr>
        <w:rFonts w:ascii="Symbol" w:hAnsi="Symbol" w:hint="default"/>
      </w:rPr>
    </w:lvl>
    <w:lvl w:ilvl="7" w:tplc="04090019" w:tentative="1">
      <w:start w:val="1"/>
      <w:numFmt w:val="bullet"/>
      <w:lvlText w:val="o"/>
      <w:lvlJc w:val="left"/>
      <w:pPr>
        <w:tabs>
          <w:tab w:val="num" w:pos="6120"/>
        </w:tabs>
        <w:ind w:left="6120" w:hanging="360"/>
      </w:pPr>
      <w:rPr>
        <w:rFonts w:ascii="Courier New" w:hAnsi="Courier New" w:hint="default"/>
      </w:rPr>
    </w:lvl>
    <w:lvl w:ilvl="8" w:tplc="0409001B" w:tentative="1">
      <w:start w:val="1"/>
      <w:numFmt w:val="bullet"/>
      <w:lvlText w:val=""/>
      <w:lvlJc w:val="left"/>
      <w:pPr>
        <w:tabs>
          <w:tab w:val="num" w:pos="6840"/>
        </w:tabs>
        <w:ind w:left="6840" w:hanging="360"/>
      </w:pPr>
      <w:rPr>
        <w:rFonts w:ascii="Wingdings" w:hAnsi="Wingdings" w:hint="default"/>
      </w:rPr>
    </w:lvl>
  </w:abstractNum>
  <w:abstractNum w:abstractNumId="74">
    <w:nsid w:val="30C709B0"/>
    <w:multiLevelType w:val="hybridMultilevel"/>
    <w:tmpl w:val="CB9CDE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31B94B0C"/>
    <w:multiLevelType w:val="hybridMultilevel"/>
    <w:tmpl w:val="916C5ECC"/>
    <w:lvl w:ilvl="0" w:tplc="04090001">
      <w:start w:val="1"/>
      <w:numFmt w:val="decimal"/>
      <w:lvlText w:val="%1."/>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76">
    <w:nsid w:val="32A767D8"/>
    <w:multiLevelType w:val="hybridMultilevel"/>
    <w:tmpl w:val="108AF4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344B6122"/>
    <w:multiLevelType w:val="hybridMultilevel"/>
    <w:tmpl w:val="B11C2F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78">
    <w:nsid w:val="35610506"/>
    <w:multiLevelType w:val="hybridMultilevel"/>
    <w:tmpl w:val="D0CA7E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35FE0038"/>
    <w:multiLevelType w:val="hybridMultilevel"/>
    <w:tmpl w:val="1D908C1C"/>
    <w:lvl w:ilvl="0" w:tplc="D9844B18">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80">
    <w:nsid w:val="37B552FF"/>
    <w:multiLevelType w:val="hybridMultilevel"/>
    <w:tmpl w:val="7B607F38"/>
    <w:lvl w:ilvl="0" w:tplc="04090001">
      <w:start w:val="1"/>
      <w:numFmt w:val="decimal"/>
      <w:lvlText w:val="%1."/>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81">
    <w:nsid w:val="393D11C3"/>
    <w:multiLevelType w:val="hybridMultilevel"/>
    <w:tmpl w:val="EA38FFA2"/>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2">
    <w:nsid w:val="39844473"/>
    <w:multiLevelType w:val="hybridMultilevel"/>
    <w:tmpl w:val="6E5AF4F6"/>
    <w:lvl w:ilvl="0" w:tplc="04090001">
      <w:start w:val="1"/>
      <w:numFmt w:val="decimal"/>
      <w:lvlText w:val="%1."/>
      <w:lvlJc w:val="left"/>
      <w:pPr>
        <w:ind w:left="720" w:hanging="720"/>
      </w:pPr>
      <w:rPr>
        <w:rFonts w:cs="Times New Roman" w:hint="default"/>
      </w:rPr>
    </w:lvl>
    <w:lvl w:ilvl="1" w:tplc="04090003">
      <w:start w:val="1"/>
      <w:numFmt w:val="lowerLetter"/>
      <w:lvlText w:val="%2."/>
      <w:lvlJc w:val="left"/>
      <w:pPr>
        <w:ind w:left="1080" w:hanging="360"/>
      </w:pPr>
      <w:rPr>
        <w:rFonts w:cs="Times New Roman"/>
      </w:rPr>
    </w:lvl>
    <w:lvl w:ilvl="2" w:tplc="04090005">
      <w:start w:val="1"/>
      <w:numFmt w:val="lowerRoman"/>
      <w:lvlText w:val="%3."/>
      <w:lvlJc w:val="right"/>
      <w:pPr>
        <w:ind w:left="1800" w:hanging="180"/>
      </w:pPr>
      <w:rPr>
        <w:rFonts w:cs="Times New Roman"/>
      </w:rPr>
    </w:lvl>
    <w:lvl w:ilvl="3" w:tplc="04090001">
      <w:start w:val="1"/>
      <w:numFmt w:val="decimal"/>
      <w:lvlText w:val="%4."/>
      <w:lvlJc w:val="left"/>
      <w:pPr>
        <w:ind w:left="2520" w:hanging="360"/>
      </w:pPr>
      <w:rPr>
        <w:rFonts w:cs="Times New Roman"/>
      </w:rPr>
    </w:lvl>
    <w:lvl w:ilvl="4" w:tplc="04090003">
      <w:start w:val="1"/>
      <w:numFmt w:val="lowerLetter"/>
      <w:lvlText w:val="%5."/>
      <w:lvlJc w:val="left"/>
      <w:pPr>
        <w:ind w:left="3240" w:hanging="360"/>
      </w:pPr>
      <w:rPr>
        <w:rFonts w:cs="Times New Roman"/>
      </w:rPr>
    </w:lvl>
    <w:lvl w:ilvl="5" w:tplc="04090005">
      <w:start w:val="1"/>
      <w:numFmt w:val="lowerRoman"/>
      <w:lvlText w:val="%6."/>
      <w:lvlJc w:val="right"/>
      <w:pPr>
        <w:ind w:left="3960" w:hanging="180"/>
      </w:pPr>
      <w:rPr>
        <w:rFonts w:cs="Times New Roman"/>
      </w:rPr>
    </w:lvl>
    <w:lvl w:ilvl="6" w:tplc="04090001">
      <w:start w:val="1"/>
      <w:numFmt w:val="decimal"/>
      <w:lvlText w:val="%7."/>
      <w:lvlJc w:val="left"/>
      <w:pPr>
        <w:ind w:left="4680" w:hanging="360"/>
      </w:pPr>
      <w:rPr>
        <w:rFonts w:cs="Times New Roman"/>
      </w:rPr>
    </w:lvl>
    <w:lvl w:ilvl="7" w:tplc="04090003">
      <w:start w:val="1"/>
      <w:numFmt w:val="lowerLetter"/>
      <w:lvlText w:val="%8."/>
      <w:lvlJc w:val="left"/>
      <w:pPr>
        <w:ind w:left="5400" w:hanging="360"/>
      </w:pPr>
      <w:rPr>
        <w:rFonts w:cs="Times New Roman"/>
      </w:rPr>
    </w:lvl>
    <w:lvl w:ilvl="8" w:tplc="04090005">
      <w:start w:val="1"/>
      <w:numFmt w:val="lowerRoman"/>
      <w:lvlText w:val="%9."/>
      <w:lvlJc w:val="right"/>
      <w:pPr>
        <w:ind w:left="6120" w:hanging="180"/>
      </w:pPr>
      <w:rPr>
        <w:rFonts w:cs="Times New Roman"/>
      </w:rPr>
    </w:lvl>
  </w:abstractNum>
  <w:abstractNum w:abstractNumId="83">
    <w:nsid w:val="3D761E97"/>
    <w:multiLevelType w:val="hybridMultilevel"/>
    <w:tmpl w:val="5706FE78"/>
    <w:lvl w:ilvl="0" w:tplc="D0DE5962">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tentative="1">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84">
    <w:nsid w:val="3E7F40B8"/>
    <w:multiLevelType w:val="hybridMultilevel"/>
    <w:tmpl w:val="32ECE4B8"/>
    <w:lvl w:ilvl="0" w:tplc="04090001">
      <w:start w:val="1"/>
      <w:numFmt w:val="decimal"/>
      <w:lvlText w:val="%1."/>
      <w:lvlJc w:val="left"/>
      <w:pPr>
        <w:ind w:left="720" w:hanging="360"/>
      </w:pPr>
      <w:rPr>
        <w:rFonts w:cs="Times New Roman"/>
      </w:rPr>
    </w:lvl>
    <w:lvl w:ilvl="1" w:tplc="04090003">
      <w:start w:val="1"/>
      <w:numFmt w:val="lowerLetter"/>
      <w:lvlText w:val="%2."/>
      <w:lvlJc w:val="left"/>
      <w:pPr>
        <w:ind w:left="1440" w:hanging="360"/>
      </w:pPr>
      <w:rPr>
        <w:rFonts w:cs="Times New Roman"/>
      </w:rPr>
    </w:lvl>
    <w:lvl w:ilvl="2" w:tplc="04090005" w:tentative="1">
      <w:start w:val="1"/>
      <w:numFmt w:val="lowerRoman"/>
      <w:lvlText w:val="%3."/>
      <w:lvlJc w:val="right"/>
      <w:pPr>
        <w:ind w:left="2160" w:hanging="180"/>
      </w:pPr>
      <w:rPr>
        <w:rFonts w:cs="Times New Roman"/>
      </w:rPr>
    </w:lvl>
    <w:lvl w:ilvl="3" w:tplc="04090001" w:tentative="1">
      <w:start w:val="1"/>
      <w:numFmt w:val="decimal"/>
      <w:lvlText w:val="%4."/>
      <w:lvlJc w:val="left"/>
      <w:pPr>
        <w:ind w:left="2880" w:hanging="360"/>
      </w:pPr>
      <w:rPr>
        <w:rFonts w:cs="Times New Roman"/>
      </w:rPr>
    </w:lvl>
    <w:lvl w:ilvl="4" w:tplc="04090003" w:tentative="1">
      <w:start w:val="1"/>
      <w:numFmt w:val="lowerLetter"/>
      <w:lvlText w:val="%5."/>
      <w:lvlJc w:val="left"/>
      <w:pPr>
        <w:ind w:left="3600" w:hanging="360"/>
      </w:pPr>
      <w:rPr>
        <w:rFonts w:cs="Times New Roman"/>
      </w:rPr>
    </w:lvl>
    <w:lvl w:ilvl="5" w:tplc="04090005" w:tentative="1">
      <w:start w:val="1"/>
      <w:numFmt w:val="lowerRoman"/>
      <w:lvlText w:val="%6."/>
      <w:lvlJc w:val="right"/>
      <w:pPr>
        <w:ind w:left="4320" w:hanging="180"/>
      </w:pPr>
      <w:rPr>
        <w:rFonts w:cs="Times New Roman"/>
      </w:rPr>
    </w:lvl>
    <w:lvl w:ilvl="6" w:tplc="04090001" w:tentative="1">
      <w:start w:val="1"/>
      <w:numFmt w:val="decimal"/>
      <w:lvlText w:val="%7."/>
      <w:lvlJc w:val="left"/>
      <w:pPr>
        <w:ind w:left="5040" w:hanging="360"/>
      </w:pPr>
      <w:rPr>
        <w:rFonts w:cs="Times New Roman"/>
      </w:rPr>
    </w:lvl>
    <w:lvl w:ilvl="7" w:tplc="04090003" w:tentative="1">
      <w:start w:val="1"/>
      <w:numFmt w:val="lowerLetter"/>
      <w:lvlText w:val="%8."/>
      <w:lvlJc w:val="left"/>
      <w:pPr>
        <w:ind w:left="5760" w:hanging="360"/>
      </w:pPr>
      <w:rPr>
        <w:rFonts w:cs="Times New Roman"/>
      </w:rPr>
    </w:lvl>
    <w:lvl w:ilvl="8" w:tplc="04090005" w:tentative="1">
      <w:start w:val="1"/>
      <w:numFmt w:val="lowerRoman"/>
      <w:lvlText w:val="%9."/>
      <w:lvlJc w:val="right"/>
      <w:pPr>
        <w:ind w:left="6480" w:hanging="180"/>
      </w:pPr>
      <w:rPr>
        <w:rFonts w:cs="Times New Roman"/>
      </w:rPr>
    </w:lvl>
  </w:abstractNum>
  <w:abstractNum w:abstractNumId="85">
    <w:nsid w:val="3ECF4DE9"/>
    <w:multiLevelType w:val="hybridMultilevel"/>
    <w:tmpl w:val="2C76F3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3FB545BA"/>
    <w:multiLevelType w:val="hybridMultilevel"/>
    <w:tmpl w:val="421C99F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7">
    <w:nsid w:val="400F41D3"/>
    <w:multiLevelType w:val="multilevel"/>
    <w:tmpl w:val="588EC994"/>
    <w:lvl w:ilvl="0">
      <w:start w:val="1"/>
      <w:numFmt w:val="decimal"/>
      <w:lvlText w:val="%1)"/>
      <w:lvlJc w:val="left"/>
      <w:pPr>
        <w:ind w:left="360" w:hanging="360"/>
      </w:pPr>
      <w:rPr>
        <w:rFonts w:cs="Times New Roman" w:hint="default"/>
      </w:rPr>
    </w:lvl>
    <w:lvl w:ilvl="1">
      <w:start w:val="1"/>
      <w:numFmt w:val="bullet"/>
      <w:lvlText w:val=""/>
      <w:lvlJc w:val="left"/>
      <w:pPr>
        <w:ind w:left="720" w:hanging="360"/>
      </w:pPr>
      <w:rPr>
        <w:rFonts w:ascii="Symbol" w:hAnsi="Symbol" w:hint="default"/>
      </w:rPr>
    </w:lvl>
    <w:lvl w:ilvl="2">
      <w:start w:val="1"/>
      <w:numFmt w:val="lowerRoman"/>
      <w:lvlText w:val="%3)"/>
      <w:lvlJc w:val="left"/>
      <w:pPr>
        <w:ind w:left="1080" w:hanging="360"/>
      </w:pPr>
      <w:rPr>
        <w:rFonts w:cs="Times New Roman" w:hint="default"/>
      </w:rPr>
    </w:lvl>
    <w:lvl w:ilvl="3">
      <w:start w:val="1"/>
      <w:numFmt w:val="decimal"/>
      <w:lvlText w:val="(%4)"/>
      <w:lvlJc w:val="left"/>
      <w:pPr>
        <w:ind w:left="1440" w:hanging="360"/>
      </w:pPr>
      <w:rPr>
        <w:rFonts w:cs="Times New Roman" w:hint="default"/>
      </w:rPr>
    </w:lvl>
    <w:lvl w:ilvl="4">
      <w:start w:val="1"/>
      <w:numFmt w:val="bullet"/>
      <w:lvlText w:val=""/>
      <w:lvlJc w:val="left"/>
      <w:pPr>
        <w:ind w:left="1800" w:hanging="360"/>
      </w:pPr>
      <w:rPr>
        <w:rFonts w:ascii="Symbol" w:hAnsi="Symbol"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88">
    <w:nsid w:val="41023CA7"/>
    <w:multiLevelType w:val="hybridMultilevel"/>
    <w:tmpl w:val="353E0AF0"/>
    <w:lvl w:ilvl="0" w:tplc="3A0A237A">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tentative="1">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89">
    <w:nsid w:val="422B2F64"/>
    <w:multiLevelType w:val="hybridMultilevel"/>
    <w:tmpl w:val="7FE279C0"/>
    <w:lvl w:ilvl="0" w:tplc="04090001">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90">
    <w:nsid w:val="43252353"/>
    <w:multiLevelType w:val="hybridMultilevel"/>
    <w:tmpl w:val="8D5EBAE2"/>
    <w:lvl w:ilvl="0" w:tplc="04090001">
      <w:start w:val="1"/>
      <w:numFmt w:val="upperLetter"/>
      <w:lvlText w:val="%1."/>
      <w:lvlJc w:val="left"/>
      <w:pPr>
        <w:ind w:left="360" w:hanging="360"/>
      </w:pPr>
      <w:rPr>
        <w:rFonts w:cs="Times New Roman" w:hint="default"/>
      </w:rPr>
    </w:lvl>
    <w:lvl w:ilvl="1" w:tplc="04090003" w:tentative="1">
      <w:start w:val="1"/>
      <w:numFmt w:val="lowerLetter"/>
      <w:lvlText w:val="%2."/>
      <w:lvlJc w:val="left"/>
      <w:pPr>
        <w:ind w:left="1080" w:hanging="360"/>
      </w:pPr>
      <w:rPr>
        <w:rFonts w:cs="Times New Roman"/>
      </w:rPr>
    </w:lvl>
    <w:lvl w:ilvl="2" w:tplc="04090005" w:tentative="1">
      <w:start w:val="1"/>
      <w:numFmt w:val="lowerRoman"/>
      <w:lvlText w:val="%3."/>
      <w:lvlJc w:val="right"/>
      <w:pPr>
        <w:ind w:left="1800" w:hanging="180"/>
      </w:pPr>
      <w:rPr>
        <w:rFonts w:cs="Times New Roman"/>
      </w:rPr>
    </w:lvl>
    <w:lvl w:ilvl="3" w:tplc="04090001" w:tentative="1">
      <w:start w:val="1"/>
      <w:numFmt w:val="decimal"/>
      <w:lvlText w:val="%4."/>
      <w:lvlJc w:val="left"/>
      <w:pPr>
        <w:ind w:left="2520" w:hanging="360"/>
      </w:pPr>
      <w:rPr>
        <w:rFonts w:cs="Times New Roman"/>
      </w:rPr>
    </w:lvl>
    <w:lvl w:ilvl="4" w:tplc="04090003" w:tentative="1">
      <w:start w:val="1"/>
      <w:numFmt w:val="lowerLetter"/>
      <w:lvlText w:val="%5."/>
      <w:lvlJc w:val="left"/>
      <w:pPr>
        <w:ind w:left="3240" w:hanging="360"/>
      </w:pPr>
      <w:rPr>
        <w:rFonts w:cs="Times New Roman"/>
      </w:rPr>
    </w:lvl>
    <w:lvl w:ilvl="5" w:tplc="04090005" w:tentative="1">
      <w:start w:val="1"/>
      <w:numFmt w:val="lowerRoman"/>
      <w:lvlText w:val="%6."/>
      <w:lvlJc w:val="right"/>
      <w:pPr>
        <w:ind w:left="3960" w:hanging="180"/>
      </w:pPr>
      <w:rPr>
        <w:rFonts w:cs="Times New Roman"/>
      </w:rPr>
    </w:lvl>
    <w:lvl w:ilvl="6" w:tplc="04090001" w:tentative="1">
      <w:start w:val="1"/>
      <w:numFmt w:val="decimal"/>
      <w:lvlText w:val="%7."/>
      <w:lvlJc w:val="left"/>
      <w:pPr>
        <w:ind w:left="4680" w:hanging="360"/>
      </w:pPr>
      <w:rPr>
        <w:rFonts w:cs="Times New Roman"/>
      </w:rPr>
    </w:lvl>
    <w:lvl w:ilvl="7" w:tplc="04090003" w:tentative="1">
      <w:start w:val="1"/>
      <w:numFmt w:val="lowerLetter"/>
      <w:lvlText w:val="%8."/>
      <w:lvlJc w:val="left"/>
      <w:pPr>
        <w:ind w:left="5400" w:hanging="360"/>
      </w:pPr>
      <w:rPr>
        <w:rFonts w:cs="Times New Roman"/>
      </w:rPr>
    </w:lvl>
    <w:lvl w:ilvl="8" w:tplc="04090005" w:tentative="1">
      <w:start w:val="1"/>
      <w:numFmt w:val="lowerRoman"/>
      <w:lvlText w:val="%9."/>
      <w:lvlJc w:val="right"/>
      <w:pPr>
        <w:ind w:left="6120" w:hanging="180"/>
      </w:pPr>
      <w:rPr>
        <w:rFonts w:cs="Times New Roman"/>
      </w:rPr>
    </w:lvl>
  </w:abstractNum>
  <w:abstractNum w:abstractNumId="91">
    <w:nsid w:val="436A70EA"/>
    <w:multiLevelType w:val="hybridMultilevel"/>
    <w:tmpl w:val="20F6C6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nsid w:val="43DF7C32"/>
    <w:multiLevelType w:val="hybridMultilevel"/>
    <w:tmpl w:val="C3B0B61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3">
    <w:nsid w:val="454E7190"/>
    <w:multiLevelType w:val="hybridMultilevel"/>
    <w:tmpl w:val="E5D01BDA"/>
    <w:lvl w:ilvl="0" w:tplc="04090001">
      <w:start w:val="1"/>
      <w:numFmt w:val="decimal"/>
      <w:lvlText w:val="%1."/>
      <w:lvlJc w:val="left"/>
      <w:pPr>
        <w:ind w:left="720" w:hanging="360"/>
      </w:pPr>
      <w:rPr>
        <w:rFonts w:cs="Times New Roman"/>
      </w:rPr>
    </w:lvl>
    <w:lvl w:ilvl="1" w:tplc="04090003" w:tentative="1">
      <w:start w:val="1"/>
      <w:numFmt w:val="lowerLetter"/>
      <w:lvlText w:val="%2."/>
      <w:lvlJc w:val="left"/>
      <w:pPr>
        <w:ind w:left="1440" w:hanging="360"/>
      </w:pPr>
      <w:rPr>
        <w:rFonts w:cs="Times New Roman"/>
      </w:rPr>
    </w:lvl>
    <w:lvl w:ilvl="2" w:tplc="04090005" w:tentative="1">
      <w:start w:val="1"/>
      <w:numFmt w:val="lowerRoman"/>
      <w:lvlText w:val="%3."/>
      <w:lvlJc w:val="right"/>
      <w:pPr>
        <w:ind w:left="2160" w:hanging="180"/>
      </w:pPr>
      <w:rPr>
        <w:rFonts w:cs="Times New Roman"/>
      </w:rPr>
    </w:lvl>
    <w:lvl w:ilvl="3" w:tplc="04090001" w:tentative="1">
      <w:start w:val="1"/>
      <w:numFmt w:val="decimal"/>
      <w:lvlText w:val="%4."/>
      <w:lvlJc w:val="left"/>
      <w:pPr>
        <w:ind w:left="2880" w:hanging="360"/>
      </w:pPr>
      <w:rPr>
        <w:rFonts w:cs="Times New Roman"/>
      </w:rPr>
    </w:lvl>
    <w:lvl w:ilvl="4" w:tplc="04090003" w:tentative="1">
      <w:start w:val="1"/>
      <w:numFmt w:val="lowerLetter"/>
      <w:lvlText w:val="%5."/>
      <w:lvlJc w:val="left"/>
      <w:pPr>
        <w:ind w:left="3600" w:hanging="360"/>
      </w:pPr>
      <w:rPr>
        <w:rFonts w:cs="Times New Roman"/>
      </w:rPr>
    </w:lvl>
    <w:lvl w:ilvl="5" w:tplc="04090005" w:tentative="1">
      <w:start w:val="1"/>
      <w:numFmt w:val="lowerRoman"/>
      <w:lvlText w:val="%6."/>
      <w:lvlJc w:val="right"/>
      <w:pPr>
        <w:ind w:left="4320" w:hanging="180"/>
      </w:pPr>
      <w:rPr>
        <w:rFonts w:cs="Times New Roman"/>
      </w:rPr>
    </w:lvl>
    <w:lvl w:ilvl="6" w:tplc="04090001" w:tentative="1">
      <w:start w:val="1"/>
      <w:numFmt w:val="decimal"/>
      <w:lvlText w:val="%7."/>
      <w:lvlJc w:val="left"/>
      <w:pPr>
        <w:ind w:left="5040" w:hanging="360"/>
      </w:pPr>
      <w:rPr>
        <w:rFonts w:cs="Times New Roman"/>
      </w:rPr>
    </w:lvl>
    <w:lvl w:ilvl="7" w:tplc="04090003" w:tentative="1">
      <w:start w:val="1"/>
      <w:numFmt w:val="lowerLetter"/>
      <w:lvlText w:val="%8."/>
      <w:lvlJc w:val="left"/>
      <w:pPr>
        <w:ind w:left="5760" w:hanging="360"/>
      </w:pPr>
      <w:rPr>
        <w:rFonts w:cs="Times New Roman"/>
      </w:rPr>
    </w:lvl>
    <w:lvl w:ilvl="8" w:tplc="04090005" w:tentative="1">
      <w:start w:val="1"/>
      <w:numFmt w:val="lowerRoman"/>
      <w:lvlText w:val="%9."/>
      <w:lvlJc w:val="right"/>
      <w:pPr>
        <w:ind w:left="6480" w:hanging="180"/>
      </w:pPr>
      <w:rPr>
        <w:rFonts w:cs="Times New Roman"/>
      </w:rPr>
    </w:lvl>
  </w:abstractNum>
  <w:abstractNum w:abstractNumId="94">
    <w:nsid w:val="45685D8D"/>
    <w:multiLevelType w:val="hybridMultilevel"/>
    <w:tmpl w:val="97FAE2A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5">
    <w:nsid w:val="470C6142"/>
    <w:multiLevelType w:val="hybridMultilevel"/>
    <w:tmpl w:val="EFE498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nsid w:val="476D5B1E"/>
    <w:multiLevelType w:val="hybridMultilevel"/>
    <w:tmpl w:val="99944FB6"/>
    <w:lvl w:ilvl="0" w:tplc="04090001">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97">
    <w:nsid w:val="49EC1FA5"/>
    <w:multiLevelType w:val="hybridMultilevel"/>
    <w:tmpl w:val="7F009EC0"/>
    <w:lvl w:ilvl="0" w:tplc="04090001">
      <w:start w:val="1"/>
      <w:numFmt w:val="decimal"/>
      <w:lvlText w:val="%1."/>
      <w:lvlJc w:val="left"/>
      <w:pPr>
        <w:ind w:left="720" w:hanging="360"/>
      </w:pPr>
      <w:rPr>
        <w:rFonts w:cs="Times New Roman"/>
      </w:rPr>
    </w:lvl>
    <w:lvl w:ilvl="1" w:tplc="04090003" w:tentative="1">
      <w:start w:val="1"/>
      <w:numFmt w:val="lowerLetter"/>
      <w:lvlText w:val="%2."/>
      <w:lvlJc w:val="left"/>
      <w:pPr>
        <w:ind w:left="1440" w:hanging="360"/>
      </w:pPr>
      <w:rPr>
        <w:rFonts w:cs="Times New Roman"/>
      </w:rPr>
    </w:lvl>
    <w:lvl w:ilvl="2" w:tplc="04090005" w:tentative="1">
      <w:start w:val="1"/>
      <w:numFmt w:val="lowerRoman"/>
      <w:lvlText w:val="%3."/>
      <w:lvlJc w:val="right"/>
      <w:pPr>
        <w:ind w:left="2160" w:hanging="180"/>
      </w:pPr>
      <w:rPr>
        <w:rFonts w:cs="Times New Roman"/>
      </w:rPr>
    </w:lvl>
    <w:lvl w:ilvl="3" w:tplc="04090001" w:tentative="1">
      <w:start w:val="1"/>
      <w:numFmt w:val="decimal"/>
      <w:lvlText w:val="%4."/>
      <w:lvlJc w:val="left"/>
      <w:pPr>
        <w:ind w:left="2880" w:hanging="360"/>
      </w:pPr>
      <w:rPr>
        <w:rFonts w:cs="Times New Roman"/>
      </w:rPr>
    </w:lvl>
    <w:lvl w:ilvl="4" w:tplc="04090003" w:tentative="1">
      <w:start w:val="1"/>
      <w:numFmt w:val="lowerLetter"/>
      <w:lvlText w:val="%5."/>
      <w:lvlJc w:val="left"/>
      <w:pPr>
        <w:ind w:left="3600" w:hanging="360"/>
      </w:pPr>
      <w:rPr>
        <w:rFonts w:cs="Times New Roman"/>
      </w:rPr>
    </w:lvl>
    <w:lvl w:ilvl="5" w:tplc="04090005" w:tentative="1">
      <w:start w:val="1"/>
      <w:numFmt w:val="lowerRoman"/>
      <w:lvlText w:val="%6."/>
      <w:lvlJc w:val="right"/>
      <w:pPr>
        <w:ind w:left="4320" w:hanging="180"/>
      </w:pPr>
      <w:rPr>
        <w:rFonts w:cs="Times New Roman"/>
      </w:rPr>
    </w:lvl>
    <w:lvl w:ilvl="6" w:tplc="04090001" w:tentative="1">
      <w:start w:val="1"/>
      <w:numFmt w:val="decimal"/>
      <w:lvlText w:val="%7."/>
      <w:lvlJc w:val="left"/>
      <w:pPr>
        <w:ind w:left="5040" w:hanging="360"/>
      </w:pPr>
      <w:rPr>
        <w:rFonts w:cs="Times New Roman"/>
      </w:rPr>
    </w:lvl>
    <w:lvl w:ilvl="7" w:tplc="04090003" w:tentative="1">
      <w:start w:val="1"/>
      <w:numFmt w:val="lowerLetter"/>
      <w:lvlText w:val="%8."/>
      <w:lvlJc w:val="left"/>
      <w:pPr>
        <w:ind w:left="5760" w:hanging="360"/>
      </w:pPr>
      <w:rPr>
        <w:rFonts w:cs="Times New Roman"/>
      </w:rPr>
    </w:lvl>
    <w:lvl w:ilvl="8" w:tplc="04090005" w:tentative="1">
      <w:start w:val="1"/>
      <w:numFmt w:val="lowerRoman"/>
      <w:lvlText w:val="%9."/>
      <w:lvlJc w:val="right"/>
      <w:pPr>
        <w:ind w:left="6480" w:hanging="180"/>
      </w:pPr>
      <w:rPr>
        <w:rFonts w:cs="Times New Roman"/>
      </w:rPr>
    </w:lvl>
  </w:abstractNum>
  <w:abstractNum w:abstractNumId="98">
    <w:nsid w:val="4A141EF9"/>
    <w:multiLevelType w:val="hybridMultilevel"/>
    <w:tmpl w:val="F984F0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99">
    <w:nsid w:val="4B007A65"/>
    <w:multiLevelType w:val="hybridMultilevel"/>
    <w:tmpl w:val="83060090"/>
    <w:lvl w:ilvl="0" w:tplc="04090001">
      <w:start w:val="1"/>
      <w:numFmt w:val="decimal"/>
      <w:lvlText w:val="%1."/>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00">
    <w:nsid w:val="4B0A0711"/>
    <w:multiLevelType w:val="hybridMultilevel"/>
    <w:tmpl w:val="7092FEE0"/>
    <w:lvl w:ilvl="0" w:tplc="36641320">
      <w:start w:val="1"/>
      <w:numFmt w:val="bullet"/>
      <w:lvlText w:val=""/>
      <w:lvlJc w:val="left"/>
      <w:pPr>
        <w:ind w:left="720" w:hanging="360"/>
      </w:pPr>
      <w:rPr>
        <w:rFonts w:ascii="Symbol" w:hAnsi="Symbol" w:hint="default"/>
      </w:rPr>
    </w:lvl>
    <w:lvl w:ilvl="1" w:tplc="131C7C54" w:tentative="1">
      <w:start w:val="1"/>
      <w:numFmt w:val="bullet"/>
      <w:lvlText w:val="o"/>
      <w:lvlJc w:val="left"/>
      <w:pPr>
        <w:ind w:left="1440" w:hanging="360"/>
      </w:pPr>
      <w:rPr>
        <w:rFonts w:ascii="Courier New" w:hAnsi="Courier New" w:cs="Courier New" w:hint="default"/>
      </w:rPr>
    </w:lvl>
    <w:lvl w:ilvl="2" w:tplc="47D40330" w:tentative="1">
      <w:start w:val="1"/>
      <w:numFmt w:val="bullet"/>
      <w:lvlText w:val=""/>
      <w:lvlJc w:val="left"/>
      <w:pPr>
        <w:ind w:left="2160" w:hanging="360"/>
      </w:pPr>
      <w:rPr>
        <w:rFonts w:ascii="Wingdings" w:hAnsi="Wingdings" w:hint="default"/>
      </w:rPr>
    </w:lvl>
    <w:lvl w:ilvl="3" w:tplc="BD7E27C4" w:tentative="1">
      <w:start w:val="1"/>
      <w:numFmt w:val="bullet"/>
      <w:lvlText w:val=""/>
      <w:lvlJc w:val="left"/>
      <w:pPr>
        <w:ind w:left="2880" w:hanging="360"/>
      </w:pPr>
      <w:rPr>
        <w:rFonts w:ascii="Symbol" w:hAnsi="Symbol" w:hint="default"/>
      </w:rPr>
    </w:lvl>
    <w:lvl w:ilvl="4" w:tplc="14ECF632" w:tentative="1">
      <w:start w:val="1"/>
      <w:numFmt w:val="bullet"/>
      <w:lvlText w:val="o"/>
      <w:lvlJc w:val="left"/>
      <w:pPr>
        <w:ind w:left="3600" w:hanging="360"/>
      </w:pPr>
      <w:rPr>
        <w:rFonts w:ascii="Courier New" w:hAnsi="Courier New" w:cs="Courier New" w:hint="default"/>
      </w:rPr>
    </w:lvl>
    <w:lvl w:ilvl="5" w:tplc="6C60FACA" w:tentative="1">
      <w:start w:val="1"/>
      <w:numFmt w:val="bullet"/>
      <w:lvlText w:val=""/>
      <w:lvlJc w:val="left"/>
      <w:pPr>
        <w:ind w:left="4320" w:hanging="360"/>
      </w:pPr>
      <w:rPr>
        <w:rFonts w:ascii="Wingdings" w:hAnsi="Wingdings" w:hint="default"/>
      </w:rPr>
    </w:lvl>
    <w:lvl w:ilvl="6" w:tplc="B78AB832" w:tentative="1">
      <w:start w:val="1"/>
      <w:numFmt w:val="bullet"/>
      <w:lvlText w:val=""/>
      <w:lvlJc w:val="left"/>
      <w:pPr>
        <w:ind w:left="5040" w:hanging="360"/>
      </w:pPr>
      <w:rPr>
        <w:rFonts w:ascii="Symbol" w:hAnsi="Symbol" w:hint="default"/>
      </w:rPr>
    </w:lvl>
    <w:lvl w:ilvl="7" w:tplc="0706C93C" w:tentative="1">
      <w:start w:val="1"/>
      <w:numFmt w:val="bullet"/>
      <w:lvlText w:val="o"/>
      <w:lvlJc w:val="left"/>
      <w:pPr>
        <w:ind w:left="5760" w:hanging="360"/>
      </w:pPr>
      <w:rPr>
        <w:rFonts w:ascii="Courier New" w:hAnsi="Courier New" w:cs="Courier New" w:hint="default"/>
      </w:rPr>
    </w:lvl>
    <w:lvl w:ilvl="8" w:tplc="A508BA42" w:tentative="1">
      <w:start w:val="1"/>
      <w:numFmt w:val="bullet"/>
      <w:lvlText w:val=""/>
      <w:lvlJc w:val="left"/>
      <w:pPr>
        <w:ind w:left="6480" w:hanging="360"/>
      </w:pPr>
      <w:rPr>
        <w:rFonts w:ascii="Wingdings" w:hAnsi="Wingdings" w:hint="default"/>
      </w:rPr>
    </w:lvl>
  </w:abstractNum>
  <w:abstractNum w:abstractNumId="101">
    <w:nsid w:val="4B512061"/>
    <w:multiLevelType w:val="hybridMultilevel"/>
    <w:tmpl w:val="DE5E4B9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2">
    <w:nsid w:val="4CC31F03"/>
    <w:multiLevelType w:val="hybridMultilevel"/>
    <w:tmpl w:val="ECAACC5E"/>
    <w:lvl w:ilvl="0" w:tplc="0409000F">
      <w:start w:val="1"/>
      <w:numFmt w:val="bullet"/>
      <w:lvlText w:val=""/>
      <w:lvlJc w:val="left"/>
      <w:pPr>
        <w:tabs>
          <w:tab w:val="num" w:pos="360"/>
        </w:tabs>
        <w:ind w:left="360" w:hanging="360"/>
      </w:pPr>
      <w:rPr>
        <w:rFonts w:ascii="Symbol" w:hAnsi="Symbol" w:hint="default"/>
        <w:color w:val="auto"/>
      </w:r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360"/>
        </w:tabs>
        <w:ind w:left="-360" w:hanging="180"/>
      </w:pPr>
    </w:lvl>
    <w:lvl w:ilvl="3" w:tplc="0409000F">
      <w:start w:val="1"/>
      <w:numFmt w:val="decimal"/>
      <w:lvlText w:val="%4."/>
      <w:lvlJc w:val="left"/>
      <w:pPr>
        <w:tabs>
          <w:tab w:val="num" w:pos="360"/>
        </w:tabs>
        <w:ind w:left="360" w:hanging="360"/>
      </w:pPr>
      <w:rPr>
        <w:rFonts w:hint="default"/>
      </w:rPr>
    </w:lvl>
    <w:lvl w:ilvl="4" w:tplc="04090019" w:tentative="1">
      <w:start w:val="1"/>
      <w:numFmt w:val="lowerLetter"/>
      <w:lvlText w:val="%5."/>
      <w:lvlJc w:val="left"/>
      <w:pPr>
        <w:tabs>
          <w:tab w:val="num" w:pos="1080"/>
        </w:tabs>
        <w:ind w:left="1080" w:hanging="360"/>
      </w:pPr>
    </w:lvl>
    <w:lvl w:ilvl="5" w:tplc="0409001B" w:tentative="1">
      <w:start w:val="1"/>
      <w:numFmt w:val="lowerRoman"/>
      <w:lvlText w:val="%6."/>
      <w:lvlJc w:val="right"/>
      <w:pPr>
        <w:tabs>
          <w:tab w:val="num" w:pos="1800"/>
        </w:tabs>
        <w:ind w:left="1800" w:hanging="180"/>
      </w:pPr>
    </w:lvl>
    <w:lvl w:ilvl="6" w:tplc="0409000F" w:tentative="1">
      <w:start w:val="1"/>
      <w:numFmt w:val="decimal"/>
      <w:lvlText w:val="%7."/>
      <w:lvlJc w:val="left"/>
      <w:pPr>
        <w:tabs>
          <w:tab w:val="num" w:pos="2520"/>
        </w:tabs>
        <w:ind w:left="2520" w:hanging="360"/>
      </w:pPr>
    </w:lvl>
    <w:lvl w:ilvl="7" w:tplc="04090019" w:tentative="1">
      <w:start w:val="1"/>
      <w:numFmt w:val="lowerLetter"/>
      <w:lvlText w:val="%8."/>
      <w:lvlJc w:val="left"/>
      <w:pPr>
        <w:tabs>
          <w:tab w:val="num" w:pos="3240"/>
        </w:tabs>
        <w:ind w:left="3240" w:hanging="360"/>
      </w:pPr>
    </w:lvl>
    <w:lvl w:ilvl="8" w:tplc="0409001B" w:tentative="1">
      <w:start w:val="1"/>
      <w:numFmt w:val="lowerRoman"/>
      <w:lvlText w:val="%9."/>
      <w:lvlJc w:val="right"/>
      <w:pPr>
        <w:tabs>
          <w:tab w:val="num" w:pos="3960"/>
        </w:tabs>
        <w:ind w:left="3960" w:hanging="180"/>
      </w:pPr>
    </w:lvl>
  </w:abstractNum>
  <w:abstractNum w:abstractNumId="103">
    <w:nsid w:val="4E113237"/>
    <w:multiLevelType w:val="hybridMultilevel"/>
    <w:tmpl w:val="33DE41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nsid w:val="4E351ECD"/>
    <w:multiLevelType w:val="hybridMultilevel"/>
    <w:tmpl w:val="91B8B3F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5">
    <w:nsid w:val="4EA30415"/>
    <w:multiLevelType w:val="hybridMultilevel"/>
    <w:tmpl w:val="731EA4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6">
    <w:nsid w:val="4EB77E59"/>
    <w:multiLevelType w:val="hybridMultilevel"/>
    <w:tmpl w:val="5F50D416"/>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07">
    <w:nsid w:val="4F4F5EE9"/>
    <w:multiLevelType w:val="hybridMultilevel"/>
    <w:tmpl w:val="CD3C28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nsid w:val="4FF81DE0"/>
    <w:multiLevelType w:val="hybridMultilevel"/>
    <w:tmpl w:val="BD76D9F8"/>
    <w:lvl w:ilvl="0" w:tplc="14485BC2">
      <w:start w:val="1"/>
      <w:numFmt w:val="decimal"/>
      <w:lvlText w:val="%1."/>
      <w:lvlJc w:val="left"/>
      <w:pPr>
        <w:ind w:left="720" w:hanging="360"/>
      </w:pPr>
      <w:rPr>
        <w:rFonts w:cs="Times New Roman"/>
      </w:rPr>
    </w:lvl>
    <w:lvl w:ilvl="1" w:tplc="04090003">
      <w:start w:val="1"/>
      <w:numFmt w:val="lowerLetter"/>
      <w:lvlText w:val="%2."/>
      <w:lvlJc w:val="left"/>
      <w:pPr>
        <w:ind w:left="1440" w:hanging="360"/>
      </w:pPr>
      <w:rPr>
        <w:rFonts w:cs="Times New Roman"/>
      </w:rPr>
    </w:lvl>
    <w:lvl w:ilvl="2" w:tplc="04090005">
      <w:start w:val="1"/>
      <w:numFmt w:val="lowerRoman"/>
      <w:lvlText w:val="%3."/>
      <w:lvlJc w:val="right"/>
      <w:pPr>
        <w:ind w:left="2160" w:hanging="180"/>
      </w:pPr>
      <w:rPr>
        <w:rFonts w:cs="Times New Roman"/>
      </w:rPr>
    </w:lvl>
    <w:lvl w:ilvl="3" w:tplc="04090001">
      <w:start w:val="1"/>
      <w:numFmt w:val="decimal"/>
      <w:lvlText w:val="%4."/>
      <w:lvlJc w:val="left"/>
      <w:pPr>
        <w:ind w:left="2880" w:hanging="360"/>
      </w:pPr>
      <w:rPr>
        <w:rFonts w:cs="Times New Roman"/>
      </w:rPr>
    </w:lvl>
    <w:lvl w:ilvl="4" w:tplc="04090003">
      <w:start w:val="1"/>
      <w:numFmt w:val="lowerLetter"/>
      <w:lvlText w:val="%5."/>
      <w:lvlJc w:val="left"/>
      <w:pPr>
        <w:ind w:left="3600" w:hanging="360"/>
      </w:pPr>
      <w:rPr>
        <w:rFonts w:cs="Times New Roman"/>
      </w:rPr>
    </w:lvl>
    <w:lvl w:ilvl="5" w:tplc="04090005">
      <w:start w:val="1"/>
      <w:numFmt w:val="lowerRoman"/>
      <w:lvlText w:val="%6."/>
      <w:lvlJc w:val="right"/>
      <w:pPr>
        <w:ind w:left="4320" w:hanging="180"/>
      </w:pPr>
      <w:rPr>
        <w:rFonts w:cs="Times New Roman"/>
      </w:rPr>
    </w:lvl>
    <w:lvl w:ilvl="6" w:tplc="04090001">
      <w:start w:val="1"/>
      <w:numFmt w:val="decimal"/>
      <w:lvlText w:val="%7."/>
      <w:lvlJc w:val="left"/>
      <w:pPr>
        <w:ind w:left="5040" w:hanging="360"/>
      </w:pPr>
      <w:rPr>
        <w:rFonts w:cs="Times New Roman"/>
      </w:rPr>
    </w:lvl>
    <w:lvl w:ilvl="7" w:tplc="04090003">
      <w:start w:val="1"/>
      <w:numFmt w:val="lowerLetter"/>
      <w:lvlText w:val="%8."/>
      <w:lvlJc w:val="left"/>
      <w:pPr>
        <w:ind w:left="5760" w:hanging="360"/>
      </w:pPr>
      <w:rPr>
        <w:rFonts w:cs="Times New Roman"/>
      </w:rPr>
    </w:lvl>
    <w:lvl w:ilvl="8" w:tplc="04090005">
      <w:start w:val="1"/>
      <w:numFmt w:val="lowerRoman"/>
      <w:lvlText w:val="%9."/>
      <w:lvlJc w:val="right"/>
      <w:pPr>
        <w:ind w:left="6480" w:hanging="180"/>
      </w:pPr>
      <w:rPr>
        <w:rFonts w:cs="Times New Roman"/>
      </w:rPr>
    </w:lvl>
  </w:abstractNum>
  <w:abstractNum w:abstractNumId="109">
    <w:nsid w:val="50006325"/>
    <w:multiLevelType w:val="hybridMultilevel"/>
    <w:tmpl w:val="A51A541E"/>
    <w:lvl w:ilvl="0" w:tplc="04090001">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10">
    <w:nsid w:val="50C722AE"/>
    <w:multiLevelType w:val="hybridMultilevel"/>
    <w:tmpl w:val="2C6C94E2"/>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11">
    <w:nsid w:val="50E942BF"/>
    <w:multiLevelType w:val="hybridMultilevel"/>
    <w:tmpl w:val="CC8CBD78"/>
    <w:lvl w:ilvl="0" w:tplc="04090001">
      <w:start w:val="1"/>
      <w:numFmt w:val="lowerLetter"/>
      <w:lvlText w:val="%1)"/>
      <w:lvlJc w:val="left"/>
      <w:pPr>
        <w:ind w:left="720" w:hanging="360"/>
      </w:pPr>
    </w:lvl>
    <w:lvl w:ilvl="1" w:tplc="04090003">
      <w:start w:val="1"/>
      <w:numFmt w:val="lowerLetter"/>
      <w:lvlText w:val="%2."/>
      <w:lvlJc w:val="left"/>
      <w:pPr>
        <w:ind w:left="1440" w:hanging="360"/>
      </w:pPr>
    </w:lvl>
    <w:lvl w:ilvl="2" w:tplc="04090005">
      <w:start w:val="1"/>
      <w:numFmt w:val="lowerRoman"/>
      <w:lvlText w:val="%3."/>
      <w:lvlJc w:val="right"/>
      <w:pPr>
        <w:ind w:left="2160" w:hanging="180"/>
      </w:pPr>
    </w:lvl>
    <w:lvl w:ilvl="3" w:tplc="04090001">
      <w:start w:val="1"/>
      <w:numFmt w:val="decimal"/>
      <w:lvlText w:val="%4."/>
      <w:lvlJc w:val="left"/>
      <w:pPr>
        <w:ind w:left="2880" w:hanging="360"/>
      </w:pPr>
    </w:lvl>
    <w:lvl w:ilvl="4" w:tplc="04090003">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12">
    <w:nsid w:val="510D2CB6"/>
    <w:multiLevelType w:val="hybridMultilevel"/>
    <w:tmpl w:val="152484C0"/>
    <w:lvl w:ilvl="0" w:tplc="87F07936">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13">
    <w:nsid w:val="51C36E37"/>
    <w:multiLevelType w:val="hybridMultilevel"/>
    <w:tmpl w:val="1916B8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nsid w:val="529A1CB9"/>
    <w:multiLevelType w:val="hybridMultilevel"/>
    <w:tmpl w:val="2A02FC8A"/>
    <w:lvl w:ilvl="0" w:tplc="04090001">
      <w:start w:val="1"/>
      <w:numFmt w:val="decimal"/>
      <w:lvlText w:val="%1."/>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15">
    <w:nsid w:val="551C4D38"/>
    <w:multiLevelType w:val="hybridMultilevel"/>
    <w:tmpl w:val="49FA8EA4"/>
    <w:lvl w:ilvl="0" w:tplc="04090001">
      <w:start w:val="1"/>
      <w:numFmt w:val="bullet"/>
      <w:lvlText w:val=""/>
      <w:lvlJc w:val="left"/>
      <w:pPr>
        <w:ind w:left="720" w:hanging="360"/>
      </w:pPr>
      <w:rPr>
        <w:rFonts w:ascii="Symbol" w:hAnsi="Symbol" w:hint="default"/>
      </w:rPr>
    </w:lvl>
    <w:lvl w:ilvl="1" w:tplc="04090019">
      <w:start w:val="1"/>
      <w:numFmt w:val="bullet"/>
      <w:lvlText w:val="o"/>
      <w:lvlJc w:val="left"/>
      <w:pPr>
        <w:ind w:left="1440" w:hanging="360"/>
      </w:pPr>
      <w:rPr>
        <w:rFonts w:ascii="Courier New" w:hAnsi="Courier New" w:hint="default"/>
      </w:rPr>
    </w:lvl>
    <w:lvl w:ilvl="2" w:tplc="0409001B">
      <w:start w:val="1"/>
      <w:numFmt w:val="bullet"/>
      <w:lvlText w:val=""/>
      <w:lvlJc w:val="left"/>
      <w:pPr>
        <w:ind w:left="2160" w:hanging="360"/>
      </w:pPr>
      <w:rPr>
        <w:rFonts w:ascii="Wingdings" w:hAnsi="Wingdings" w:hint="default"/>
      </w:rPr>
    </w:lvl>
    <w:lvl w:ilvl="3" w:tplc="4B86DBD0">
      <w:start w:val="1"/>
      <w:numFmt w:val="bullet"/>
      <w:lvlText w:val=""/>
      <w:lvlJc w:val="left"/>
      <w:pPr>
        <w:ind w:left="2880" w:hanging="360"/>
      </w:pPr>
      <w:rPr>
        <w:rFonts w:ascii="Symbol" w:hAnsi="Symbol" w:hint="default"/>
      </w:rPr>
    </w:lvl>
    <w:lvl w:ilvl="4" w:tplc="04090019">
      <w:start w:val="1"/>
      <w:numFmt w:val="bullet"/>
      <w:lvlText w:val="o"/>
      <w:lvlJc w:val="left"/>
      <w:pPr>
        <w:ind w:left="3600" w:hanging="360"/>
      </w:pPr>
      <w:rPr>
        <w:rFonts w:ascii="Courier New" w:hAnsi="Courier New" w:hint="default"/>
      </w:rPr>
    </w:lvl>
    <w:lvl w:ilvl="5" w:tplc="0409001B">
      <w:start w:val="1"/>
      <w:numFmt w:val="bullet"/>
      <w:lvlText w:val=""/>
      <w:lvlJc w:val="left"/>
      <w:pPr>
        <w:ind w:left="4320" w:hanging="360"/>
      </w:pPr>
      <w:rPr>
        <w:rFonts w:ascii="Wingdings" w:hAnsi="Wingdings" w:hint="default"/>
      </w:rPr>
    </w:lvl>
    <w:lvl w:ilvl="6" w:tplc="0409000F">
      <w:start w:val="1"/>
      <w:numFmt w:val="bullet"/>
      <w:lvlText w:val=""/>
      <w:lvlJc w:val="left"/>
      <w:pPr>
        <w:ind w:left="5040" w:hanging="360"/>
      </w:pPr>
      <w:rPr>
        <w:rFonts w:ascii="Symbol" w:hAnsi="Symbol" w:hint="default"/>
      </w:rPr>
    </w:lvl>
    <w:lvl w:ilvl="7" w:tplc="04090019">
      <w:start w:val="1"/>
      <w:numFmt w:val="bullet"/>
      <w:lvlText w:val="o"/>
      <w:lvlJc w:val="left"/>
      <w:pPr>
        <w:ind w:left="5760" w:hanging="360"/>
      </w:pPr>
      <w:rPr>
        <w:rFonts w:ascii="Courier New" w:hAnsi="Courier New" w:hint="default"/>
      </w:rPr>
    </w:lvl>
    <w:lvl w:ilvl="8" w:tplc="0409001B">
      <w:start w:val="1"/>
      <w:numFmt w:val="bullet"/>
      <w:lvlText w:val=""/>
      <w:lvlJc w:val="left"/>
      <w:pPr>
        <w:ind w:left="6480" w:hanging="360"/>
      </w:pPr>
      <w:rPr>
        <w:rFonts w:ascii="Wingdings" w:hAnsi="Wingdings" w:hint="default"/>
      </w:rPr>
    </w:lvl>
  </w:abstractNum>
  <w:abstractNum w:abstractNumId="116">
    <w:nsid w:val="556B32B7"/>
    <w:multiLevelType w:val="hybridMultilevel"/>
    <w:tmpl w:val="B6BE4E2A"/>
    <w:lvl w:ilvl="0" w:tplc="04090001">
      <w:start w:val="1"/>
      <w:numFmt w:val="bullet"/>
      <w:lvlText w:val=""/>
      <w:lvlJc w:val="left"/>
      <w:pPr>
        <w:tabs>
          <w:tab w:val="num" w:pos="720"/>
        </w:tabs>
        <w:ind w:left="720" w:hanging="360"/>
      </w:pPr>
      <w:rPr>
        <w:rFonts w:ascii="Wingdings" w:hAnsi="Wingdings" w:hint="default"/>
      </w:rPr>
    </w:lvl>
    <w:lvl w:ilvl="1" w:tplc="04090003">
      <w:start w:val="1"/>
      <w:numFmt w:val="bullet"/>
      <w:lvlText w:val="-"/>
      <w:lvlJc w:val="left"/>
      <w:pPr>
        <w:tabs>
          <w:tab w:val="num" w:pos="1440"/>
        </w:tabs>
        <w:ind w:left="1440" w:hanging="360"/>
      </w:pPr>
      <w:rPr>
        <w:rFonts w:ascii="Book Antiqua" w:eastAsia="Times New Roman" w:hAnsi="Book Antiqua" w:hint="default"/>
      </w:rPr>
    </w:lvl>
    <w:lvl w:ilvl="2" w:tplc="04090005" w:tentative="1">
      <w:start w:val="1"/>
      <w:numFmt w:val="lowerRoman"/>
      <w:lvlText w:val="%3."/>
      <w:lvlJc w:val="right"/>
      <w:pPr>
        <w:tabs>
          <w:tab w:val="num" w:pos="2160"/>
        </w:tabs>
        <w:ind w:left="2160" w:hanging="180"/>
      </w:pPr>
      <w:rPr>
        <w:rFonts w:cs="Times New Roman"/>
      </w:rPr>
    </w:lvl>
    <w:lvl w:ilvl="3" w:tplc="04090001" w:tentative="1">
      <w:start w:val="1"/>
      <w:numFmt w:val="decimal"/>
      <w:lvlText w:val="%4."/>
      <w:lvlJc w:val="left"/>
      <w:pPr>
        <w:tabs>
          <w:tab w:val="num" w:pos="2880"/>
        </w:tabs>
        <w:ind w:left="2880" w:hanging="360"/>
      </w:pPr>
      <w:rPr>
        <w:rFonts w:cs="Times New Roman"/>
      </w:rPr>
    </w:lvl>
    <w:lvl w:ilvl="4" w:tplc="04090003" w:tentative="1">
      <w:start w:val="1"/>
      <w:numFmt w:val="lowerLetter"/>
      <w:lvlText w:val="%5."/>
      <w:lvlJc w:val="left"/>
      <w:pPr>
        <w:tabs>
          <w:tab w:val="num" w:pos="3600"/>
        </w:tabs>
        <w:ind w:left="3600" w:hanging="360"/>
      </w:pPr>
      <w:rPr>
        <w:rFonts w:cs="Times New Roman"/>
      </w:rPr>
    </w:lvl>
    <w:lvl w:ilvl="5" w:tplc="04090005" w:tentative="1">
      <w:start w:val="1"/>
      <w:numFmt w:val="lowerRoman"/>
      <w:lvlText w:val="%6."/>
      <w:lvlJc w:val="right"/>
      <w:pPr>
        <w:tabs>
          <w:tab w:val="num" w:pos="4320"/>
        </w:tabs>
        <w:ind w:left="4320" w:hanging="180"/>
      </w:pPr>
      <w:rPr>
        <w:rFonts w:cs="Times New Roman"/>
      </w:rPr>
    </w:lvl>
    <w:lvl w:ilvl="6" w:tplc="04090001" w:tentative="1">
      <w:start w:val="1"/>
      <w:numFmt w:val="decimal"/>
      <w:lvlText w:val="%7."/>
      <w:lvlJc w:val="left"/>
      <w:pPr>
        <w:tabs>
          <w:tab w:val="num" w:pos="5040"/>
        </w:tabs>
        <w:ind w:left="5040" w:hanging="360"/>
      </w:pPr>
      <w:rPr>
        <w:rFonts w:cs="Times New Roman"/>
      </w:rPr>
    </w:lvl>
    <w:lvl w:ilvl="7" w:tplc="04090003" w:tentative="1">
      <w:start w:val="1"/>
      <w:numFmt w:val="lowerLetter"/>
      <w:lvlText w:val="%8."/>
      <w:lvlJc w:val="left"/>
      <w:pPr>
        <w:tabs>
          <w:tab w:val="num" w:pos="5760"/>
        </w:tabs>
        <w:ind w:left="5760" w:hanging="360"/>
      </w:pPr>
      <w:rPr>
        <w:rFonts w:cs="Times New Roman"/>
      </w:rPr>
    </w:lvl>
    <w:lvl w:ilvl="8" w:tplc="04090005" w:tentative="1">
      <w:start w:val="1"/>
      <w:numFmt w:val="lowerRoman"/>
      <w:lvlText w:val="%9."/>
      <w:lvlJc w:val="right"/>
      <w:pPr>
        <w:tabs>
          <w:tab w:val="num" w:pos="6480"/>
        </w:tabs>
        <w:ind w:left="6480" w:hanging="180"/>
      </w:pPr>
      <w:rPr>
        <w:rFonts w:cs="Times New Roman"/>
      </w:rPr>
    </w:lvl>
  </w:abstractNum>
  <w:abstractNum w:abstractNumId="117">
    <w:nsid w:val="56A377BA"/>
    <w:multiLevelType w:val="hybridMultilevel"/>
    <w:tmpl w:val="E27065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nsid w:val="575C2AA8"/>
    <w:multiLevelType w:val="hybridMultilevel"/>
    <w:tmpl w:val="04FC8B0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9">
    <w:nsid w:val="583A6214"/>
    <w:multiLevelType w:val="hybridMultilevel"/>
    <w:tmpl w:val="E25460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nsid w:val="58EF0E0E"/>
    <w:multiLevelType w:val="hybridMultilevel"/>
    <w:tmpl w:val="E4EE27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nsid w:val="59D75B92"/>
    <w:multiLevelType w:val="hybridMultilevel"/>
    <w:tmpl w:val="7E4EE3AE"/>
    <w:lvl w:ilvl="0" w:tplc="04090001">
      <w:start w:val="1"/>
      <w:numFmt w:val="bullet"/>
      <w:lvlText w:val=""/>
      <w:lvlJc w:val="left"/>
      <w:pPr>
        <w:ind w:left="1080" w:hanging="360"/>
      </w:pPr>
      <w:rPr>
        <w:rFonts w:ascii="Symbol" w:hAnsi="Symbol" w:hint="default"/>
      </w:rPr>
    </w:lvl>
    <w:lvl w:ilvl="1" w:tplc="04090003" w:tentative="1">
      <w:start w:val="1"/>
      <w:numFmt w:val="lowerLetter"/>
      <w:lvlText w:val="%2."/>
      <w:lvlJc w:val="left"/>
      <w:pPr>
        <w:ind w:left="1800" w:hanging="360"/>
      </w:pPr>
    </w:lvl>
    <w:lvl w:ilvl="2" w:tplc="04090005" w:tentative="1">
      <w:start w:val="1"/>
      <w:numFmt w:val="lowerRoman"/>
      <w:lvlText w:val="%3."/>
      <w:lvlJc w:val="right"/>
      <w:pPr>
        <w:ind w:left="2520" w:hanging="180"/>
      </w:pPr>
    </w:lvl>
    <w:lvl w:ilvl="3" w:tplc="04090001" w:tentative="1">
      <w:start w:val="1"/>
      <w:numFmt w:val="decimal"/>
      <w:lvlText w:val="%4."/>
      <w:lvlJc w:val="left"/>
      <w:pPr>
        <w:ind w:left="3240" w:hanging="360"/>
      </w:pPr>
    </w:lvl>
    <w:lvl w:ilvl="4" w:tplc="04090003" w:tentative="1">
      <w:start w:val="1"/>
      <w:numFmt w:val="lowerLetter"/>
      <w:lvlText w:val="%5."/>
      <w:lvlJc w:val="left"/>
      <w:pPr>
        <w:ind w:left="3960" w:hanging="360"/>
      </w:pPr>
    </w:lvl>
    <w:lvl w:ilvl="5" w:tplc="04090005" w:tentative="1">
      <w:start w:val="1"/>
      <w:numFmt w:val="lowerRoman"/>
      <w:lvlText w:val="%6."/>
      <w:lvlJc w:val="right"/>
      <w:pPr>
        <w:ind w:left="4680" w:hanging="180"/>
      </w:pPr>
    </w:lvl>
    <w:lvl w:ilvl="6" w:tplc="04090001" w:tentative="1">
      <w:start w:val="1"/>
      <w:numFmt w:val="decimal"/>
      <w:lvlText w:val="%7."/>
      <w:lvlJc w:val="left"/>
      <w:pPr>
        <w:ind w:left="5400" w:hanging="360"/>
      </w:pPr>
    </w:lvl>
    <w:lvl w:ilvl="7" w:tplc="04090003" w:tentative="1">
      <w:start w:val="1"/>
      <w:numFmt w:val="lowerLetter"/>
      <w:lvlText w:val="%8."/>
      <w:lvlJc w:val="left"/>
      <w:pPr>
        <w:ind w:left="6120" w:hanging="360"/>
      </w:pPr>
    </w:lvl>
    <w:lvl w:ilvl="8" w:tplc="04090005" w:tentative="1">
      <w:start w:val="1"/>
      <w:numFmt w:val="lowerRoman"/>
      <w:lvlText w:val="%9."/>
      <w:lvlJc w:val="right"/>
      <w:pPr>
        <w:ind w:left="6840" w:hanging="180"/>
      </w:pPr>
    </w:lvl>
  </w:abstractNum>
  <w:abstractNum w:abstractNumId="122">
    <w:nsid w:val="5AC2007B"/>
    <w:multiLevelType w:val="hybridMultilevel"/>
    <w:tmpl w:val="346433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123">
    <w:nsid w:val="5B050F20"/>
    <w:multiLevelType w:val="hybridMultilevel"/>
    <w:tmpl w:val="EE42F920"/>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24">
    <w:nsid w:val="5D6E1783"/>
    <w:multiLevelType w:val="hybridMultilevel"/>
    <w:tmpl w:val="91B8C6E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5">
    <w:nsid w:val="5D777323"/>
    <w:multiLevelType w:val="hybridMultilevel"/>
    <w:tmpl w:val="8F44BB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nsid w:val="5DCD517D"/>
    <w:multiLevelType w:val="hybridMultilevel"/>
    <w:tmpl w:val="5538CAC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hint="default"/>
      </w:rPr>
    </w:lvl>
    <w:lvl w:ilvl="8" w:tplc="04090005">
      <w:start w:val="1"/>
      <w:numFmt w:val="bullet"/>
      <w:lvlText w:val=""/>
      <w:lvlJc w:val="left"/>
      <w:pPr>
        <w:ind w:left="6120" w:hanging="360"/>
      </w:pPr>
      <w:rPr>
        <w:rFonts w:ascii="Wingdings" w:hAnsi="Wingdings" w:hint="default"/>
      </w:rPr>
    </w:lvl>
  </w:abstractNum>
  <w:abstractNum w:abstractNumId="127">
    <w:nsid w:val="6017276D"/>
    <w:multiLevelType w:val="hybridMultilevel"/>
    <w:tmpl w:val="97AAFCE4"/>
    <w:lvl w:ilvl="0" w:tplc="04090001">
      <w:start w:val="1"/>
      <w:numFmt w:val="lowerLetter"/>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28">
    <w:nsid w:val="623017AC"/>
    <w:multiLevelType w:val="hybridMultilevel"/>
    <w:tmpl w:val="A6AA3986"/>
    <w:lvl w:ilvl="0" w:tplc="04090001">
      <w:start w:val="1"/>
      <w:numFmt w:val="decimal"/>
      <w:lvlText w:val="%1."/>
      <w:lvlJc w:val="left"/>
      <w:pPr>
        <w:ind w:left="1080" w:hanging="720"/>
      </w:pPr>
      <w:rPr>
        <w:rFonts w:cs="Times New Roman" w:hint="default"/>
      </w:rPr>
    </w:lvl>
    <w:lvl w:ilvl="1" w:tplc="04090003">
      <w:start w:val="1"/>
      <w:numFmt w:val="lowerLetter"/>
      <w:lvlText w:val="%2."/>
      <w:lvlJc w:val="left"/>
      <w:pPr>
        <w:ind w:left="1440" w:hanging="360"/>
      </w:pPr>
      <w:rPr>
        <w:rFonts w:cs="Times New Roman"/>
      </w:rPr>
    </w:lvl>
    <w:lvl w:ilvl="2" w:tplc="04090005">
      <w:start w:val="1"/>
      <w:numFmt w:val="lowerRoman"/>
      <w:lvlText w:val="%3."/>
      <w:lvlJc w:val="right"/>
      <w:pPr>
        <w:ind w:left="2160" w:hanging="180"/>
      </w:pPr>
      <w:rPr>
        <w:rFonts w:cs="Times New Roman"/>
      </w:rPr>
    </w:lvl>
    <w:lvl w:ilvl="3" w:tplc="04090001">
      <w:start w:val="1"/>
      <w:numFmt w:val="decimal"/>
      <w:lvlText w:val="%4."/>
      <w:lvlJc w:val="left"/>
      <w:pPr>
        <w:ind w:left="2880" w:hanging="360"/>
      </w:pPr>
      <w:rPr>
        <w:rFonts w:cs="Times New Roman"/>
      </w:rPr>
    </w:lvl>
    <w:lvl w:ilvl="4" w:tplc="04090003">
      <w:start w:val="1"/>
      <w:numFmt w:val="lowerLetter"/>
      <w:lvlText w:val="%5."/>
      <w:lvlJc w:val="left"/>
      <w:pPr>
        <w:ind w:left="3600" w:hanging="360"/>
      </w:pPr>
      <w:rPr>
        <w:rFonts w:cs="Times New Roman"/>
      </w:rPr>
    </w:lvl>
    <w:lvl w:ilvl="5" w:tplc="04090005">
      <w:start w:val="1"/>
      <w:numFmt w:val="lowerRoman"/>
      <w:lvlText w:val="%6."/>
      <w:lvlJc w:val="right"/>
      <w:pPr>
        <w:ind w:left="4320" w:hanging="180"/>
      </w:pPr>
      <w:rPr>
        <w:rFonts w:cs="Times New Roman"/>
      </w:rPr>
    </w:lvl>
    <w:lvl w:ilvl="6" w:tplc="04090001">
      <w:start w:val="1"/>
      <w:numFmt w:val="decimal"/>
      <w:lvlText w:val="%7."/>
      <w:lvlJc w:val="left"/>
      <w:pPr>
        <w:ind w:left="5040" w:hanging="360"/>
      </w:pPr>
      <w:rPr>
        <w:rFonts w:cs="Times New Roman"/>
      </w:rPr>
    </w:lvl>
    <w:lvl w:ilvl="7" w:tplc="04090003">
      <w:start w:val="1"/>
      <w:numFmt w:val="lowerLetter"/>
      <w:lvlText w:val="%8."/>
      <w:lvlJc w:val="left"/>
      <w:pPr>
        <w:ind w:left="5760" w:hanging="360"/>
      </w:pPr>
      <w:rPr>
        <w:rFonts w:cs="Times New Roman"/>
      </w:rPr>
    </w:lvl>
    <w:lvl w:ilvl="8" w:tplc="04090005">
      <w:start w:val="1"/>
      <w:numFmt w:val="lowerRoman"/>
      <w:lvlText w:val="%9."/>
      <w:lvlJc w:val="right"/>
      <w:pPr>
        <w:ind w:left="6480" w:hanging="180"/>
      </w:pPr>
      <w:rPr>
        <w:rFonts w:cs="Times New Roman"/>
      </w:rPr>
    </w:lvl>
  </w:abstractNum>
  <w:abstractNum w:abstractNumId="129">
    <w:nsid w:val="6368569F"/>
    <w:multiLevelType w:val="hybridMultilevel"/>
    <w:tmpl w:val="AEF8EA4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0">
    <w:nsid w:val="63B312E2"/>
    <w:multiLevelType w:val="hybridMultilevel"/>
    <w:tmpl w:val="46AE0F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nsid w:val="64457B4A"/>
    <w:multiLevelType w:val="hybridMultilevel"/>
    <w:tmpl w:val="5462CEDC"/>
    <w:lvl w:ilvl="0" w:tplc="04090001">
      <w:start w:val="1"/>
      <w:numFmt w:val="bullet"/>
      <w:lvlText w:val=""/>
      <w:lvlJc w:val="left"/>
      <w:pPr>
        <w:tabs>
          <w:tab w:val="num" w:pos="720"/>
        </w:tabs>
        <w:ind w:left="720" w:hanging="360"/>
      </w:pPr>
      <w:rPr>
        <w:rFonts w:ascii="Wingdings" w:hAnsi="Wingdings" w:hint="default"/>
      </w:rPr>
    </w:lvl>
    <w:lvl w:ilvl="1" w:tplc="04090003" w:tentative="1">
      <w:start w:val="1"/>
      <w:numFmt w:val="lowerLetter"/>
      <w:lvlText w:val="%2."/>
      <w:lvlJc w:val="left"/>
      <w:pPr>
        <w:tabs>
          <w:tab w:val="num" w:pos="1440"/>
        </w:tabs>
        <w:ind w:left="1440" w:hanging="360"/>
      </w:pPr>
      <w:rPr>
        <w:rFonts w:cs="Times New Roman"/>
      </w:rPr>
    </w:lvl>
    <w:lvl w:ilvl="2" w:tplc="04090005" w:tentative="1">
      <w:start w:val="1"/>
      <w:numFmt w:val="lowerRoman"/>
      <w:lvlText w:val="%3."/>
      <w:lvlJc w:val="right"/>
      <w:pPr>
        <w:tabs>
          <w:tab w:val="num" w:pos="2160"/>
        </w:tabs>
        <w:ind w:left="2160" w:hanging="180"/>
      </w:pPr>
      <w:rPr>
        <w:rFonts w:cs="Times New Roman"/>
      </w:rPr>
    </w:lvl>
    <w:lvl w:ilvl="3" w:tplc="04090001" w:tentative="1">
      <w:start w:val="1"/>
      <w:numFmt w:val="decimal"/>
      <w:lvlText w:val="%4."/>
      <w:lvlJc w:val="left"/>
      <w:pPr>
        <w:tabs>
          <w:tab w:val="num" w:pos="2880"/>
        </w:tabs>
        <w:ind w:left="2880" w:hanging="360"/>
      </w:pPr>
      <w:rPr>
        <w:rFonts w:cs="Times New Roman"/>
      </w:rPr>
    </w:lvl>
    <w:lvl w:ilvl="4" w:tplc="04090003" w:tentative="1">
      <w:start w:val="1"/>
      <w:numFmt w:val="lowerLetter"/>
      <w:lvlText w:val="%5."/>
      <w:lvlJc w:val="left"/>
      <w:pPr>
        <w:tabs>
          <w:tab w:val="num" w:pos="3600"/>
        </w:tabs>
        <w:ind w:left="3600" w:hanging="360"/>
      </w:pPr>
      <w:rPr>
        <w:rFonts w:cs="Times New Roman"/>
      </w:rPr>
    </w:lvl>
    <w:lvl w:ilvl="5" w:tplc="04090005" w:tentative="1">
      <w:start w:val="1"/>
      <w:numFmt w:val="lowerRoman"/>
      <w:lvlText w:val="%6."/>
      <w:lvlJc w:val="right"/>
      <w:pPr>
        <w:tabs>
          <w:tab w:val="num" w:pos="4320"/>
        </w:tabs>
        <w:ind w:left="4320" w:hanging="180"/>
      </w:pPr>
      <w:rPr>
        <w:rFonts w:cs="Times New Roman"/>
      </w:rPr>
    </w:lvl>
    <w:lvl w:ilvl="6" w:tplc="04090001" w:tentative="1">
      <w:start w:val="1"/>
      <w:numFmt w:val="decimal"/>
      <w:lvlText w:val="%7."/>
      <w:lvlJc w:val="left"/>
      <w:pPr>
        <w:tabs>
          <w:tab w:val="num" w:pos="5040"/>
        </w:tabs>
        <w:ind w:left="5040" w:hanging="360"/>
      </w:pPr>
      <w:rPr>
        <w:rFonts w:cs="Times New Roman"/>
      </w:rPr>
    </w:lvl>
    <w:lvl w:ilvl="7" w:tplc="04090003" w:tentative="1">
      <w:start w:val="1"/>
      <w:numFmt w:val="lowerLetter"/>
      <w:lvlText w:val="%8."/>
      <w:lvlJc w:val="left"/>
      <w:pPr>
        <w:tabs>
          <w:tab w:val="num" w:pos="5760"/>
        </w:tabs>
        <w:ind w:left="5760" w:hanging="360"/>
      </w:pPr>
      <w:rPr>
        <w:rFonts w:cs="Times New Roman"/>
      </w:rPr>
    </w:lvl>
    <w:lvl w:ilvl="8" w:tplc="04090005" w:tentative="1">
      <w:start w:val="1"/>
      <w:numFmt w:val="lowerRoman"/>
      <w:lvlText w:val="%9."/>
      <w:lvlJc w:val="right"/>
      <w:pPr>
        <w:tabs>
          <w:tab w:val="num" w:pos="6480"/>
        </w:tabs>
        <w:ind w:left="6480" w:hanging="180"/>
      </w:pPr>
      <w:rPr>
        <w:rFonts w:cs="Times New Roman"/>
      </w:rPr>
    </w:lvl>
  </w:abstractNum>
  <w:abstractNum w:abstractNumId="132">
    <w:nsid w:val="649F735B"/>
    <w:multiLevelType w:val="hybridMultilevel"/>
    <w:tmpl w:val="374A5AE6"/>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133">
    <w:nsid w:val="65CB6E6C"/>
    <w:multiLevelType w:val="hybridMultilevel"/>
    <w:tmpl w:val="D2D4B3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nsid w:val="660220CC"/>
    <w:multiLevelType w:val="hybridMultilevel"/>
    <w:tmpl w:val="D258FA2E"/>
    <w:lvl w:ilvl="0" w:tplc="0409000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nsid w:val="668C495E"/>
    <w:multiLevelType w:val="hybridMultilevel"/>
    <w:tmpl w:val="A7562B5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6">
    <w:nsid w:val="673C3EE9"/>
    <w:multiLevelType w:val="hybridMultilevel"/>
    <w:tmpl w:val="80220E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nsid w:val="67C300B3"/>
    <w:multiLevelType w:val="hybridMultilevel"/>
    <w:tmpl w:val="713C6A9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8">
    <w:nsid w:val="6847480D"/>
    <w:multiLevelType w:val="hybridMultilevel"/>
    <w:tmpl w:val="DE8AFC3E"/>
    <w:lvl w:ilvl="0" w:tplc="04090001">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39">
    <w:nsid w:val="68F70863"/>
    <w:multiLevelType w:val="hybridMultilevel"/>
    <w:tmpl w:val="D2E63B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nsid w:val="696E015B"/>
    <w:multiLevelType w:val="hybridMultilevel"/>
    <w:tmpl w:val="38FC72C4"/>
    <w:lvl w:ilvl="0" w:tplc="08F4E95A">
      <w:start w:val="1"/>
      <w:numFmt w:val="bullet"/>
      <w:lvlText w:val=""/>
      <w:lvlJc w:val="left"/>
      <w:pPr>
        <w:ind w:left="360" w:hanging="360"/>
      </w:pPr>
      <w:rPr>
        <w:rFonts w:ascii="Symbol" w:hAnsi="Symbol" w:hint="default"/>
      </w:rPr>
    </w:lvl>
    <w:lvl w:ilvl="1" w:tplc="04090019" w:tentative="1">
      <w:start w:val="1"/>
      <w:numFmt w:val="bullet"/>
      <w:lvlText w:val="o"/>
      <w:lvlJc w:val="left"/>
      <w:pPr>
        <w:ind w:left="1080" w:hanging="360"/>
      </w:pPr>
      <w:rPr>
        <w:rFonts w:ascii="Courier New" w:hAnsi="Courier New" w:cs="Courier New" w:hint="default"/>
      </w:rPr>
    </w:lvl>
    <w:lvl w:ilvl="2" w:tplc="0409001B" w:tentative="1">
      <w:start w:val="1"/>
      <w:numFmt w:val="bullet"/>
      <w:lvlText w:val=""/>
      <w:lvlJc w:val="left"/>
      <w:pPr>
        <w:ind w:left="1800" w:hanging="360"/>
      </w:pPr>
      <w:rPr>
        <w:rFonts w:ascii="Wingdings" w:hAnsi="Wingdings" w:hint="default"/>
      </w:rPr>
    </w:lvl>
    <w:lvl w:ilvl="3" w:tplc="4B86DBD0" w:tentative="1">
      <w:start w:val="1"/>
      <w:numFmt w:val="bullet"/>
      <w:lvlText w:val=""/>
      <w:lvlJc w:val="left"/>
      <w:pPr>
        <w:ind w:left="2520" w:hanging="360"/>
      </w:pPr>
      <w:rPr>
        <w:rFonts w:ascii="Symbol" w:hAnsi="Symbol" w:hint="default"/>
      </w:rPr>
    </w:lvl>
    <w:lvl w:ilvl="4" w:tplc="04090019" w:tentative="1">
      <w:start w:val="1"/>
      <w:numFmt w:val="bullet"/>
      <w:lvlText w:val="o"/>
      <w:lvlJc w:val="left"/>
      <w:pPr>
        <w:ind w:left="3240" w:hanging="360"/>
      </w:pPr>
      <w:rPr>
        <w:rFonts w:ascii="Courier New" w:hAnsi="Courier New" w:cs="Courier New" w:hint="default"/>
      </w:rPr>
    </w:lvl>
    <w:lvl w:ilvl="5" w:tplc="0409001B"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9" w:tentative="1">
      <w:start w:val="1"/>
      <w:numFmt w:val="bullet"/>
      <w:lvlText w:val="o"/>
      <w:lvlJc w:val="left"/>
      <w:pPr>
        <w:ind w:left="5400" w:hanging="360"/>
      </w:pPr>
      <w:rPr>
        <w:rFonts w:ascii="Courier New" w:hAnsi="Courier New" w:cs="Courier New" w:hint="default"/>
      </w:rPr>
    </w:lvl>
    <w:lvl w:ilvl="8" w:tplc="0409001B" w:tentative="1">
      <w:start w:val="1"/>
      <w:numFmt w:val="bullet"/>
      <w:lvlText w:val=""/>
      <w:lvlJc w:val="left"/>
      <w:pPr>
        <w:ind w:left="6120" w:hanging="360"/>
      </w:pPr>
      <w:rPr>
        <w:rFonts w:ascii="Wingdings" w:hAnsi="Wingdings" w:hint="default"/>
      </w:rPr>
    </w:lvl>
  </w:abstractNum>
  <w:abstractNum w:abstractNumId="141">
    <w:nsid w:val="6A7E3E53"/>
    <w:multiLevelType w:val="hybridMultilevel"/>
    <w:tmpl w:val="5010FCE8"/>
    <w:lvl w:ilvl="0" w:tplc="04090017">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42">
    <w:nsid w:val="6B126D09"/>
    <w:multiLevelType w:val="hybridMultilevel"/>
    <w:tmpl w:val="A5A42EF0"/>
    <w:lvl w:ilvl="0" w:tplc="FF865186">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43">
    <w:nsid w:val="6B4B7D73"/>
    <w:multiLevelType w:val="hybridMultilevel"/>
    <w:tmpl w:val="6004F80A"/>
    <w:lvl w:ilvl="0" w:tplc="04090001">
      <w:start w:val="1"/>
      <w:numFmt w:val="lowerLetter"/>
      <w:lvlText w:val="%1."/>
      <w:lvlJc w:val="left"/>
      <w:pPr>
        <w:ind w:left="585" w:hanging="360"/>
      </w:pPr>
      <w:rPr>
        <w:rFonts w:cs="Times New Roman" w:hint="default"/>
      </w:rPr>
    </w:lvl>
    <w:lvl w:ilvl="1" w:tplc="04090003" w:tentative="1">
      <w:start w:val="1"/>
      <w:numFmt w:val="lowerLetter"/>
      <w:lvlText w:val="%2."/>
      <w:lvlJc w:val="left"/>
      <w:pPr>
        <w:ind w:left="1305" w:hanging="360"/>
      </w:pPr>
      <w:rPr>
        <w:rFonts w:cs="Times New Roman"/>
      </w:rPr>
    </w:lvl>
    <w:lvl w:ilvl="2" w:tplc="04090005" w:tentative="1">
      <w:start w:val="1"/>
      <w:numFmt w:val="lowerRoman"/>
      <w:lvlText w:val="%3."/>
      <w:lvlJc w:val="right"/>
      <w:pPr>
        <w:ind w:left="2025" w:hanging="180"/>
      </w:pPr>
      <w:rPr>
        <w:rFonts w:cs="Times New Roman"/>
      </w:rPr>
    </w:lvl>
    <w:lvl w:ilvl="3" w:tplc="04090001" w:tentative="1">
      <w:start w:val="1"/>
      <w:numFmt w:val="decimal"/>
      <w:lvlText w:val="%4."/>
      <w:lvlJc w:val="left"/>
      <w:pPr>
        <w:ind w:left="2745" w:hanging="360"/>
      </w:pPr>
      <w:rPr>
        <w:rFonts w:cs="Times New Roman"/>
      </w:rPr>
    </w:lvl>
    <w:lvl w:ilvl="4" w:tplc="04090003" w:tentative="1">
      <w:start w:val="1"/>
      <w:numFmt w:val="lowerLetter"/>
      <w:lvlText w:val="%5."/>
      <w:lvlJc w:val="left"/>
      <w:pPr>
        <w:ind w:left="3465" w:hanging="360"/>
      </w:pPr>
      <w:rPr>
        <w:rFonts w:cs="Times New Roman"/>
      </w:rPr>
    </w:lvl>
    <w:lvl w:ilvl="5" w:tplc="04090005" w:tentative="1">
      <w:start w:val="1"/>
      <w:numFmt w:val="lowerRoman"/>
      <w:lvlText w:val="%6."/>
      <w:lvlJc w:val="right"/>
      <w:pPr>
        <w:ind w:left="4185" w:hanging="180"/>
      </w:pPr>
      <w:rPr>
        <w:rFonts w:cs="Times New Roman"/>
      </w:rPr>
    </w:lvl>
    <w:lvl w:ilvl="6" w:tplc="04090001" w:tentative="1">
      <w:start w:val="1"/>
      <w:numFmt w:val="decimal"/>
      <w:lvlText w:val="%7."/>
      <w:lvlJc w:val="left"/>
      <w:pPr>
        <w:ind w:left="4905" w:hanging="360"/>
      </w:pPr>
      <w:rPr>
        <w:rFonts w:cs="Times New Roman"/>
      </w:rPr>
    </w:lvl>
    <w:lvl w:ilvl="7" w:tplc="04090003" w:tentative="1">
      <w:start w:val="1"/>
      <w:numFmt w:val="lowerLetter"/>
      <w:lvlText w:val="%8."/>
      <w:lvlJc w:val="left"/>
      <w:pPr>
        <w:ind w:left="5625" w:hanging="360"/>
      </w:pPr>
      <w:rPr>
        <w:rFonts w:cs="Times New Roman"/>
      </w:rPr>
    </w:lvl>
    <w:lvl w:ilvl="8" w:tplc="04090005" w:tentative="1">
      <w:start w:val="1"/>
      <w:numFmt w:val="lowerRoman"/>
      <w:lvlText w:val="%9."/>
      <w:lvlJc w:val="right"/>
      <w:pPr>
        <w:ind w:left="6345" w:hanging="180"/>
      </w:pPr>
      <w:rPr>
        <w:rFonts w:cs="Times New Roman"/>
      </w:rPr>
    </w:lvl>
  </w:abstractNum>
  <w:abstractNum w:abstractNumId="144">
    <w:nsid w:val="6B957B5B"/>
    <w:multiLevelType w:val="hybridMultilevel"/>
    <w:tmpl w:val="2736A848"/>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45">
    <w:nsid w:val="6BEC06E1"/>
    <w:multiLevelType w:val="hybridMultilevel"/>
    <w:tmpl w:val="314A621E"/>
    <w:lvl w:ilvl="0" w:tplc="04090005">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nsid w:val="6CA838EF"/>
    <w:multiLevelType w:val="hybridMultilevel"/>
    <w:tmpl w:val="86FA9410"/>
    <w:lvl w:ilvl="0" w:tplc="4A7C094A">
      <w:start w:val="1"/>
      <w:numFmt w:val="bullet"/>
      <w:lvlText w:val=""/>
      <w:lvlJc w:val="left"/>
      <w:pPr>
        <w:ind w:left="360" w:hanging="360"/>
      </w:pPr>
      <w:rPr>
        <w:rFonts w:ascii="Symbol" w:hAnsi="Symbol" w:hint="default"/>
        <w:color w:val="auto"/>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nsid w:val="6CAC49E9"/>
    <w:multiLevelType w:val="hybridMultilevel"/>
    <w:tmpl w:val="79C297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nsid w:val="6D49544B"/>
    <w:multiLevelType w:val="hybridMultilevel"/>
    <w:tmpl w:val="2D265492"/>
    <w:lvl w:ilvl="0" w:tplc="2D884A82">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tentative="1">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149">
    <w:nsid w:val="6D8D763E"/>
    <w:multiLevelType w:val="hybridMultilevel"/>
    <w:tmpl w:val="649C25AE"/>
    <w:lvl w:ilvl="0" w:tplc="04090001">
      <w:start w:val="1"/>
      <w:numFmt w:val="decimal"/>
      <w:lvlText w:val="%1."/>
      <w:lvlJc w:val="left"/>
      <w:pPr>
        <w:tabs>
          <w:tab w:val="num" w:pos="720"/>
        </w:tabs>
        <w:ind w:left="720" w:hanging="360"/>
      </w:pPr>
      <w:rPr>
        <w:rFonts w:hint="default"/>
      </w:rPr>
    </w:lvl>
    <w:lvl w:ilvl="1" w:tplc="04090003">
      <w:start w:val="1"/>
      <w:numFmt w:val="bullet"/>
      <w:lvlText w:val="-"/>
      <w:lvlJc w:val="left"/>
      <w:pPr>
        <w:tabs>
          <w:tab w:val="num" w:pos="1440"/>
        </w:tabs>
        <w:ind w:left="1440" w:hanging="360"/>
      </w:pPr>
      <w:rPr>
        <w:rFonts w:ascii="Book Antiqua" w:eastAsia="Times New Roman" w:hAnsi="Book Antiqua" w:hint="default"/>
      </w:rPr>
    </w:lvl>
    <w:lvl w:ilvl="2" w:tplc="04090005" w:tentative="1">
      <w:start w:val="1"/>
      <w:numFmt w:val="lowerRoman"/>
      <w:lvlText w:val="%3."/>
      <w:lvlJc w:val="right"/>
      <w:pPr>
        <w:tabs>
          <w:tab w:val="num" w:pos="2160"/>
        </w:tabs>
        <w:ind w:left="2160" w:hanging="180"/>
      </w:pPr>
      <w:rPr>
        <w:rFonts w:cs="Times New Roman"/>
      </w:rPr>
    </w:lvl>
    <w:lvl w:ilvl="3" w:tplc="04090001" w:tentative="1">
      <w:start w:val="1"/>
      <w:numFmt w:val="decimal"/>
      <w:lvlText w:val="%4."/>
      <w:lvlJc w:val="left"/>
      <w:pPr>
        <w:tabs>
          <w:tab w:val="num" w:pos="2880"/>
        </w:tabs>
        <w:ind w:left="2880" w:hanging="360"/>
      </w:pPr>
      <w:rPr>
        <w:rFonts w:cs="Times New Roman"/>
      </w:rPr>
    </w:lvl>
    <w:lvl w:ilvl="4" w:tplc="04090003" w:tentative="1">
      <w:start w:val="1"/>
      <w:numFmt w:val="lowerLetter"/>
      <w:lvlText w:val="%5."/>
      <w:lvlJc w:val="left"/>
      <w:pPr>
        <w:tabs>
          <w:tab w:val="num" w:pos="3600"/>
        </w:tabs>
        <w:ind w:left="3600" w:hanging="360"/>
      </w:pPr>
      <w:rPr>
        <w:rFonts w:cs="Times New Roman"/>
      </w:rPr>
    </w:lvl>
    <w:lvl w:ilvl="5" w:tplc="04090005" w:tentative="1">
      <w:start w:val="1"/>
      <w:numFmt w:val="lowerRoman"/>
      <w:lvlText w:val="%6."/>
      <w:lvlJc w:val="right"/>
      <w:pPr>
        <w:tabs>
          <w:tab w:val="num" w:pos="4320"/>
        </w:tabs>
        <w:ind w:left="4320" w:hanging="180"/>
      </w:pPr>
      <w:rPr>
        <w:rFonts w:cs="Times New Roman"/>
      </w:rPr>
    </w:lvl>
    <w:lvl w:ilvl="6" w:tplc="04090001" w:tentative="1">
      <w:start w:val="1"/>
      <w:numFmt w:val="decimal"/>
      <w:lvlText w:val="%7."/>
      <w:lvlJc w:val="left"/>
      <w:pPr>
        <w:tabs>
          <w:tab w:val="num" w:pos="5040"/>
        </w:tabs>
        <w:ind w:left="5040" w:hanging="360"/>
      </w:pPr>
      <w:rPr>
        <w:rFonts w:cs="Times New Roman"/>
      </w:rPr>
    </w:lvl>
    <w:lvl w:ilvl="7" w:tplc="04090003" w:tentative="1">
      <w:start w:val="1"/>
      <w:numFmt w:val="lowerLetter"/>
      <w:lvlText w:val="%8."/>
      <w:lvlJc w:val="left"/>
      <w:pPr>
        <w:tabs>
          <w:tab w:val="num" w:pos="5760"/>
        </w:tabs>
        <w:ind w:left="5760" w:hanging="360"/>
      </w:pPr>
      <w:rPr>
        <w:rFonts w:cs="Times New Roman"/>
      </w:rPr>
    </w:lvl>
    <w:lvl w:ilvl="8" w:tplc="04090005" w:tentative="1">
      <w:start w:val="1"/>
      <w:numFmt w:val="lowerRoman"/>
      <w:lvlText w:val="%9."/>
      <w:lvlJc w:val="right"/>
      <w:pPr>
        <w:tabs>
          <w:tab w:val="num" w:pos="6480"/>
        </w:tabs>
        <w:ind w:left="6480" w:hanging="180"/>
      </w:pPr>
      <w:rPr>
        <w:rFonts w:cs="Times New Roman"/>
      </w:rPr>
    </w:lvl>
  </w:abstractNum>
  <w:abstractNum w:abstractNumId="150">
    <w:nsid w:val="6E515F5A"/>
    <w:multiLevelType w:val="hybridMultilevel"/>
    <w:tmpl w:val="769EFA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nsid w:val="6E917EEF"/>
    <w:multiLevelType w:val="hybridMultilevel"/>
    <w:tmpl w:val="F72A9A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nsid w:val="6EAD37CD"/>
    <w:multiLevelType w:val="hybridMultilevel"/>
    <w:tmpl w:val="F4C4C630"/>
    <w:lvl w:ilvl="0" w:tplc="04090011">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53">
    <w:nsid w:val="6F4F0344"/>
    <w:multiLevelType w:val="hybridMultilevel"/>
    <w:tmpl w:val="0F8A73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nsid w:val="6F9276A1"/>
    <w:multiLevelType w:val="hybridMultilevel"/>
    <w:tmpl w:val="5F6E6F5C"/>
    <w:lvl w:ilvl="0" w:tplc="04090001">
      <w:start w:val="1"/>
      <w:numFmt w:val="lowerLetter"/>
      <w:lvlText w:val="%1."/>
      <w:lvlJc w:val="left"/>
      <w:pPr>
        <w:ind w:left="615" w:hanging="360"/>
      </w:pPr>
      <w:rPr>
        <w:rFonts w:cs="Times New Roman" w:hint="default"/>
      </w:rPr>
    </w:lvl>
    <w:lvl w:ilvl="1" w:tplc="04090003" w:tentative="1">
      <w:start w:val="1"/>
      <w:numFmt w:val="lowerLetter"/>
      <w:lvlText w:val="%2."/>
      <w:lvlJc w:val="left"/>
      <w:pPr>
        <w:ind w:left="1335" w:hanging="360"/>
      </w:pPr>
      <w:rPr>
        <w:rFonts w:cs="Times New Roman"/>
      </w:rPr>
    </w:lvl>
    <w:lvl w:ilvl="2" w:tplc="04090005" w:tentative="1">
      <w:start w:val="1"/>
      <w:numFmt w:val="lowerRoman"/>
      <w:lvlText w:val="%3."/>
      <w:lvlJc w:val="right"/>
      <w:pPr>
        <w:ind w:left="2055" w:hanging="180"/>
      </w:pPr>
      <w:rPr>
        <w:rFonts w:cs="Times New Roman"/>
      </w:rPr>
    </w:lvl>
    <w:lvl w:ilvl="3" w:tplc="04090001" w:tentative="1">
      <w:start w:val="1"/>
      <w:numFmt w:val="decimal"/>
      <w:lvlText w:val="%4."/>
      <w:lvlJc w:val="left"/>
      <w:pPr>
        <w:ind w:left="2775" w:hanging="360"/>
      </w:pPr>
      <w:rPr>
        <w:rFonts w:cs="Times New Roman"/>
      </w:rPr>
    </w:lvl>
    <w:lvl w:ilvl="4" w:tplc="04090003" w:tentative="1">
      <w:start w:val="1"/>
      <w:numFmt w:val="lowerLetter"/>
      <w:lvlText w:val="%5."/>
      <w:lvlJc w:val="left"/>
      <w:pPr>
        <w:ind w:left="3495" w:hanging="360"/>
      </w:pPr>
      <w:rPr>
        <w:rFonts w:cs="Times New Roman"/>
      </w:rPr>
    </w:lvl>
    <w:lvl w:ilvl="5" w:tplc="04090005" w:tentative="1">
      <w:start w:val="1"/>
      <w:numFmt w:val="lowerRoman"/>
      <w:lvlText w:val="%6."/>
      <w:lvlJc w:val="right"/>
      <w:pPr>
        <w:ind w:left="4215" w:hanging="180"/>
      </w:pPr>
      <w:rPr>
        <w:rFonts w:cs="Times New Roman"/>
      </w:rPr>
    </w:lvl>
    <w:lvl w:ilvl="6" w:tplc="04090001" w:tentative="1">
      <w:start w:val="1"/>
      <w:numFmt w:val="decimal"/>
      <w:lvlText w:val="%7."/>
      <w:lvlJc w:val="left"/>
      <w:pPr>
        <w:ind w:left="4935" w:hanging="360"/>
      </w:pPr>
      <w:rPr>
        <w:rFonts w:cs="Times New Roman"/>
      </w:rPr>
    </w:lvl>
    <w:lvl w:ilvl="7" w:tplc="04090003" w:tentative="1">
      <w:start w:val="1"/>
      <w:numFmt w:val="lowerLetter"/>
      <w:lvlText w:val="%8."/>
      <w:lvlJc w:val="left"/>
      <w:pPr>
        <w:ind w:left="5655" w:hanging="360"/>
      </w:pPr>
      <w:rPr>
        <w:rFonts w:cs="Times New Roman"/>
      </w:rPr>
    </w:lvl>
    <w:lvl w:ilvl="8" w:tplc="04090005" w:tentative="1">
      <w:start w:val="1"/>
      <w:numFmt w:val="lowerRoman"/>
      <w:lvlText w:val="%9."/>
      <w:lvlJc w:val="right"/>
      <w:pPr>
        <w:ind w:left="6375" w:hanging="180"/>
      </w:pPr>
      <w:rPr>
        <w:rFonts w:cs="Times New Roman"/>
      </w:rPr>
    </w:lvl>
  </w:abstractNum>
  <w:abstractNum w:abstractNumId="155">
    <w:nsid w:val="70815FD7"/>
    <w:multiLevelType w:val="hybridMultilevel"/>
    <w:tmpl w:val="FEF213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nsid w:val="7154693C"/>
    <w:multiLevelType w:val="hybridMultilevel"/>
    <w:tmpl w:val="ED6E3E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nsid w:val="715D45C9"/>
    <w:multiLevelType w:val="hybridMultilevel"/>
    <w:tmpl w:val="C0FAB156"/>
    <w:lvl w:ilvl="0" w:tplc="16DE9BD2">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58">
    <w:nsid w:val="71941194"/>
    <w:multiLevelType w:val="hybridMultilevel"/>
    <w:tmpl w:val="0A5A61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nsid w:val="71993F22"/>
    <w:multiLevelType w:val="hybridMultilevel"/>
    <w:tmpl w:val="708AE9C6"/>
    <w:lvl w:ilvl="0" w:tplc="86B8E20E">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60">
    <w:nsid w:val="72AE4525"/>
    <w:multiLevelType w:val="hybridMultilevel"/>
    <w:tmpl w:val="CD50E9EA"/>
    <w:lvl w:ilvl="0" w:tplc="8B7A55AE">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1">
    <w:nsid w:val="72EF0C01"/>
    <w:multiLevelType w:val="hybridMultilevel"/>
    <w:tmpl w:val="BAE09880"/>
    <w:lvl w:ilvl="0" w:tplc="04090001">
      <w:start w:val="1"/>
      <w:numFmt w:val="lowerLetter"/>
      <w:lvlText w:val="%1."/>
      <w:lvlJc w:val="left"/>
      <w:pPr>
        <w:ind w:left="585" w:hanging="360"/>
      </w:pPr>
      <w:rPr>
        <w:rFonts w:cs="Times New Roman" w:hint="default"/>
      </w:rPr>
    </w:lvl>
    <w:lvl w:ilvl="1" w:tplc="04090003" w:tentative="1">
      <w:start w:val="1"/>
      <w:numFmt w:val="lowerLetter"/>
      <w:lvlText w:val="%2."/>
      <w:lvlJc w:val="left"/>
      <w:pPr>
        <w:ind w:left="1305" w:hanging="360"/>
      </w:pPr>
      <w:rPr>
        <w:rFonts w:cs="Times New Roman"/>
      </w:rPr>
    </w:lvl>
    <w:lvl w:ilvl="2" w:tplc="04090005" w:tentative="1">
      <w:start w:val="1"/>
      <w:numFmt w:val="lowerRoman"/>
      <w:lvlText w:val="%3."/>
      <w:lvlJc w:val="right"/>
      <w:pPr>
        <w:ind w:left="2025" w:hanging="180"/>
      </w:pPr>
      <w:rPr>
        <w:rFonts w:cs="Times New Roman"/>
      </w:rPr>
    </w:lvl>
    <w:lvl w:ilvl="3" w:tplc="04090001" w:tentative="1">
      <w:start w:val="1"/>
      <w:numFmt w:val="decimal"/>
      <w:lvlText w:val="%4."/>
      <w:lvlJc w:val="left"/>
      <w:pPr>
        <w:ind w:left="2745" w:hanging="360"/>
      </w:pPr>
      <w:rPr>
        <w:rFonts w:cs="Times New Roman"/>
      </w:rPr>
    </w:lvl>
    <w:lvl w:ilvl="4" w:tplc="04090003" w:tentative="1">
      <w:start w:val="1"/>
      <w:numFmt w:val="lowerLetter"/>
      <w:lvlText w:val="%5."/>
      <w:lvlJc w:val="left"/>
      <w:pPr>
        <w:ind w:left="3465" w:hanging="360"/>
      </w:pPr>
      <w:rPr>
        <w:rFonts w:cs="Times New Roman"/>
      </w:rPr>
    </w:lvl>
    <w:lvl w:ilvl="5" w:tplc="04090005" w:tentative="1">
      <w:start w:val="1"/>
      <w:numFmt w:val="lowerRoman"/>
      <w:lvlText w:val="%6."/>
      <w:lvlJc w:val="right"/>
      <w:pPr>
        <w:ind w:left="4185" w:hanging="180"/>
      </w:pPr>
      <w:rPr>
        <w:rFonts w:cs="Times New Roman"/>
      </w:rPr>
    </w:lvl>
    <w:lvl w:ilvl="6" w:tplc="04090001" w:tentative="1">
      <w:start w:val="1"/>
      <w:numFmt w:val="decimal"/>
      <w:lvlText w:val="%7."/>
      <w:lvlJc w:val="left"/>
      <w:pPr>
        <w:ind w:left="4905" w:hanging="360"/>
      </w:pPr>
      <w:rPr>
        <w:rFonts w:cs="Times New Roman"/>
      </w:rPr>
    </w:lvl>
    <w:lvl w:ilvl="7" w:tplc="04090003" w:tentative="1">
      <w:start w:val="1"/>
      <w:numFmt w:val="lowerLetter"/>
      <w:lvlText w:val="%8."/>
      <w:lvlJc w:val="left"/>
      <w:pPr>
        <w:ind w:left="5625" w:hanging="360"/>
      </w:pPr>
      <w:rPr>
        <w:rFonts w:cs="Times New Roman"/>
      </w:rPr>
    </w:lvl>
    <w:lvl w:ilvl="8" w:tplc="04090005" w:tentative="1">
      <w:start w:val="1"/>
      <w:numFmt w:val="lowerRoman"/>
      <w:lvlText w:val="%9."/>
      <w:lvlJc w:val="right"/>
      <w:pPr>
        <w:ind w:left="6345" w:hanging="180"/>
      </w:pPr>
      <w:rPr>
        <w:rFonts w:cs="Times New Roman"/>
      </w:rPr>
    </w:lvl>
  </w:abstractNum>
  <w:abstractNum w:abstractNumId="162">
    <w:nsid w:val="736D5AC1"/>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3">
    <w:nsid w:val="756750D2"/>
    <w:multiLevelType w:val="hybridMultilevel"/>
    <w:tmpl w:val="7B62CCD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4">
    <w:nsid w:val="7576771E"/>
    <w:multiLevelType w:val="hybridMultilevel"/>
    <w:tmpl w:val="FA982860"/>
    <w:lvl w:ilvl="0" w:tplc="04090001">
      <w:start w:val="1"/>
      <w:numFmt w:val="decimal"/>
      <w:lvlText w:val="%1."/>
      <w:lvlJc w:val="left"/>
      <w:pPr>
        <w:ind w:left="585" w:hanging="360"/>
      </w:pPr>
      <w:rPr>
        <w:rFonts w:cs="Times New Roman" w:hint="default"/>
      </w:rPr>
    </w:lvl>
    <w:lvl w:ilvl="1" w:tplc="04090003" w:tentative="1">
      <w:start w:val="1"/>
      <w:numFmt w:val="lowerLetter"/>
      <w:lvlText w:val="%2."/>
      <w:lvlJc w:val="left"/>
      <w:pPr>
        <w:ind w:left="1305" w:hanging="360"/>
      </w:pPr>
      <w:rPr>
        <w:rFonts w:cs="Times New Roman"/>
      </w:rPr>
    </w:lvl>
    <w:lvl w:ilvl="2" w:tplc="04090005" w:tentative="1">
      <w:start w:val="1"/>
      <w:numFmt w:val="lowerRoman"/>
      <w:lvlText w:val="%3."/>
      <w:lvlJc w:val="right"/>
      <w:pPr>
        <w:ind w:left="2025" w:hanging="180"/>
      </w:pPr>
      <w:rPr>
        <w:rFonts w:cs="Times New Roman"/>
      </w:rPr>
    </w:lvl>
    <w:lvl w:ilvl="3" w:tplc="04090001" w:tentative="1">
      <w:start w:val="1"/>
      <w:numFmt w:val="decimal"/>
      <w:lvlText w:val="%4."/>
      <w:lvlJc w:val="left"/>
      <w:pPr>
        <w:ind w:left="2745" w:hanging="360"/>
      </w:pPr>
      <w:rPr>
        <w:rFonts w:cs="Times New Roman"/>
      </w:rPr>
    </w:lvl>
    <w:lvl w:ilvl="4" w:tplc="04090003" w:tentative="1">
      <w:start w:val="1"/>
      <w:numFmt w:val="lowerLetter"/>
      <w:lvlText w:val="%5."/>
      <w:lvlJc w:val="left"/>
      <w:pPr>
        <w:ind w:left="3465" w:hanging="360"/>
      </w:pPr>
      <w:rPr>
        <w:rFonts w:cs="Times New Roman"/>
      </w:rPr>
    </w:lvl>
    <w:lvl w:ilvl="5" w:tplc="04090005" w:tentative="1">
      <w:start w:val="1"/>
      <w:numFmt w:val="lowerRoman"/>
      <w:lvlText w:val="%6."/>
      <w:lvlJc w:val="right"/>
      <w:pPr>
        <w:ind w:left="4185" w:hanging="180"/>
      </w:pPr>
      <w:rPr>
        <w:rFonts w:cs="Times New Roman"/>
      </w:rPr>
    </w:lvl>
    <w:lvl w:ilvl="6" w:tplc="04090001" w:tentative="1">
      <w:start w:val="1"/>
      <w:numFmt w:val="decimal"/>
      <w:lvlText w:val="%7."/>
      <w:lvlJc w:val="left"/>
      <w:pPr>
        <w:ind w:left="4905" w:hanging="360"/>
      </w:pPr>
      <w:rPr>
        <w:rFonts w:cs="Times New Roman"/>
      </w:rPr>
    </w:lvl>
    <w:lvl w:ilvl="7" w:tplc="04090003" w:tentative="1">
      <w:start w:val="1"/>
      <w:numFmt w:val="lowerLetter"/>
      <w:lvlText w:val="%8."/>
      <w:lvlJc w:val="left"/>
      <w:pPr>
        <w:ind w:left="5625" w:hanging="360"/>
      </w:pPr>
      <w:rPr>
        <w:rFonts w:cs="Times New Roman"/>
      </w:rPr>
    </w:lvl>
    <w:lvl w:ilvl="8" w:tplc="04090005" w:tentative="1">
      <w:start w:val="1"/>
      <w:numFmt w:val="lowerRoman"/>
      <w:lvlText w:val="%9."/>
      <w:lvlJc w:val="right"/>
      <w:pPr>
        <w:ind w:left="6345" w:hanging="180"/>
      </w:pPr>
      <w:rPr>
        <w:rFonts w:cs="Times New Roman"/>
      </w:rPr>
    </w:lvl>
  </w:abstractNum>
  <w:abstractNum w:abstractNumId="165">
    <w:nsid w:val="76340142"/>
    <w:multiLevelType w:val="hybridMultilevel"/>
    <w:tmpl w:val="E774D7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166">
    <w:nsid w:val="768815C6"/>
    <w:multiLevelType w:val="hybridMultilevel"/>
    <w:tmpl w:val="ECF4D6E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7">
    <w:nsid w:val="76DB0FAC"/>
    <w:multiLevelType w:val="hybridMultilevel"/>
    <w:tmpl w:val="E3CCA4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nsid w:val="772E6FA2"/>
    <w:multiLevelType w:val="hybridMultilevel"/>
    <w:tmpl w:val="DF94E2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nsid w:val="799A54AC"/>
    <w:multiLevelType w:val="hybridMultilevel"/>
    <w:tmpl w:val="A12822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170">
    <w:nsid w:val="7A236407"/>
    <w:multiLevelType w:val="hybridMultilevel"/>
    <w:tmpl w:val="47D89C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nsid w:val="7BFB21F2"/>
    <w:multiLevelType w:val="hybridMultilevel"/>
    <w:tmpl w:val="D1345B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nsid w:val="7D6A0D7B"/>
    <w:multiLevelType w:val="hybridMultilevel"/>
    <w:tmpl w:val="CA440B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nsid w:val="7F4A1E9B"/>
    <w:multiLevelType w:val="hybridMultilevel"/>
    <w:tmpl w:val="B6602CB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46"/>
  </w:num>
  <w:num w:numId="2">
    <w:abstractNumId w:val="52"/>
  </w:num>
  <w:num w:numId="3">
    <w:abstractNumId w:val="126"/>
  </w:num>
  <w:num w:numId="4">
    <w:abstractNumId w:val="8"/>
  </w:num>
  <w:num w:numId="5">
    <w:abstractNumId w:val="128"/>
  </w:num>
  <w:num w:numId="6">
    <w:abstractNumId w:val="98"/>
  </w:num>
  <w:num w:numId="7">
    <w:abstractNumId w:val="165"/>
  </w:num>
  <w:num w:numId="8">
    <w:abstractNumId w:val="82"/>
  </w:num>
  <w:num w:numId="9">
    <w:abstractNumId w:val="122"/>
  </w:num>
  <w:num w:numId="10">
    <w:abstractNumId w:val="41"/>
  </w:num>
  <w:num w:numId="11">
    <w:abstractNumId w:val="77"/>
  </w:num>
  <w:num w:numId="12">
    <w:abstractNumId w:val="108"/>
  </w:num>
  <w:num w:numId="13">
    <w:abstractNumId w:val="169"/>
  </w:num>
  <w:num w:numId="14">
    <w:abstractNumId w:val="115"/>
  </w:num>
  <w:num w:numId="15">
    <w:abstractNumId w:val="50"/>
  </w:num>
  <w:num w:numId="16">
    <w:abstractNumId w:val="46"/>
  </w:num>
  <w:num w:numId="17">
    <w:abstractNumId w:val="0"/>
  </w:num>
  <w:num w:numId="18">
    <w:abstractNumId w:val="37"/>
  </w:num>
  <w:num w:numId="19">
    <w:abstractNumId w:val="110"/>
  </w:num>
  <w:num w:numId="20">
    <w:abstractNumId w:val="57"/>
  </w:num>
  <w:num w:numId="21">
    <w:abstractNumId w:val="92"/>
  </w:num>
  <w:num w:numId="22">
    <w:abstractNumId w:val="87"/>
  </w:num>
  <w:num w:numId="23">
    <w:abstractNumId w:val="55"/>
  </w:num>
  <w:num w:numId="24">
    <w:abstractNumId w:val="154"/>
  </w:num>
  <w:num w:numId="25">
    <w:abstractNumId w:val="158"/>
  </w:num>
  <w:num w:numId="26">
    <w:abstractNumId w:val="58"/>
  </w:num>
  <w:num w:numId="27">
    <w:abstractNumId w:val="31"/>
  </w:num>
  <w:num w:numId="28">
    <w:abstractNumId w:val="67"/>
  </w:num>
  <w:num w:numId="29">
    <w:abstractNumId w:val="84"/>
  </w:num>
  <w:num w:numId="30">
    <w:abstractNumId w:val="60"/>
  </w:num>
  <w:num w:numId="31">
    <w:abstractNumId w:val="97"/>
  </w:num>
  <w:num w:numId="32">
    <w:abstractNumId w:val="93"/>
  </w:num>
  <w:num w:numId="33">
    <w:abstractNumId w:val="9"/>
  </w:num>
  <w:num w:numId="34">
    <w:abstractNumId w:val="34"/>
  </w:num>
  <w:num w:numId="35">
    <w:abstractNumId w:val="7"/>
  </w:num>
  <w:num w:numId="36">
    <w:abstractNumId w:val="32"/>
  </w:num>
  <w:num w:numId="37">
    <w:abstractNumId w:val="164"/>
  </w:num>
  <w:num w:numId="38">
    <w:abstractNumId w:val="54"/>
  </w:num>
  <w:num w:numId="39">
    <w:abstractNumId w:val="51"/>
  </w:num>
  <w:num w:numId="40">
    <w:abstractNumId w:val="161"/>
  </w:num>
  <w:num w:numId="41">
    <w:abstractNumId w:val="143"/>
  </w:num>
  <w:num w:numId="42">
    <w:abstractNumId w:val="47"/>
  </w:num>
  <w:num w:numId="43">
    <w:abstractNumId w:val="90"/>
  </w:num>
  <w:num w:numId="44">
    <w:abstractNumId w:val="29"/>
  </w:num>
  <w:num w:numId="45">
    <w:abstractNumId w:val="66"/>
  </w:num>
  <w:num w:numId="46">
    <w:abstractNumId w:val="130"/>
  </w:num>
  <w:num w:numId="47">
    <w:abstractNumId w:val="39"/>
  </w:num>
  <w:num w:numId="48">
    <w:abstractNumId w:val="99"/>
  </w:num>
  <w:num w:numId="49">
    <w:abstractNumId w:val="14"/>
  </w:num>
  <w:num w:numId="50">
    <w:abstractNumId w:val="23"/>
  </w:num>
  <w:num w:numId="51">
    <w:abstractNumId w:val="75"/>
  </w:num>
  <w:num w:numId="52">
    <w:abstractNumId w:val="80"/>
  </w:num>
  <w:num w:numId="53">
    <w:abstractNumId w:val="68"/>
  </w:num>
  <w:num w:numId="54">
    <w:abstractNumId w:val="69"/>
  </w:num>
  <w:num w:numId="55">
    <w:abstractNumId w:val="56"/>
  </w:num>
  <w:num w:numId="56">
    <w:abstractNumId w:val="17"/>
  </w:num>
  <w:num w:numId="57">
    <w:abstractNumId w:val="134"/>
  </w:num>
  <w:num w:numId="58">
    <w:abstractNumId w:val="145"/>
  </w:num>
  <w:num w:numId="59">
    <w:abstractNumId w:val="149"/>
  </w:num>
  <w:num w:numId="60">
    <w:abstractNumId w:val="10"/>
  </w:num>
  <w:num w:numId="61">
    <w:abstractNumId w:val="72"/>
  </w:num>
  <w:num w:numId="62">
    <w:abstractNumId w:val="45"/>
  </w:num>
  <w:num w:numId="63">
    <w:abstractNumId w:val="43"/>
  </w:num>
  <w:num w:numId="64">
    <w:abstractNumId w:val="73"/>
  </w:num>
  <w:num w:numId="65">
    <w:abstractNumId w:val="131"/>
  </w:num>
  <w:num w:numId="66">
    <w:abstractNumId w:val="116"/>
  </w:num>
  <w:num w:numId="67">
    <w:abstractNumId w:val="18"/>
  </w:num>
  <w:num w:numId="68">
    <w:abstractNumId w:val="89"/>
  </w:num>
  <w:num w:numId="69">
    <w:abstractNumId w:val="21"/>
  </w:num>
  <w:num w:numId="70">
    <w:abstractNumId w:val="12"/>
  </w:num>
  <w:num w:numId="71">
    <w:abstractNumId w:val="5"/>
  </w:num>
  <w:num w:numId="72">
    <w:abstractNumId w:val="105"/>
  </w:num>
  <w:num w:numId="73">
    <w:abstractNumId w:val="100"/>
  </w:num>
  <w:num w:numId="74">
    <w:abstractNumId w:val="117"/>
  </w:num>
  <w:num w:numId="75">
    <w:abstractNumId w:val="85"/>
  </w:num>
  <w:num w:numId="76">
    <w:abstractNumId w:val="76"/>
  </w:num>
  <w:num w:numId="77">
    <w:abstractNumId w:val="61"/>
  </w:num>
  <w:num w:numId="78">
    <w:abstractNumId w:val="38"/>
  </w:num>
  <w:num w:numId="79">
    <w:abstractNumId w:val="26"/>
  </w:num>
  <w:num w:numId="80">
    <w:abstractNumId w:val="3"/>
  </w:num>
  <w:num w:numId="81">
    <w:abstractNumId w:val="133"/>
  </w:num>
  <w:num w:numId="82">
    <w:abstractNumId w:val="155"/>
  </w:num>
  <w:num w:numId="83">
    <w:abstractNumId w:val="170"/>
  </w:num>
  <w:num w:numId="84">
    <w:abstractNumId w:val="172"/>
  </w:num>
  <w:num w:numId="85">
    <w:abstractNumId w:val="141"/>
  </w:num>
  <w:num w:numId="86">
    <w:abstractNumId w:val="13"/>
  </w:num>
  <w:num w:numId="87">
    <w:abstractNumId w:val="30"/>
  </w:num>
  <w:num w:numId="88">
    <w:abstractNumId w:val="151"/>
  </w:num>
  <w:num w:numId="89">
    <w:abstractNumId w:val="111"/>
  </w:num>
  <w:num w:numId="90">
    <w:abstractNumId w:val="15"/>
  </w:num>
  <w:num w:numId="91">
    <w:abstractNumId w:val="79"/>
  </w:num>
  <w:num w:numId="92">
    <w:abstractNumId w:val="167"/>
  </w:num>
  <w:num w:numId="93">
    <w:abstractNumId w:val="144"/>
  </w:num>
  <w:num w:numId="94">
    <w:abstractNumId w:val="59"/>
  </w:num>
  <w:num w:numId="95">
    <w:abstractNumId w:val="4"/>
  </w:num>
  <w:num w:numId="96">
    <w:abstractNumId w:val="171"/>
  </w:num>
  <w:num w:numId="97">
    <w:abstractNumId w:val="20"/>
  </w:num>
  <w:num w:numId="98">
    <w:abstractNumId w:val="11"/>
  </w:num>
  <w:num w:numId="99">
    <w:abstractNumId w:val="132"/>
  </w:num>
  <w:num w:numId="100">
    <w:abstractNumId w:val="86"/>
  </w:num>
  <w:num w:numId="101">
    <w:abstractNumId w:val="156"/>
  </w:num>
  <w:num w:numId="102">
    <w:abstractNumId w:val="113"/>
  </w:num>
  <w:num w:numId="103">
    <w:abstractNumId w:val="33"/>
  </w:num>
  <w:num w:numId="104">
    <w:abstractNumId w:val="91"/>
  </w:num>
  <w:num w:numId="105">
    <w:abstractNumId w:val="125"/>
  </w:num>
  <w:num w:numId="106">
    <w:abstractNumId w:val="112"/>
  </w:num>
  <w:num w:numId="107">
    <w:abstractNumId w:val="42"/>
  </w:num>
  <w:num w:numId="108">
    <w:abstractNumId w:val="71"/>
  </w:num>
  <w:num w:numId="109">
    <w:abstractNumId w:val="124"/>
  </w:num>
  <w:num w:numId="110">
    <w:abstractNumId w:val="140"/>
  </w:num>
  <w:num w:numId="111">
    <w:abstractNumId w:val="44"/>
  </w:num>
  <w:num w:numId="112">
    <w:abstractNumId w:val="78"/>
  </w:num>
  <w:num w:numId="113">
    <w:abstractNumId w:val="137"/>
  </w:num>
  <w:num w:numId="114">
    <w:abstractNumId w:val="104"/>
  </w:num>
  <w:num w:numId="115">
    <w:abstractNumId w:val="70"/>
  </w:num>
  <w:num w:numId="116">
    <w:abstractNumId w:val="168"/>
  </w:num>
  <w:num w:numId="117">
    <w:abstractNumId w:val="118"/>
  </w:num>
  <w:num w:numId="118">
    <w:abstractNumId w:val="53"/>
  </w:num>
  <w:num w:numId="119">
    <w:abstractNumId w:val="103"/>
  </w:num>
  <w:num w:numId="120">
    <w:abstractNumId w:val="35"/>
  </w:num>
  <w:num w:numId="121">
    <w:abstractNumId w:val="150"/>
  </w:num>
  <w:num w:numId="122">
    <w:abstractNumId w:val="1"/>
  </w:num>
  <w:num w:numId="123">
    <w:abstractNumId w:val="107"/>
  </w:num>
  <w:num w:numId="124">
    <w:abstractNumId w:val="114"/>
  </w:num>
  <w:num w:numId="125">
    <w:abstractNumId w:val="109"/>
  </w:num>
  <w:num w:numId="126">
    <w:abstractNumId w:val="88"/>
  </w:num>
  <w:num w:numId="127">
    <w:abstractNumId w:val="159"/>
  </w:num>
  <w:num w:numId="128">
    <w:abstractNumId w:val="106"/>
  </w:num>
  <w:num w:numId="129">
    <w:abstractNumId w:val="129"/>
  </w:num>
  <w:num w:numId="130">
    <w:abstractNumId w:val="62"/>
  </w:num>
  <w:num w:numId="131">
    <w:abstractNumId w:val="36"/>
  </w:num>
  <w:num w:numId="132">
    <w:abstractNumId w:val="153"/>
  </w:num>
  <w:num w:numId="133">
    <w:abstractNumId w:val="166"/>
  </w:num>
  <w:num w:numId="134">
    <w:abstractNumId w:val="142"/>
  </w:num>
  <w:num w:numId="135">
    <w:abstractNumId w:val="6"/>
  </w:num>
  <w:num w:numId="136">
    <w:abstractNumId w:val="152"/>
  </w:num>
  <w:num w:numId="137">
    <w:abstractNumId w:val="147"/>
  </w:num>
  <w:num w:numId="138">
    <w:abstractNumId w:val="83"/>
  </w:num>
  <w:num w:numId="139">
    <w:abstractNumId w:val="148"/>
  </w:num>
  <w:num w:numId="140">
    <w:abstractNumId w:val="173"/>
  </w:num>
  <w:num w:numId="141">
    <w:abstractNumId w:val="95"/>
  </w:num>
  <w:num w:numId="142">
    <w:abstractNumId w:val="157"/>
  </w:num>
  <w:num w:numId="143">
    <w:abstractNumId w:val="48"/>
  </w:num>
  <w:num w:numId="144">
    <w:abstractNumId w:val="96"/>
  </w:num>
  <w:num w:numId="145">
    <w:abstractNumId w:val="121"/>
  </w:num>
  <w:num w:numId="146">
    <w:abstractNumId w:val="28"/>
  </w:num>
  <w:num w:numId="147">
    <w:abstractNumId w:val="64"/>
  </w:num>
  <w:num w:numId="148">
    <w:abstractNumId w:val="101"/>
  </w:num>
  <w:num w:numId="149">
    <w:abstractNumId w:val="135"/>
  </w:num>
  <w:num w:numId="150">
    <w:abstractNumId w:val="138"/>
  </w:num>
  <w:num w:numId="151">
    <w:abstractNumId w:val="120"/>
  </w:num>
  <w:num w:numId="152">
    <w:abstractNumId w:val="123"/>
  </w:num>
  <w:num w:numId="153">
    <w:abstractNumId w:val="127"/>
  </w:num>
  <w:num w:numId="154">
    <w:abstractNumId w:val="63"/>
  </w:num>
  <w:num w:numId="155">
    <w:abstractNumId w:val="160"/>
  </w:num>
  <w:num w:numId="156">
    <w:abstractNumId w:val="102"/>
  </w:num>
  <w:num w:numId="157">
    <w:abstractNumId w:val="139"/>
  </w:num>
  <w:num w:numId="158">
    <w:abstractNumId w:val="16"/>
  </w:num>
  <w:num w:numId="159">
    <w:abstractNumId w:val="22"/>
  </w:num>
  <w:num w:numId="160">
    <w:abstractNumId w:val="27"/>
  </w:num>
  <w:num w:numId="161">
    <w:abstractNumId w:val="40"/>
  </w:num>
  <w:num w:numId="162">
    <w:abstractNumId w:val="136"/>
  </w:num>
  <w:num w:numId="163">
    <w:abstractNumId w:val="19"/>
  </w:num>
  <w:num w:numId="164">
    <w:abstractNumId w:val="162"/>
  </w:num>
  <w:num w:numId="165">
    <w:abstractNumId w:val="24"/>
  </w:num>
  <w:num w:numId="166">
    <w:abstractNumId w:val="74"/>
  </w:num>
  <w:num w:numId="167">
    <w:abstractNumId w:val="2"/>
  </w:num>
  <w:num w:numId="168">
    <w:abstractNumId w:val="81"/>
  </w:num>
  <w:num w:numId="169">
    <w:abstractNumId w:val="94"/>
  </w:num>
  <w:num w:numId="170">
    <w:abstractNumId w:val="163"/>
  </w:num>
  <w:num w:numId="171">
    <w:abstractNumId w:val="49"/>
  </w:num>
  <w:num w:numId="172">
    <w:abstractNumId w:val="119"/>
  </w:num>
  <w:num w:numId="173">
    <w:abstractNumId w:val="65"/>
  </w:num>
  <w:num w:numId="174">
    <w:abstractNumId w:val="25"/>
  </w:num>
  <w:numIdMacAtCleanup w:val="16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6"/>
  <w:removePersonalInformation/>
  <w:removeDateAndTime/>
  <w:defaultTabStop w:val="720"/>
  <w:drawingGridHorizontalSpacing w:val="110"/>
  <w:displayHorizontalDrawingGridEvery w:val="2"/>
  <w:characterSpacingControl w:val="doNotCompress"/>
  <w:hdrShapeDefaults>
    <o:shapedefaults v:ext="edit" spidmax="65538"/>
  </w:hdrShapeDefaults>
  <w:footnotePr>
    <w:footnote w:id="-1"/>
    <w:footnote w:id="0"/>
  </w:footnotePr>
  <w:endnotePr>
    <w:endnote w:id="-1"/>
    <w:endnote w:id="0"/>
  </w:endnotePr>
  <w:compat/>
  <w:rsids>
    <w:rsidRoot w:val="00225952"/>
    <w:rsid w:val="000002B4"/>
    <w:rsid w:val="00005E8D"/>
    <w:rsid w:val="0001115B"/>
    <w:rsid w:val="00012AC6"/>
    <w:rsid w:val="00013952"/>
    <w:rsid w:val="00033D73"/>
    <w:rsid w:val="0003540F"/>
    <w:rsid w:val="000418E2"/>
    <w:rsid w:val="000437CB"/>
    <w:rsid w:val="00046786"/>
    <w:rsid w:val="000569A8"/>
    <w:rsid w:val="00060F17"/>
    <w:rsid w:val="000636DE"/>
    <w:rsid w:val="0006666B"/>
    <w:rsid w:val="00067C62"/>
    <w:rsid w:val="000839F2"/>
    <w:rsid w:val="000843EB"/>
    <w:rsid w:val="00086359"/>
    <w:rsid w:val="00087603"/>
    <w:rsid w:val="00093D33"/>
    <w:rsid w:val="000A7DAA"/>
    <w:rsid w:val="000B2C1D"/>
    <w:rsid w:val="000D1D97"/>
    <w:rsid w:val="000D2C33"/>
    <w:rsid w:val="000D45FB"/>
    <w:rsid w:val="000F7EDD"/>
    <w:rsid w:val="00107F14"/>
    <w:rsid w:val="00125B91"/>
    <w:rsid w:val="00130467"/>
    <w:rsid w:val="00133E34"/>
    <w:rsid w:val="00173C80"/>
    <w:rsid w:val="001A2659"/>
    <w:rsid w:val="001A7B60"/>
    <w:rsid w:val="001B14C8"/>
    <w:rsid w:val="001B457B"/>
    <w:rsid w:val="001B7518"/>
    <w:rsid w:val="001C5E19"/>
    <w:rsid w:val="001E5026"/>
    <w:rsid w:val="001E7D52"/>
    <w:rsid w:val="001F5F22"/>
    <w:rsid w:val="0020724F"/>
    <w:rsid w:val="0021455D"/>
    <w:rsid w:val="00221BB9"/>
    <w:rsid w:val="00221C60"/>
    <w:rsid w:val="00225952"/>
    <w:rsid w:val="002274C7"/>
    <w:rsid w:val="00230B3D"/>
    <w:rsid w:val="002436BF"/>
    <w:rsid w:val="00243C41"/>
    <w:rsid w:val="00255107"/>
    <w:rsid w:val="002642A9"/>
    <w:rsid w:val="00271894"/>
    <w:rsid w:val="00277B4B"/>
    <w:rsid w:val="002922F7"/>
    <w:rsid w:val="002F3060"/>
    <w:rsid w:val="002F7415"/>
    <w:rsid w:val="00302FFC"/>
    <w:rsid w:val="00305F9A"/>
    <w:rsid w:val="00327F85"/>
    <w:rsid w:val="003457DC"/>
    <w:rsid w:val="003500C3"/>
    <w:rsid w:val="0037501E"/>
    <w:rsid w:val="00383054"/>
    <w:rsid w:val="003903D5"/>
    <w:rsid w:val="003A266F"/>
    <w:rsid w:val="003E3B80"/>
    <w:rsid w:val="003F432A"/>
    <w:rsid w:val="003F50E0"/>
    <w:rsid w:val="00406C66"/>
    <w:rsid w:val="0040766A"/>
    <w:rsid w:val="00415F41"/>
    <w:rsid w:val="00426621"/>
    <w:rsid w:val="004318C8"/>
    <w:rsid w:val="004338A0"/>
    <w:rsid w:val="004426D7"/>
    <w:rsid w:val="00446B07"/>
    <w:rsid w:val="00451279"/>
    <w:rsid w:val="00467D5B"/>
    <w:rsid w:val="00482F7F"/>
    <w:rsid w:val="00492913"/>
    <w:rsid w:val="00494391"/>
    <w:rsid w:val="004B2DB2"/>
    <w:rsid w:val="004B344E"/>
    <w:rsid w:val="004B4918"/>
    <w:rsid w:val="004B5E07"/>
    <w:rsid w:val="004E6FF5"/>
    <w:rsid w:val="004F5AC3"/>
    <w:rsid w:val="00514DC7"/>
    <w:rsid w:val="00522ED8"/>
    <w:rsid w:val="00524322"/>
    <w:rsid w:val="005324D7"/>
    <w:rsid w:val="00542B7F"/>
    <w:rsid w:val="005528AA"/>
    <w:rsid w:val="005600AB"/>
    <w:rsid w:val="00563102"/>
    <w:rsid w:val="0056380B"/>
    <w:rsid w:val="00574C8B"/>
    <w:rsid w:val="005822AB"/>
    <w:rsid w:val="005A3F7B"/>
    <w:rsid w:val="005A4DAF"/>
    <w:rsid w:val="005B1BB9"/>
    <w:rsid w:val="005B4AC0"/>
    <w:rsid w:val="005B5AFE"/>
    <w:rsid w:val="005C7350"/>
    <w:rsid w:val="005D5082"/>
    <w:rsid w:val="005E56BC"/>
    <w:rsid w:val="005E629A"/>
    <w:rsid w:val="005F4952"/>
    <w:rsid w:val="00606E1A"/>
    <w:rsid w:val="0061340E"/>
    <w:rsid w:val="00631542"/>
    <w:rsid w:val="006424BC"/>
    <w:rsid w:val="006718E7"/>
    <w:rsid w:val="0067330A"/>
    <w:rsid w:val="00682DDA"/>
    <w:rsid w:val="0069017C"/>
    <w:rsid w:val="006A393F"/>
    <w:rsid w:val="006A6C01"/>
    <w:rsid w:val="006B7F55"/>
    <w:rsid w:val="006C36A0"/>
    <w:rsid w:val="006C572C"/>
    <w:rsid w:val="00701DC3"/>
    <w:rsid w:val="007058B6"/>
    <w:rsid w:val="00706C62"/>
    <w:rsid w:val="0071481F"/>
    <w:rsid w:val="00714A65"/>
    <w:rsid w:val="00720543"/>
    <w:rsid w:val="00733F08"/>
    <w:rsid w:val="0074341A"/>
    <w:rsid w:val="00745389"/>
    <w:rsid w:val="00781B72"/>
    <w:rsid w:val="00784F8A"/>
    <w:rsid w:val="007920DE"/>
    <w:rsid w:val="007A0AB2"/>
    <w:rsid w:val="007A3DA7"/>
    <w:rsid w:val="007C5CDB"/>
    <w:rsid w:val="007E1902"/>
    <w:rsid w:val="007F37F3"/>
    <w:rsid w:val="007F3C2B"/>
    <w:rsid w:val="007F6A0C"/>
    <w:rsid w:val="00802D00"/>
    <w:rsid w:val="008211E7"/>
    <w:rsid w:val="00832911"/>
    <w:rsid w:val="008339C9"/>
    <w:rsid w:val="00835D35"/>
    <w:rsid w:val="00841C26"/>
    <w:rsid w:val="008513F1"/>
    <w:rsid w:val="008526A2"/>
    <w:rsid w:val="0085427C"/>
    <w:rsid w:val="00865811"/>
    <w:rsid w:val="008814E5"/>
    <w:rsid w:val="00882D48"/>
    <w:rsid w:val="0088352E"/>
    <w:rsid w:val="00896DB2"/>
    <w:rsid w:val="008A0BC6"/>
    <w:rsid w:val="008B4377"/>
    <w:rsid w:val="008B4921"/>
    <w:rsid w:val="008B6DA3"/>
    <w:rsid w:val="008D2D1A"/>
    <w:rsid w:val="008D6C65"/>
    <w:rsid w:val="008E4376"/>
    <w:rsid w:val="008E6C79"/>
    <w:rsid w:val="008F19DE"/>
    <w:rsid w:val="008F6B1A"/>
    <w:rsid w:val="00926CBB"/>
    <w:rsid w:val="00954053"/>
    <w:rsid w:val="00956DA2"/>
    <w:rsid w:val="00960EBD"/>
    <w:rsid w:val="009671FD"/>
    <w:rsid w:val="009908F9"/>
    <w:rsid w:val="00992EDA"/>
    <w:rsid w:val="009A560D"/>
    <w:rsid w:val="009A5DBF"/>
    <w:rsid w:val="009B2852"/>
    <w:rsid w:val="009C0A4D"/>
    <w:rsid w:val="009C197C"/>
    <w:rsid w:val="009C74D2"/>
    <w:rsid w:val="009E1317"/>
    <w:rsid w:val="009E2A1C"/>
    <w:rsid w:val="009F61EC"/>
    <w:rsid w:val="00A01023"/>
    <w:rsid w:val="00A1003E"/>
    <w:rsid w:val="00A33015"/>
    <w:rsid w:val="00A42A78"/>
    <w:rsid w:val="00A44901"/>
    <w:rsid w:val="00A47DC9"/>
    <w:rsid w:val="00A72D9B"/>
    <w:rsid w:val="00A75178"/>
    <w:rsid w:val="00AA39A2"/>
    <w:rsid w:val="00AA50B4"/>
    <w:rsid w:val="00AA6047"/>
    <w:rsid w:val="00AB3325"/>
    <w:rsid w:val="00AB455E"/>
    <w:rsid w:val="00AD2D7A"/>
    <w:rsid w:val="00AD5BD3"/>
    <w:rsid w:val="00AE5778"/>
    <w:rsid w:val="00B01866"/>
    <w:rsid w:val="00B11BD3"/>
    <w:rsid w:val="00B13815"/>
    <w:rsid w:val="00B21194"/>
    <w:rsid w:val="00B24CEB"/>
    <w:rsid w:val="00B31EB0"/>
    <w:rsid w:val="00B54EB8"/>
    <w:rsid w:val="00B70CA8"/>
    <w:rsid w:val="00B77B55"/>
    <w:rsid w:val="00B8640B"/>
    <w:rsid w:val="00B94968"/>
    <w:rsid w:val="00BA4326"/>
    <w:rsid w:val="00BC5378"/>
    <w:rsid w:val="00BC5537"/>
    <w:rsid w:val="00BC59DC"/>
    <w:rsid w:val="00BC5DF5"/>
    <w:rsid w:val="00BF02D4"/>
    <w:rsid w:val="00BF2A16"/>
    <w:rsid w:val="00BF5238"/>
    <w:rsid w:val="00C1195D"/>
    <w:rsid w:val="00C212BC"/>
    <w:rsid w:val="00C460EE"/>
    <w:rsid w:val="00C50406"/>
    <w:rsid w:val="00C51DAE"/>
    <w:rsid w:val="00C60799"/>
    <w:rsid w:val="00C608A8"/>
    <w:rsid w:val="00C61D81"/>
    <w:rsid w:val="00C67E35"/>
    <w:rsid w:val="00C74DCB"/>
    <w:rsid w:val="00C80F7D"/>
    <w:rsid w:val="00C83170"/>
    <w:rsid w:val="00C86195"/>
    <w:rsid w:val="00C92364"/>
    <w:rsid w:val="00CB4748"/>
    <w:rsid w:val="00CC002A"/>
    <w:rsid w:val="00CC0A3C"/>
    <w:rsid w:val="00CD306D"/>
    <w:rsid w:val="00CD32CA"/>
    <w:rsid w:val="00D1578E"/>
    <w:rsid w:val="00D328EC"/>
    <w:rsid w:val="00D32A26"/>
    <w:rsid w:val="00D34B6F"/>
    <w:rsid w:val="00D40977"/>
    <w:rsid w:val="00D44B2A"/>
    <w:rsid w:val="00D50AEA"/>
    <w:rsid w:val="00D53BEE"/>
    <w:rsid w:val="00D54EF9"/>
    <w:rsid w:val="00D62552"/>
    <w:rsid w:val="00D729B7"/>
    <w:rsid w:val="00DA1C89"/>
    <w:rsid w:val="00DB01CA"/>
    <w:rsid w:val="00DB21D2"/>
    <w:rsid w:val="00DB6AE5"/>
    <w:rsid w:val="00DC6326"/>
    <w:rsid w:val="00DD15F6"/>
    <w:rsid w:val="00DD2247"/>
    <w:rsid w:val="00DE5EF3"/>
    <w:rsid w:val="00E066BB"/>
    <w:rsid w:val="00E36DE5"/>
    <w:rsid w:val="00E422F7"/>
    <w:rsid w:val="00E74059"/>
    <w:rsid w:val="00E7413B"/>
    <w:rsid w:val="00E84C83"/>
    <w:rsid w:val="00E9518D"/>
    <w:rsid w:val="00EA7E64"/>
    <w:rsid w:val="00EB5829"/>
    <w:rsid w:val="00EB589E"/>
    <w:rsid w:val="00EC1D56"/>
    <w:rsid w:val="00EC35D1"/>
    <w:rsid w:val="00EC5A9A"/>
    <w:rsid w:val="00ED0405"/>
    <w:rsid w:val="00ED2A62"/>
    <w:rsid w:val="00ED4F21"/>
    <w:rsid w:val="00EE06C8"/>
    <w:rsid w:val="00EF086C"/>
    <w:rsid w:val="00EF4A91"/>
    <w:rsid w:val="00F0729C"/>
    <w:rsid w:val="00F10703"/>
    <w:rsid w:val="00F30B41"/>
    <w:rsid w:val="00F32EC9"/>
    <w:rsid w:val="00F50BE8"/>
    <w:rsid w:val="00F52017"/>
    <w:rsid w:val="00F549C1"/>
    <w:rsid w:val="00F6109D"/>
    <w:rsid w:val="00F65AD1"/>
    <w:rsid w:val="00F7439E"/>
    <w:rsid w:val="00F77AA9"/>
    <w:rsid w:val="00F77AF3"/>
    <w:rsid w:val="00F954BA"/>
    <w:rsid w:val="00FA40A3"/>
    <w:rsid w:val="00FA4797"/>
    <w:rsid w:val="00FA4EC8"/>
    <w:rsid w:val="00FB1331"/>
    <w:rsid w:val="00FC4F0A"/>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reet"/>
  <w:smartTagType w:namespaceuri="urn:schemas-microsoft-com:office:smarttags" w:name="address"/>
  <w:smartTagType w:namespaceuri="urn:schemas-microsoft-com:office:smarttags" w:name="City"/>
  <w:smartTagType w:namespaceuri="urn:schemas-microsoft-com:office:smarttags" w:name="country-region"/>
  <w:smartTagType w:namespaceuri="urn:schemas-microsoft-com:office:smarttags" w:name="PlaceType"/>
  <w:smartTagType w:namespaceuri="urn:schemas-microsoft-com:office:smarttags" w:name="PlaceName"/>
  <w:smartTagType w:namespaceuri="urn:schemas-microsoft-com:office:smarttags" w:name="State"/>
  <w:smartTagType w:namespaceuri="urn:schemas-microsoft-com:office:smarttags" w:name="place"/>
  <w:shapeDefaults>
    <o:shapedefaults v:ext="edit" spidmax="655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qFormat="1"/>
    <w:lsdException w:name="footnote reference" w:uiPriority="99"/>
    <w:lsdException w:name="annotation reference" w:uiPriority="99"/>
    <w:lsdException w:name="line number" w:uiPriority="99"/>
    <w:lsdException w:name="endnote reference" w:uiPriority="99"/>
    <w:lsdException w:name="Title" w:semiHidden="0" w:unhideWhenUsed="0" w:qFormat="1"/>
    <w:lsdException w:name="Default Paragraph Font" w:uiPriority="1"/>
    <w:lsdException w:name="Subtitle" w:semiHidden="0" w:unhideWhenUsed="0" w:qFormat="1"/>
    <w:lsdException w:name="Hyperlink" w:uiPriority="99"/>
    <w:lsdException w:name="Strong" w:semiHidden="0" w:uiPriority="22" w:unhideWhenUsed="0" w:qFormat="1"/>
    <w:lsdException w:name="Emphasis" w:semiHidden="0" w:uiPriority="20" w:unhideWhenUsed="0" w:qFormat="1"/>
    <w:lsdException w:name="HTML Top of Form" w:uiPriority="99"/>
    <w:lsdException w:name="HTML Bottom of Form" w:uiPriority="99"/>
    <w:lsdException w:name="Normal (Web)" w:uiPriority="99"/>
    <w:lsdException w:name="HTML Acronym" w:uiPriority="99"/>
    <w:lsdException w:name="HTML Cite" w:uiPriority="99"/>
    <w:lsdException w:name="HTML Code" w:uiPriority="99"/>
    <w:lsdException w:name="HTML Definition" w:uiPriority="99"/>
    <w:lsdException w:name="HTML Keyboard" w:uiPriority="99"/>
    <w:lsdException w:name="HTML Sample" w:uiPriority="99"/>
    <w:lsdException w:name="HTML Typewriter" w:uiPriority="99"/>
    <w:lsdException w:name="HTML Variable" w:uiPriority="99"/>
    <w:lsdException w:name="Normal Table" w:uiPriority="99"/>
    <w:lsdException w:name="No List" w:uiPriority="99"/>
    <w:lsdException w:name="Outline List 1" w:uiPriority="99"/>
    <w:lsdException w:name="Outline List 2" w:uiPriority="99"/>
    <w:lsdException w:name="Outline List 3" w:uiPriority="99"/>
    <w:lsdException w:name="Table Simple 1"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8" w:uiPriority="99"/>
    <w:lsdException w:name="Table 3D effects 1" w:uiPriority="99"/>
    <w:lsdException w:name="Table 3D effects 2"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Table Grid" w:semiHidden="0" w:uiPriority="59" w:unhideWhenUsed="0"/>
    <w:lsdException w:name="Table Theme" w:uiPriority="9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99" w:unhideWhenUsed="0" w:qFormat="1"/>
    <w:lsdException w:name="Intense Quote" w:semiHidden="0" w:uiPriority="99"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99"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99"/>
    <w:lsdException w:name="TOC Heading" w:uiPriority="39" w:qFormat="1"/>
  </w:latentStyles>
  <w:style w:type="paragraph" w:default="1" w:styleId="Normal">
    <w:name w:val="Normal"/>
    <w:qFormat/>
    <w:rsid w:val="006A393F"/>
    <w:pPr>
      <w:spacing w:after="180"/>
      <w:jc w:val="both"/>
    </w:pPr>
    <w:rPr>
      <w:sz w:val="23"/>
    </w:rPr>
  </w:style>
  <w:style w:type="paragraph" w:styleId="Heading1">
    <w:name w:val="heading 1"/>
    <w:basedOn w:val="Normal"/>
    <w:next w:val="Normal"/>
    <w:link w:val="Heading1Char"/>
    <w:qFormat/>
    <w:rsid w:val="00225952"/>
    <w:pPr>
      <w:keepNext/>
      <w:pBdr>
        <w:top w:val="single" w:sz="48" w:space="4" w:color="92CDDC"/>
      </w:pBdr>
      <w:jc w:val="right"/>
      <w:outlineLvl w:val="0"/>
    </w:pPr>
    <w:rPr>
      <w:rFonts w:ascii="Tahoma" w:eastAsia="Calibri" w:hAnsi="Tahoma" w:cs="Times New Roman"/>
      <w:b/>
      <w:bCs/>
      <w:sz w:val="32"/>
      <w:szCs w:val="20"/>
    </w:rPr>
  </w:style>
  <w:style w:type="paragraph" w:styleId="Heading2">
    <w:name w:val="heading 2"/>
    <w:basedOn w:val="Normal"/>
    <w:next w:val="Normal"/>
    <w:link w:val="Heading2Char"/>
    <w:qFormat/>
    <w:rsid w:val="00835D35"/>
    <w:pPr>
      <w:keepNext/>
      <w:pBdr>
        <w:top w:val="single" w:sz="24" w:space="1" w:color="008080"/>
      </w:pBdr>
      <w:tabs>
        <w:tab w:val="left" w:pos="720"/>
        <w:tab w:val="right" w:pos="9360"/>
      </w:tabs>
      <w:spacing w:before="120"/>
      <w:jc w:val="left"/>
      <w:outlineLvl w:val="1"/>
    </w:pPr>
    <w:rPr>
      <w:rFonts w:ascii="Tahoma" w:eastAsia="Calibri" w:hAnsi="Tahoma" w:cs="Times New Roman"/>
      <w:b/>
      <w:bCs/>
      <w:color w:val="008080"/>
      <w:sz w:val="28"/>
      <w:szCs w:val="20"/>
    </w:rPr>
  </w:style>
  <w:style w:type="paragraph" w:styleId="Heading3">
    <w:name w:val="heading 3"/>
    <w:basedOn w:val="Normal"/>
    <w:next w:val="Normal"/>
    <w:link w:val="Heading3Char"/>
    <w:qFormat/>
    <w:rsid w:val="00F77AA9"/>
    <w:pPr>
      <w:spacing w:before="120" w:after="60" w:line="240" w:lineRule="auto"/>
      <w:jc w:val="left"/>
      <w:outlineLvl w:val="2"/>
    </w:pPr>
    <w:rPr>
      <w:rFonts w:ascii="Calibri" w:eastAsia="Calibri" w:hAnsi="Calibri" w:cs="Times New Roman"/>
      <w:b/>
      <w:bCs/>
      <w:color w:val="008080"/>
      <w:sz w:val="28"/>
      <w:szCs w:val="20"/>
    </w:rPr>
  </w:style>
  <w:style w:type="paragraph" w:styleId="Heading4">
    <w:name w:val="heading 4"/>
    <w:basedOn w:val="Normal"/>
    <w:next w:val="Normal"/>
    <w:link w:val="Heading4Char"/>
    <w:qFormat/>
    <w:rsid w:val="006A393F"/>
    <w:pPr>
      <w:widowControl w:val="0"/>
      <w:tabs>
        <w:tab w:val="left" w:pos="-1080"/>
        <w:tab w:val="left" w:pos="-720"/>
        <w:tab w:val="left" w:pos="0"/>
        <w:tab w:val="left" w:pos="720"/>
        <w:tab w:val="left" w:pos="1440"/>
        <w:tab w:val="left" w:pos="1620"/>
        <w:tab w:val="left" w:pos="2160"/>
        <w:tab w:val="left" w:pos="2520"/>
        <w:tab w:val="left" w:pos="2880"/>
        <w:tab w:val="left" w:pos="3420"/>
        <w:tab w:val="left" w:pos="4320"/>
        <w:tab w:val="left" w:pos="5040"/>
        <w:tab w:val="left" w:pos="5760"/>
        <w:tab w:val="left" w:pos="6480"/>
        <w:tab w:val="left" w:pos="7200"/>
        <w:tab w:val="left" w:pos="7920"/>
        <w:tab w:val="left" w:pos="8640"/>
        <w:tab w:val="left" w:pos="9360"/>
        <w:tab w:val="left" w:pos="10080"/>
      </w:tabs>
      <w:spacing w:after="0" w:line="240" w:lineRule="auto"/>
      <w:jc w:val="left"/>
      <w:outlineLvl w:val="3"/>
    </w:pPr>
    <w:rPr>
      <w:rFonts w:ascii="Calibri" w:eastAsia="Calibri" w:hAnsi="Calibri" w:cs="Times New Roman"/>
      <w:b/>
      <w:bCs/>
      <w:color w:val="17365D"/>
      <w:sz w:val="26"/>
      <w:szCs w:val="20"/>
    </w:rPr>
  </w:style>
  <w:style w:type="paragraph" w:styleId="Heading5">
    <w:name w:val="heading 5"/>
    <w:basedOn w:val="Normal"/>
    <w:next w:val="Normal"/>
    <w:link w:val="Heading5Char"/>
    <w:qFormat/>
    <w:rsid w:val="00225952"/>
    <w:pPr>
      <w:spacing w:before="240" w:after="60"/>
      <w:outlineLvl w:val="4"/>
    </w:pPr>
    <w:rPr>
      <w:rFonts w:ascii="Calibri" w:eastAsia="Calibri" w:hAnsi="Calibri" w:cs="Times New Roman"/>
      <w:b/>
      <w:bCs/>
      <w:i/>
      <w:iCs/>
      <w:sz w:val="26"/>
      <w:szCs w:val="26"/>
    </w:rPr>
  </w:style>
  <w:style w:type="paragraph" w:styleId="Heading6">
    <w:name w:val="heading 6"/>
    <w:basedOn w:val="Normal"/>
    <w:next w:val="Normal"/>
    <w:link w:val="Heading6Char"/>
    <w:qFormat/>
    <w:rsid w:val="00225952"/>
    <w:pPr>
      <w:spacing w:before="240" w:after="60"/>
      <w:outlineLvl w:val="5"/>
    </w:pPr>
    <w:rPr>
      <w:rFonts w:ascii="Times New Roman" w:eastAsia="Calibri" w:hAnsi="Times New Roman" w:cs="Times New Roman"/>
      <w:b/>
      <w:bCs/>
      <w:szCs w:val="20"/>
    </w:rPr>
  </w:style>
  <w:style w:type="paragraph" w:styleId="Heading7">
    <w:name w:val="heading 7"/>
    <w:basedOn w:val="Normal"/>
    <w:next w:val="Normal"/>
    <w:link w:val="Heading7Char"/>
    <w:qFormat/>
    <w:rsid w:val="00225952"/>
    <w:pPr>
      <w:keepNext/>
      <w:jc w:val="center"/>
      <w:outlineLvl w:val="6"/>
    </w:pPr>
    <w:rPr>
      <w:rFonts w:ascii="Calibri" w:eastAsia="Calibri" w:hAnsi="Calibri" w:cs="Times New Roman"/>
      <w:sz w:val="20"/>
      <w:szCs w:val="20"/>
    </w:rPr>
  </w:style>
  <w:style w:type="paragraph" w:styleId="Heading8">
    <w:name w:val="heading 8"/>
    <w:basedOn w:val="Normal"/>
    <w:next w:val="Normal"/>
    <w:link w:val="Heading8Char"/>
    <w:qFormat/>
    <w:rsid w:val="00225952"/>
    <w:pPr>
      <w:spacing w:before="240" w:after="60"/>
      <w:outlineLvl w:val="7"/>
    </w:pPr>
    <w:rPr>
      <w:rFonts w:ascii="Calibri" w:eastAsia="Calibri" w:hAnsi="Calibri" w:cs="Times New Roman"/>
      <w:i/>
      <w:iCs/>
      <w:sz w:val="24"/>
      <w:szCs w:val="24"/>
    </w:rPr>
  </w:style>
  <w:style w:type="paragraph" w:styleId="Heading9">
    <w:name w:val="heading 9"/>
    <w:basedOn w:val="Normal"/>
    <w:next w:val="Normal"/>
    <w:link w:val="Heading9Char"/>
    <w:qFormat/>
    <w:rsid w:val="00225952"/>
    <w:pPr>
      <w:keepNext/>
      <w:jc w:val="center"/>
      <w:outlineLvl w:val="8"/>
    </w:pPr>
    <w:rPr>
      <w:rFonts w:ascii="Calibri" w:eastAsia="Calibri" w:hAnsi="Calibri" w:cs="Times New Roman"/>
      <w:b/>
      <w:bCs/>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225952"/>
    <w:rPr>
      <w:rFonts w:ascii="Tahoma" w:eastAsia="Calibri" w:hAnsi="Tahoma" w:cs="Times New Roman"/>
      <w:b/>
      <w:bCs/>
      <w:sz w:val="32"/>
      <w:szCs w:val="20"/>
    </w:rPr>
  </w:style>
  <w:style w:type="character" w:customStyle="1" w:styleId="Heading2Char">
    <w:name w:val="Heading 2 Char"/>
    <w:basedOn w:val="DefaultParagraphFont"/>
    <w:link w:val="Heading2"/>
    <w:rsid w:val="00835D35"/>
    <w:rPr>
      <w:rFonts w:ascii="Tahoma" w:eastAsia="Calibri" w:hAnsi="Tahoma" w:cs="Times New Roman"/>
      <w:b/>
      <w:bCs/>
      <w:color w:val="008080"/>
      <w:sz w:val="28"/>
      <w:szCs w:val="20"/>
    </w:rPr>
  </w:style>
  <w:style w:type="character" w:customStyle="1" w:styleId="Heading3Char">
    <w:name w:val="Heading 3 Char"/>
    <w:basedOn w:val="DefaultParagraphFont"/>
    <w:link w:val="Heading3"/>
    <w:rsid w:val="00F77AA9"/>
    <w:rPr>
      <w:rFonts w:ascii="Calibri" w:eastAsia="Calibri" w:hAnsi="Calibri" w:cs="Times New Roman"/>
      <w:b/>
      <w:bCs/>
      <w:color w:val="008080"/>
      <w:sz w:val="28"/>
      <w:szCs w:val="20"/>
    </w:rPr>
  </w:style>
  <w:style w:type="character" w:customStyle="1" w:styleId="Heading4Char">
    <w:name w:val="Heading 4 Char"/>
    <w:basedOn w:val="DefaultParagraphFont"/>
    <w:link w:val="Heading4"/>
    <w:rsid w:val="006A393F"/>
    <w:rPr>
      <w:rFonts w:ascii="Calibri" w:eastAsia="Calibri" w:hAnsi="Calibri" w:cs="Times New Roman"/>
      <w:b/>
      <w:bCs/>
      <w:color w:val="17365D"/>
      <w:sz w:val="26"/>
      <w:szCs w:val="20"/>
    </w:rPr>
  </w:style>
  <w:style w:type="character" w:customStyle="1" w:styleId="Heading5Char">
    <w:name w:val="Heading 5 Char"/>
    <w:basedOn w:val="DefaultParagraphFont"/>
    <w:link w:val="Heading5"/>
    <w:uiPriority w:val="99"/>
    <w:rsid w:val="00225952"/>
    <w:rPr>
      <w:rFonts w:ascii="Calibri" w:eastAsia="Calibri" w:hAnsi="Calibri" w:cs="Times New Roman"/>
      <w:b/>
      <w:bCs/>
      <w:i/>
      <w:iCs/>
      <w:sz w:val="26"/>
      <w:szCs w:val="26"/>
    </w:rPr>
  </w:style>
  <w:style w:type="character" w:customStyle="1" w:styleId="Heading6Char">
    <w:name w:val="Heading 6 Char"/>
    <w:basedOn w:val="DefaultParagraphFont"/>
    <w:link w:val="Heading6"/>
    <w:uiPriority w:val="99"/>
    <w:rsid w:val="00225952"/>
    <w:rPr>
      <w:rFonts w:ascii="Times New Roman" w:eastAsia="Calibri" w:hAnsi="Times New Roman" w:cs="Times New Roman"/>
      <w:b/>
      <w:bCs/>
      <w:sz w:val="23"/>
      <w:szCs w:val="20"/>
    </w:rPr>
  </w:style>
  <w:style w:type="character" w:customStyle="1" w:styleId="Heading7Char">
    <w:name w:val="Heading 7 Char"/>
    <w:basedOn w:val="DefaultParagraphFont"/>
    <w:link w:val="Heading7"/>
    <w:uiPriority w:val="99"/>
    <w:rsid w:val="00225952"/>
    <w:rPr>
      <w:rFonts w:ascii="Calibri" w:eastAsia="Calibri" w:hAnsi="Calibri" w:cs="Times New Roman"/>
      <w:sz w:val="20"/>
      <w:szCs w:val="20"/>
    </w:rPr>
  </w:style>
  <w:style w:type="character" w:customStyle="1" w:styleId="Heading8Char">
    <w:name w:val="Heading 8 Char"/>
    <w:basedOn w:val="DefaultParagraphFont"/>
    <w:link w:val="Heading8"/>
    <w:uiPriority w:val="99"/>
    <w:rsid w:val="00225952"/>
    <w:rPr>
      <w:rFonts w:ascii="Calibri" w:eastAsia="Calibri" w:hAnsi="Calibri" w:cs="Times New Roman"/>
      <w:i/>
      <w:iCs/>
      <w:sz w:val="24"/>
      <w:szCs w:val="24"/>
    </w:rPr>
  </w:style>
  <w:style w:type="character" w:customStyle="1" w:styleId="Heading9Char">
    <w:name w:val="Heading 9 Char"/>
    <w:basedOn w:val="DefaultParagraphFont"/>
    <w:link w:val="Heading9"/>
    <w:uiPriority w:val="99"/>
    <w:rsid w:val="00225952"/>
    <w:rPr>
      <w:rFonts w:ascii="Calibri" w:eastAsia="Calibri" w:hAnsi="Calibri" w:cs="Times New Roman"/>
      <w:b/>
      <w:bCs/>
      <w:sz w:val="20"/>
      <w:szCs w:val="20"/>
    </w:rPr>
  </w:style>
  <w:style w:type="paragraph" w:styleId="Header">
    <w:name w:val="header"/>
    <w:basedOn w:val="Normal"/>
    <w:link w:val="HeaderChar"/>
    <w:uiPriority w:val="99"/>
    <w:rsid w:val="00225952"/>
    <w:pPr>
      <w:tabs>
        <w:tab w:val="center" w:pos="4320"/>
        <w:tab w:val="right" w:pos="8640"/>
      </w:tabs>
    </w:pPr>
    <w:rPr>
      <w:rFonts w:ascii="Futura Md BT" w:eastAsia="Calibri" w:hAnsi="Futura Md BT" w:cs="Times New Roman"/>
      <w:szCs w:val="20"/>
    </w:rPr>
  </w:style>
  <w:style w:type="character" w:customStyle="1" w:styleId="HeaderChar">
    <w:name w:val="Header Char"/>
    <w:basedOn w:val="DefaultParagraphFont"/>
    <w:link w:val="Header"/>
    <w:uiPriority w:val="99"/>
    <w:rsid w:val="00225952"/>
    <w:rPr>
      <w:rFonts w:ascii="Futura Md BT" w:eastAsia="Calibri" w:hAnsi="Futura Md BT" w:cs="Times New Roman"/>
      <w:sz w:val="23"/>
      <w:szCs w:val="20"/>
    </w:rPr>
  </w:style>
  <w:style w:type="paragraph" w:styleId="FootnoteText">
    <w:name w:val="footnote text"/>
    <w:basedOn w:val="Normal"/>
    <w:link w:val="FootnoteTextChar"/>
    <w:semiHidden/>
    <w:rsid w:val="00225952"/>
    <w:rPr>
      <w:rFonts w:ascii="Calibri" w:eastAsia="Calibri" w:hAnsi="Calibri" w:cs="Times New Roman"/>
      <w:sz w:val="20"/>
      <w:szCs w:val="20"/>
    </w:rPr>
  </w:style>
  <w:style w:type="character" w:customStyle="1" w:styleId="FootnoteTextChar">
    <w:name w:val="Footnote Text Char"/>
    <w:basedOn w:val="DefaultParagraphFont"/>
    <w:link w:val="FootnoteText"/>
    <w:uiPriority w:val="99"/>
    <w:semiHidden/>
    <w:rsid w:val="00225952"/>
    <w:rPr>
      <w:rFonts w:ascii="Calibri" w:eastAsia="Calibri" w:hAnsi="Calibri" w:cs="Times New Roman"/>
      <w:sz w:val="20"/>
      <w:szCs w:val="20"/>
    </w:rPr>
  </w:style>
  <w:style w:type="character" w:styleId="Hyperlink">
    <w:name w:val="Hyperlink"/>
    <w:basedOn w:val="DefaultParagraphFont"/>
    <w:uiPriority w:val="99"/>
    <w:rsid w:val="00225952"/>
    <w:rPr>
      <w:rFonts w:cs="Times New Roman"/>
      <w:color w:val="0000FF"/>
      <w:u w:val="single"/>
    </w:rPr>
  </w:style>
  <w:style w:type="character" w:styleId="SubtleReference">
    <w:name w:val="Subtle Reference"/>
    <w:basedOn w:val="DefaultParagraphFont"/>
    <w:uiPriority w:val="31"/>
    <w:qFormat/>
    <w:rsid w:val="00225952"/>
    <w:rPr>
      <w:rFonts w:cs="Times New Roman"/>
      <w:smallCaps/>
      <w:color w:val="1F497D"/>
      <w:u w:val="single"/>
    </w:rPr>
  </w:style>
  <w:style w:type="paragraph" w:customStyle="1" w:styleId="FigureTitle">
    <w:name w:val="Figure Title"/>
    <w:basedOn w:val="Normal"/>
    <w:link w:val="FigureTitleChar"/>
    <w:qFormat/>
    <w:rsid w:val="00225952"/>
    <w:pPr>
      <w:keepNext/>
      <w:spacing w:after="120"/>
      <w:jc w:val="center"/>
    </w:pPr>
    <w:rPr>
      <w:rFonts w:ascii="Georgia" w:eastAsia="Calibri" w:hAnsi="Georgia" w:cs="Times New Roman"/>
      <w:sz w:val="24"/>
      <w:szCs w:val="20"/>
    </w:rPr>
  </w:style>
  <w:style w:type="character" w:customStyle="1" w:styleId="FigureTitleChar">
    <w:name w:val="Figure Title Char"/>
    <w:basedOn w:val="DefaultParagraphFont"/>
    <w:link w:val="FigureTitle"/>
    <w:locked/>
    <w:rsid w:val="00225952"/>
    <w:rPr>
      <w:rFonts w:ascii="Georgia" w:eastAsia="Calibri" w:hAnsi="Georgia" w:cs="Times New Roman"/>
      <w:sz w:val="24"/>
      <w:szCs w:val="20"/>
    </w:rPr>
  </w:style>
  <w:style w:type="paragraph" w:customStyle="1" w:styleId="ExhibitNumber">
    <w:name w:val="Exhibit Number"/>
    <w:basedOn w:val="Normal"/>
    <w:link w:val="ExhibitNumberChar"/>
    <w:uiPriority w:val="99"/>
    <w:qFormat/>
    <w:rsid w:val="00225952"/>
    <w:pPr>
      <w:keepNext/>
      <w:keepLines/>
      <w:spacing w:before="60" w:after="60"/>
      <w:jc w:val="center"/>
    </w:pPr>
    <w:rPr>
      <w:rFonts w:ascii="Georgia" w:eastAsia="Calibri" w:hAnsi="Georgia" w:cs="Times New Roman"/>
      <w:color w:val="4F6228"/>
      <w:szCs w:val="20"/>
    </w:rPr>
  </w:style>
  <w:style w:type="character" w:customStyle="1" w:styleId="ExhibitNumberChar">
    <w:name w:val="Exhibit Number Char"/>
    <w:basedOn w:val="DefaultParagraphFont"/>
    <w:link w:val="ExhibitNumber"/>
    <w:uiPriority w:val="99"/>
    <w:locked/>
    <w:rsid w:val="00225952"/>
    <w:rPr>
      <w:rFonts w:ascii="Georgia" w:eastAsia="Calibri" w:hAnsi="Georgia" w:cs="Times New Roman"/>
      <w:color w:val="4F6228"/>
      <w:szCs w:val="20"/>
    </w:rPr>
  </w:style>
  <w:style w:type="paragraph" w:customStyle="1" w:styleId="SidebarSentence">
    <w:name w:val="Sidebar Sentence"/>
    <w:basedOn w:val="BodyText3"/>
    <w:link w:val="SidebarSentenceChar"/>
    <w:qFormat/>
    <w:rsid w:val="006A393F"/>
    <w:pPr>
      <w:spacing w:after="180"/>
      <w:ind w:right="144"/>
      <w:jc w:val="left"/>
    </w:pPr>
    <w:rPr>
      <w:rFonts w:ascii="Georgia" w:eastAsia="Calibri" w:hAnsi="Georgia" w:cs="Times New Roman"/>
      <w:bCs/>
      <w:i/>
      <w:color w:val="404040"/>
      <w:sz w:val="20"/>
      <w:szCs w:val="20"/>
    </w:rPr>
  </w:style>
  <w:style w:type="paragraph" w:styleId="BodyText3">
    <w:name w:val="Body Text 3"/>
    <w:basedOn w:val="Normal"/>
    <w:link w:val="BodyText3Char"/>
    <w:unhideWhenUsed/>
    <w:rsid w:val="00225952"/>
    <w:pPr>
      <w:spacing w:after="120"/>
    </w:pPr>
    <w:rPr>
      <w:sz w:val="16"/>
      <w:szCs w:val="16"/>
    </w:rPr>
  </w:style>
  <w:style w:type="character" w:customStyle="1" w:styleId="BodyText3Char">
    <w:name w:val="Body Text 3 Char"/>
    <w:basedOn w:val="DefaultParagraphFont"/>
    <w:link w:val="BodyText3"/>
    <w:rsid w:val="00225952"/>
    <w:rPr>
      <w:sz w:val="16"/>
      <w:szCs w:val="16"/>
    </w:rPr>
  </w:style>
  <w:style w:type="character" w:customStyle="1" w:styleId="SidebarSentenceChar">
    <w:name w:val="Sidebar Sentence Char"/>
    <w:basedOn w:val="BodyText3Char"/>
    <w:link w:val="SidebarSentence"/>
    <w:locked/>
    <w:rsid w:val="006A393F"/>
    <w:rPr>
      <w:rFonts w:ascii="Georgia" w:eastAsia="Calibri" w:hAnsi="Georgia" w:cs="Times New Roman"/>
      <w:bCs/>
      <w:i/>
      <w:color w:val="404040"/>
      <w:sz w:val="20"/>
      <w:szCs w:val="20"/>
    </w:rPr>
  </w:style>
  <w:style w:type="paragraph" w:customStyle="1" w:styleId="Bullet1">
    <w:name w:val="Bullet 1"/>
    <w:basedOn w:val="ListParagraph"/>
    <w:link w:val="Bullet1Char"/>
    <w:qFormat/>
    <w:rsid w:val="00225952"/>
    <w:pPr>
      <w:tabs>
        <w:tab w:val="num" w:pos="360"/>
      </w:tabs>
      <w:spacing w:after="60"/>
      <w:ind w:left="360" w:hanging="360"/>
    </w:pPr>
    <w:rPr>
      <w:rFonts w:ascii="Calibri" w:eastAsia="Calibri" w:hAnsi="Calibri" w:cs="Times New Roman"/>
      <w:sz w:val="20"/>
      <w:szCs w:val="20"/>
    </w:rPr>
  </w:style>
  <w:style w:type="paragraph" w:styleId="ListParagraph">
    <w:name w:val="List Paragraph"/>
    <w:basedOn w:val="Normal"/>
    <w:link w:val="ListParagraphChar"/>
    <w:uiPriority w:val="34"/>
    <w:qFormat/>
    <w:rsid w:val="00225952"/>
    <w:pPr>
      <w:ind w:left="720"/>
      <w:contextualSpacing/>
    </w:pPr>
  </w:style>
  <w:style w:type="character" w:customStyle="1" w:styleId="ListParagraphChar">
    <w:name w:val="List Paragraph Char"/>
    <w:basedOn w:val="DefaultParagraphFont"/>
    <w:link w:val="ListParagraph"/>
    <w:uiPriority w:val="99"/>
    <w:locked/>
    <w:rsid w:val="00225952"/>
  </w:style>
  <w:style w:type="character" w:customStyle="1" w:styleId="Bullet1Char">
    <w:name w:val="Bullet 1 Char"/>
    <w:basedOn w:val="DefaultParagraphFont"/>
    <w:link w:val="Bullet1"/>
    <w:locked/>
    <w:rsid w:val="00225952"/>
    <w:rPr>
      <w:rFonts w:ascii="Calibri" w:eastAsia="Calibri" w:hAnsi="Calibri" w:cs="Times New Roman"/>
      <w:sz w:val="20"/>
      <w:szCs w:val="20"/>
    </w:rPr>
  </w:style>
  <w:style w:type="character" w:styleId="FootnoteReference">
    <w:name w:val="footnote reference"/>
    <w:basedOn w:val="DefaultParagraphFont"/>
    <w:uiPriority w:val="99"/>
    <w:rsid w:val="00225952"/>
    <w:rPr>
      <w:rFonts w:cs="Times New Roman"/>
      <w:vertAlign w:val="superscript"/>
    </w:rPr>
  </w:style>
  <w:style w:type="paragraph" w:styleId="Quote">
    <w:name w:val="Quote"/>
    <w:basedOn w:val="Normal"/>
    <w:next w:val="Normal"/>
    <w:link w:val="QuoteChar"/>
    <w:uiPriority w:val="99"/>
    <w:qFormat/>
    <w:rsid w:val="00225952"/>
    <w:pPr>
      <w:pBdr>
        <w:top w:val="single" w:sz="12" w:space="5" w:color="B6DDE8" w:themeColor="accent5" w:themeTint="66"/>
        <w:bottom w:val="single" w:sz="12" w:space="3" w:color="B6DDE8" w:themeColor="accent5" w:themeTint="66"/>
      </w:pBdr>
      <w:spacing w:before="120" w:line="336" w:lineRule="auto"/>
      <w:ind w:left="720" w:right="720"/>
    </w:pPr>
    <w:rPr>
      <w:rFonts w:ascii="Georgia" w:eastAsia="Calibri" w:hAnsi="Georgia" w:cs="Times New Roman"/>
      <w:i/>
      <w:sz w:val="20"/>
      <w:szCs w:val="20"/>
    </w:rPr>
  </w:style>
  <w:style w:type="character" w:customStyle="1" w:styleId="QuoteChar">
    <w:name w:val="Quote Char"/>
    <w:basedOn w:val="DefaultParagraphFont"/>
    <w:link w:val="Quote"/>
    <w:uiPriority w:val="99"/>
    <w:rsid w:val="00225952"/>
    <w:rPr>
      <w:rFonts w:ascii="Georgia" w:eastAsia="Calibri" w:hAnsi="Georgia" w:cs="Times New Roman"/>
      <w:i/>
      <w:sz w:val="20"/>
      <w:szCs w:val="20"/>
    </w:rPr>
  </w:style>
  <w:style w:type="paragraph" w:customStyle="1" w:styleId="FigureNumber">
    <w:name w:val="Figure Number"/>
    <w:basedOn w:val="Normal"/>
    <w:link w:val="FigureNumberChar"/>
    <w:qFormat/>
    <w:rsid w:val="00225952"/>
    <w:pPr>
      <w:keepNext/>
      <w:keepLines/>
      <w:spacing w:before="60" w:after="60" w:line="240" w:lineRule="auto"/>
      <w:jc w:val="center"/>
    </w:pPr>
    <w:rPr>
      <w:rFonts w:ascii="Cambria" w:eastAsia="Calibri" w:hAnsi="Cambria" w:cs="Times New Roman"/>
      <w:szCs w:val="20"/>
    </w:rPr>
  </w:style>
  <w:style w:type="character" w:customStyle="1" w:styleId="FigureNumberChar">
    <w:name w:val="Figure Number Char"/>
    <w:basedOn w:val="DefaultParagraphFont"/>
    <w:link w:val="FigureNumber"/>
    <w:rsid w:val="00225952"/>
    <w:rPr>
      <w:rFonts w:ascii="Cambria" w:eastAsia="Calibri" w:hAnsi="Cambria" w:cs="Times New Roman"/>
      <w:sz w:val="23"/>
      <w:szCs w:val="20"/>
    </w:rPr>
  </w:style>
  <w:style w:type="character" w:customStyle="1" w:styleId="apple-style-span">
    <w:name w:val="apple-style-span"/>
    <w:basedOn w:val="DefaultParagraphFont"/>
    <w:uiPriority w:val="99"/>
    <w:rsid w:val="00225952"/>
  </w:style>
  <w:style w:type="paragraph" w:styleId="Footer">
    <w:name w:val="footer"/>
    <w:basedOn w:val="Normal"/>
    <w:link w:val="FooterChar"/>
    <w:uiPriority w:val="99"/>
    <w:rsid w:val="00225952"/>
    <w:pPr>
      <w:tabs>
        <w:tab w:val="center" w:pos="4320"/>
        <w:tab w:val="right" w:pos="8640"/>
      </w:tabs>
    </w:pPr>
    <w:rPr>
      <w:rFonts w:ascii="Calibri" w:eastAsia="Calibri" w:hAnsi="Calibri" w:cs="Times New Roman"/>
      <w:szCs w:val="20"/>
    </w:rPr>
  </w:style>
  <w:style w:type="character" w:customStyle="1" w:styleId="FooterChar">
    <w:name w:val="Footer Char"/>
    <w:basedOn w:val="DefaultParagraphFont"/>
    <w:link w:val="Footer"/>
    <w:uiPriority w:val="99"/>
    <w:rsid w:val="00225952"/>
    <w:rPr>
      <w:rFonts w:ascii="Calibri" w:eastAsia="Calibri" w:hAnsi="Calibri" w:cs="Times New Roman"/>
      <w:sz w:val="23"/>
      <w:szCs w:val="20"/>
    </w:rPr>
  </w:style>
  <w:style w:type="character" w:styleId="PageNumber">
    <w:name w:val="page number"/>
    <w:basedOn w:val="DefaultParagraphFont"/>
    <w:rsid w:val="00225952"/>
  </w:style>
  <w:style w:type="paragraph" w:customStyle="1" w:styleId="BulletA">
    <w:name w:val="Bullet A"/>
    <w:basedOn w:val="Normal"/>
    <w:link w:val="BulletAChar"/>
    <w:qFormat/>
    <w:rsid w:val="006A393F"/>
    <w:pPr>
      <w:spacing w:after="60" w:line="240" w:lineRule="auto"/>
      <w:ind w:left="720" w:hanging="360"/>
      <w:jc w:val="left"/>
    </w:pPr>
    <w:rPr>
      <w:rFonts w:ascii="Calibri" w:eastAsia="Calibri" w:hAnsi="Calibri" w:cs="Times New Roman"/>
      <w:szCs w:val="20"/>
    </w:rPr>
  </w:style>
  <w:style w:type="character" w:customStyle="1" w:styleId="BulletAChar">
    <w:name w:val="Bullet A Char"/>
    <w:basedOn w:val="DefaultParagraphFont"/>
    <w:link w:val="BulletA"/>
    <w:rsid w:val="006A393F"/>
    <w:rPr>
      <w:rFonts w:ascii="Calibri" w:eastAsia="Calibri" w:hAnsi="Calibri" w:cs="Times New Roman"/>
      <w:sz w:val="23"/>
      <w:szCs w:val="20"/>
    </w:rPr>
  </w:style>
  <w:style w:type="paragraph" w:styleId="BalloonText">
    <w:name w:val="Balloon Text"/>
    <w:basedOn w:val="Normal"/>
    <w:link w:val="BalloonTextChar"/>
    <w:semiHidden/>
    <w:unhideWhenUsed/>
    <w:rsid w:val="0022595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25952"/>
    <w:rPr>
      <w:rFonts w:ascii="Tahoma" w:hAnsi="Tahoma" w:cs="Tahoma"/>
      <w:sz w:val="16"/>
      <w:szCs w:val="16"/>
    </w:rPr>
  </w:style>
  <w:style w:type="paragraph" w:styleId="BodyText">
    <w:name w:val="Body Text"/>
    <w:basedOn w:val="Normal"/>
    <w:link w:val="BodyTextChar"/>
    <w:rsid w:val="00225952"/>
    <w:pPr>
      <w:spacing w:line="280" w:lineRule="exact"/>
    </w:pPr>
    <w:rPr>
      <w:rFonts w:ascii="Georgia" w:eastAsia="Calibri" w:hAnsi="Georgia" w:cs="Times New Roman"/>
      <w:szCs w:val="20"/>
    </w:rPr>
  </w:style>
  <w:style w:type="character" w:customStyle="1" w:styleId="BodyTextChar">
    <w:name w:val="Body Text Char"/>
    <w:basedOn w:val="DefaultParagraphFont"/>
    <w:link w:val="BodyText"/>
    <w:uiPriority w:val="99"/>
    <w:rsid w:val="00225952"/>
    <w:rPr>
      <w:rFonts w:ascii="Georgia" w:eastAsia="Calibri" w:hAnsi="Georgia" w:cs="Times New Roman"/>
      <w:sz w:val="23"/>
      <w:szCs w:val="20"/>
    </w:rPr>
  </w:style>
  <w:style w:type="paragraph" w:styleId="BodyText2">
    <w:name w:val="Body Text 2"/>
    <w:basedOn w:val="Normal"/>
    <w:next w:val="BodyText"/>
    <w:link w:val="BodyText2Char"/>
    <w:rsid w:val="00225952"/>
    <w:pPr>
      <w:ind w:right="288"/>
    </w:pPr>
    <w:rPr>
      <w:rFonts w:ascii="Georgia" w:eastAsia="Calibri" w:hAnsi="Georgia" w:cs="Times New Roman"/>
      <w:bCs/>
      <w:color w:val="000000"/>
      <w:sz w:val="20"/>
      <w:szCs w:val="20"/>
    </w:rPr>
  </w:style>
  <w:style w:type="character" w:customStyle="1" w:styleId="BodyText2Char">
    <w:name w:val="Body Text 2 Char"/>
    <w:basedOn w:val="DefaultParagraphFont"/>
    <w:link w:val="BodyText2"/>
    <w:rsid w:val="00225952"/>
    <w:rPr>
      <w:rFonts w:ascii="Georgia" w:eastAsia="Calibri" w:hAnsi="Georgia" w:cs="Times New Roman"/>
      <w:bCs/>
      <w:color w:val="000000"/>
      <w:sz w:val="20"/>
      <w:szCs w:val="20"/>
    </w:rPr>
  </w:style>
  <w:style w:type="paragraph" w:styleId="BodyTextIndent">
    <w:name w:val="Body Text Indent"/>
    <w:basedOn w:val="Normal"/>
    <w:link w:val="BodyTextIndentChar"/>
    <w:rsid w:val="00225952"/>
    <w:pPr>
      <w:tabs>
        <w:tab w:val="left" w:pos="-1080"/>
        <w:tab w:val="left" w:pos="-720"/>
        <w:tab w:val="left" w:pos="0"/>
        <w:tab w:val="left" w:pos="360"/>
        <w:tab w:val="left" w:pos="720"/>
        <w:tab w:val="left" w:pos="1440"/>
        <w:tab w:val="left" w:pos="1620"/>
        <w:tab w:val="left" w:pos="2160"/>
        <w:tab w:val="left" w:pos="2520"/>
        <w:tab w:val="left" w:pos="2880"/>
        <w:tab w:val="left" w:pos="3420"/>
        <w:tab w:val="left" w:pos="4320"/>
        <w:tab w:val="left" w:pos="5040"/>
        <w:tab w:val="left" w:pos="5760"/>
        <w:tab w:val="left" w:pos="6480"/>
        <w:tab w:val="left" w:pos="7200"/>
        <w:tab w:val="left" w:pos="7920"/>
        <w:tab w:val="left" w:pos="8640"/>
        <w:tab w:val="left" w:pos="9360"/>
        <w:tab w:val="left" w:pos="10080"/>
      </w:tabs>
      <w:ind w:left="2880" w:hanging="2880"/>
    </w:pPr>
    <w:rPr>
      <w:rFonts w:ascii="Calibri" w:eastAsia="Calibri" w:hAnsi="Calibri" w:cs="Times New Roman"/>
      <w:szCs w:val="20"/>
    </w:rPr>
  </w:style>
  <w:style w:type="character" w:customStyle="1" w:styleId="BodyTextIndentChar">
    <w:name w:val="Body Text Indent Char"/>
    <w:basedOn w:val="DefaultParagraphFont"/>
    <w:link w:val="BodyTextIndent"/>
    <w:uiPriority w:val="99"/>
    <w:rsid w:val="00225952"/>
    <w:rPr>
      <w:rFonts w:ascii="Calibri" w:eastAsia="Calibri" w:hAnsi="Calibri" w:cs="Times New Roman"/>
      <w:sz w:val="23"/>
      <w:szCs w:val="20"/>
    </w:rPr>
  </w:style>
  <w:style w:type="paragraph" w:styleId="BodyTextIndent2">
    <w:name w:val="Body Text Indent 2"/>
    <w:basedOn w:val="Normal"/>
    <w:link w:val="BodyTextIndent2Char"/>
    <w:rsid w:val="00225952"/>
    <w:pPr>
      <w:spacing w:after="120" w:line="480" w:lineRule="auto"/>
      <w:ind w:left="360"/>
    </w:pPr>
    <w:rPr>
      <w:rFonts w:ascii="Times New Roman" w:eastAsia="Calibri" w:hAnsi="Times New Roman" w:cs="Times New Roman"/>
      <w:sz w:val="24"/>
      <w:szCs w:val="20"/>
    </w:rPr>
  </w:style>
  <w:style w:type="character" w:customStyle="1" w:styleId="BodyTextIndent2Char">
    <w:name w:val="Body Text Indent 2 Char"/>
    <w:basedOn w:val="DefaultParagraphFont"/>
    <w:link w:val="BodyTextIndent2"/>
    <w:uiPriority w:val="99"/>
    <w:rsid w:val="00225952"/>
    <w:rPr>
      <w:rFonts w:ascii="Times New Roman" w:eastAsia="Calibri" w:hAnsi="Times New Roman" w:cs="Times New Roman"/>
      <w:sz w:val="24"/>
      <w:szCs w:val="20"/>
    </w:rPr>
  </w:style>
  <w:style w:type="paragraph" w:styleId="Subtitle">
    <w:name w:val="Subtitle"/>
    <w:basedOn w:val="Normal"/>
    <w:link w:val="SubtitleChar"/>
    <w:qFormat/>
    <w:rsid w:val="00225952"/>
    <w:pPr>
      <w:jc w:val="right"/>
    </w:pPr>
    <w:rPr>
      <w:rFonts w:ascii="Calibri" w:eastAsia="Calibri" w:hAnsi="Calibri" w:cs="Times New Roman"/>
      <w:b/>
      <w:bCs/>
      <w:sz w:val="20"/>
      <w:szCs w:val="20"/>
    </w:rPr>
  </w:style>
  <w:style w:type="character" w:customStyle="1" w:styleId="SubtitleChar">
    <w:name w:val="Subtitle Char"/>
    <w:basedOn w:val="DefaultParagraphFont"/>
    <w:link w:val="Subtitle"/>
    <w:uiPriority w:val="99"/>
    <w:rsid w:val="00225952"/>
    <w:rPr>
      <w:rFonts w:ascii="Calibri" w:eastAsia="Calibri" w:hAnsi="Calibri" w:cs="Times New Roman"/>
      <w:b/>
      <w:bCs/>
      <w:sz w:val="20"/>
      <w:szCs w:val="20"/>
    </w:rPr>
  </w:style>
  <w:style w:type="paragraph" w:styleId="Caption">
    <w:name w:val="caption"/>
    <w:basedOn w:val="Normal"/>
    <w:next w:val="Normal"/>
    <w:qFormat/>
    <w:rsid w:val="00225952"/>
    <w:pPr>
      <w:keepNext/>
      <w:widowControl w:val="0"/>
      <w:autoSpaceDE w:val="0"/>
      <w:autoSpaceDN w:val="0"/>
      <w:adjustRightInd w:val="0"/>
    </w:pPr>
    <w:rPr>
      <w:rFonts w:ascii="Calibri" w:eastAsia="Calibri" w:hAnsi="Calibri" w:cs="Arial"/>
      <w:b/>
      <w:bCs/>
    </w:rPr>
  </w:style>
  <w:style w:type="paragraph" w:styleId="BodyTextIndent3">
    <w:name w:val="Body Text Indent 3"/>
    <w:basedOn w:val="Normal"/>
    <w:link w:val="BodyTextIndent3Char"/>
    <w:rsid w:val="00225952"/>
    <w:pPr>
      <w:ind w:left="472"/>
    </w:pPr>
    <w:rPr>
      <w:rFonts w:ascii="Calibri" w:eastAsia="Calibri" w:hAnsi="Calibri" w:cs="Times New Roman"/>
      <w:szCs w:val="20"/>
    </w:rPr>
  </w:style>
  <w:style w:type="character" w:customStyle="1" w:styleId="BodyTextIndent3Char">
    <w:name w:val="Body Text Indent 3 Char"/>
    <w:basedOn w:val="DefaultParagraphFont"/>
    <w:link w:val="BodyTextIndent3"/>
    <w:uiPriority w:val="99"/>
    <w:rsid w:val="00225952"/>
    <w:rPr>
      <w:rFonts w:ascii="Calibri" w:eastAsia="Calibri" w:hAnsi="Calibri" w:cs="Times New Roman"/>
      <w:sz w:val="23"/>
      <w:szCs w:val="20"/>
    </w:rPr>
  </w:style>
  <w:style w:type="paragraph" w:styleId="BodyTextFirstIndent">
    <w:name w:val="Body Text First Indent"/>
    <w:basedOn w:val="BodyText"/>
    <w:link w:val="BodyTextFirstIndentChar"/>
    <w:rsid w:val="00225952"/>
    <w:pPr>
      <w:spacing w:after="120"/>
      <w:ind w:firstLine="210"/>
      <w:jc w:val="left"/>
    </w:pPr>
  </w:style>
  <w:style w:type="character" w:customStyle="1" w:styleId="BodyTextFirstIndentChar">
    <w:name w:val="Body Text First Indent Char"/>
    <w:basedOn w:val="BodyTextChar"/>
    <w:link w:val="BodyTextFirstIndent"/>
    <w:uiPriority w:val="99"/>
    <w:rsid w:val="00225952"/>
  </w:style>
  <w:style w:type="paragraph" w:styleId="BodyTextFirstIndent2">
    <w:name w:val="Body Text First Indent 2"/>
    <w:basedOn w:val="BodyTextIndent"/>
    <w:link w:val="BodyTextFirstIndent2Char"/>
    <w:rsid w:val="00225952"/>
    <w:pPr>
      <w:tabs>
        <w:tab w:val="clear" w:pos="-1080"/>
        <w:tab w:val="clear" w:pos="-720"/>
        <w:tab w:val="clear" w:pos="0"/>
        <w:tab w:val="clear" w:pos="360"/>
        <w:tab w:val="clear" w:pos="720"/>
        <w:tab w:val="clear" w:pos="1440"/>
        <w:tab w:val="clear" w:pos="1620"/>
        <w:tab w:val="clear" w:pos="2160"/>
        <w:tab w:val="clear" w:pos="2520"/>
        <w:tab w:val="clear" w:pos="2880"/>
        <w:tab w:val="clear" w:pos="3420"/>
        <w:tab w:val="clear" w:pos="4320"/>
        <w:tab w:val="clear" w:pos="5040"/>
        <w:tab w:val="clear" w:pos="5760"/>
        <w:tab w:val="clear" w:pos="6480"/>
        <w:tab w:val="clear" w:pos="7200"/>
        <w:tab w:val="clear" w:pos="7920"/>
        <w:tab w:val="clear" w:pos="8640"/>
        <w:tab w:val="clear" w:pos="9360"/>
        <w:tab w:val="clear" w:pos="10080"/>
      </w:tabs>
      <w:spacing w:after="120"/>
      <w:ind w:left="360" w:firstLine="210"/>
    </w:pPr>
  </w:style>
  <w:style w:type="character" w:customStyle="1" w:styleId="BodyTextFirstIndent2Char">
    <w:name w:val="Body Text First Indent 2 Char"/>
    <w:basedOn w:val="BodyTextIndentChar"/>
    <w:link w:val="BodyTextFirstIndent2"/>
    <w:uiPriority w:val="99"/>
    <w:rsid w:val="00225952"/>
  </w:style>
  <w:style w:type="paragraph" w:styleId="Date">
    <w:name w:val="Date"/>
    <w:basedOn w:val="Normal"/>
    <w:next w:val="Normal"/>
    <w:link w:val="DateChar"/>
    <w:rsid w:val="00225952"/>
    <w:rPr>
      <w:rFonts w:ascii="Calibri" w:eastAsia="Calibri" w:hAnsi="Calibri" w:cs="Times New Roman"/>
      <w:szCs w:val="20"/>
    </w:rPr>
  </w:style>
  <w:style w:type="character" w:customStyle="1" w:styleId="DateChar">
    <w:name w:val="Date Char"/>
    <w:basedOn w:val="DefaultParagraphFont"/>
    <w:link w:val="Date"/>
    <w:uiPriority w:val="99"/>
    <w:rsid w:val="00225952"/>
    <w:rPr>
      <w:rFonts w:ascii="Calibri" w:eastAsia="Calibri" w:hAnsi="Calibri" w:cs="Times New Roman"/>
      <w:sz w:val="23"/>
      <w:szCs w:val="20"/>
    </w:rPr>
  </w:style>
  <w:style w:type="paragraph" w:styleId="HTMLAddress">
    <w:name w:val="HTML Address"/>
    <w:basedOn w:val="Normal"/>
    <w:link w:val="HTMLAddressChar"/>
    <w:rsid w:val="00225952"/>
    <w:rPr>
      <w:rFonts w:ascii="Calibri" w:eastAsia="Calibri" w:hAnsi="Calibri" w:cs="Times New Roman"/>
      <w:i/>
      <w:iCs/>
      <w:szCs w:val="20"/>
    </w:rPr>
  </w:style>
  <w:style w:type="character" w:customStyle="1" w:styleId="HTMLAddressChar">
    <w:name w:val="HTML Address Char"/>
    <w:basedOn w:val="DefaultParagraphFont"/>
    <w:link w:val="HTMLAddress"/>
    <w:uiPriority w:val="99"/>
    <w:rsid w:val="00225952"/>
    <w:rPr>
      <w:rFonts w:ascii="Calibri" w:eastAsia="Calibri" w:hAnsi="Calibri" w:cs="Times New Roman"/>
      <w:i/>
      <w:iCs/>
      <w:sz w:val="23"/>
      <w:szCs w:val="20"/>
    </w:rPr>
  </w:style>
  <w:style w:type="paragraph" w:styleId="HTMLPreformatted">
    <w:name w:val="HTML Preformatted"/>
    <w:basedOn w:val="Normal"/>
    <w:link w:val="HTMLPreformattedChar"/>
    <w:rsid w:val="00225952"/>
    <w:rPr>
      <w:rFonts w:ascii="Courier New" w:eastAsia="Calibri" w:hAnsi="Courier New" w:cs="Courier New"/>
      <w:sz w:val="20"/>
      <w:szCs w:val="20"/>
    </w:rPr>
  </w:style>
  <w:style w:type="character" w:customStyle="1" w:styleId="HTMLPreformattedChar">
    <w:name w:val="HTML Preformatted Char"/>
    <w:basedOn w:val="DefaultParagraphFont"/>
    <w:link w:val="HTMLPreformatted"/>
    <w:uiPriority w:val="99"/>
    <w:rsid w:val="00225952"/>
    <w:rPr>
      <w:rFonts w:ascii="Courier New" w:eastAsia="Calibri" w:hAnsi="Courier New" w:cs="Courier New"/>
      <w:sz w:val="20"/>
      <w:szCs w:val="20"/>
    </w:rPr>
  </w:style>
  <w:style w:type="paragraph" w:styleId="NormalIndent">
    <w:name w:val="Normal Indent"/>
    <w:basedOn w:val="Normal"/>
    <w:rsid w:val="00225952"/>
    <w:pPr>
      <w:ind w:left="720"/>
    </w:pPr>
    <w:rPr>
      <w:rFonts w:ascii="Calibri" w:eastAsia="Calibri" w:hAnsi="Calibri" w:cs="Times New Roman"/>
      <w:szCs w:val="20"/>
    </w:rPr>
  </w:style>
  <w:style w:type="paragraph" w:customStyle="1" w:styleId="Figurenumber0">
    <w:name w:val="Figure number"/>
    <w:basedOn w:val="BodyText"/>
    <w:rsid w:val="00225952"/>
    <w:pPr>
      <w:jc w:val="center"/>
    </w:pPr>
  </w:style>
  <w:style w:type="paragraph" w:customStyle="1" w:styleId="Figuretitle0">
    <w:name w:val="Figure title"/>
    <w:basedOn w:val="Figurenumber0"/>
    <w:rsid w:val="00225952"/>
    <w:rPr>
      <w:b/>
      <w:caps/>
    </w:rPr>
  </w:style>
  <w:style w:type="character" w:styleId="FollowedHyperlink">
    <w:name w:val="FollowedHyperlink"/>
    <w:basedOn w:val="DefaultParagraphFont"/>
    <w:rsid w:val="00225952"/>
    <w:rPr>
      <w:rFonts w:cs="Times New Roman"/>
      <w:color w:val="800080"/>
      <w:u w:val="single"/>
    </w:rPr>
  </w:style>
  <w:style w:type="paragraph" w:customStyle="1" w:styleId="bullet">
    <w:name w:val="bullet"/>
    <w:basedOn w:val="BodyText"/>
    <w:rsid w:val="00225952"/>
    <w:pPr>
      <w:tabs>
        <w:tab w:val="num" w:pos="720"/>
      </w:tabs>
      <w:ind w:left="720" w:hanging="360"/>
      <w:jc w:val="left"/>
    </w:pPr>
  </w:style>
  <w:style w:type="paragraph" w:customStyle="1" w:styleId="spacer">
    <w:name w:val="spacer"/>
    <w:basedOn w:val="BodyText"/>
    <w:rsid w:val="00225952"/>
    <w:pPr>
      <w:tabs>
        <w:tab w:val="left" w:pos="360"/>
        <w:tab w:val="left" w:pos="1440"/>
        <w:tab w:val="left" w:pos="2880"/>
        <w:tab w:val="left" w:pos="3600"/>
      </w:tabs>
      <w:spacing w:line="100" w:lineRule="exact"/>
    </w:pPr>
    <w:rPr>
      <w:sz w:val="16"/>
    </w:rPr>
  </w:style>
  <w:style w:type="paragraph" w:styleId="BlockText">
    <w:name w:val="Block Text"/>
    <w:basedOn w:val="Normal"/>
    <w:rsid w:val="00225952"/>
    <w:pPr>
      <w:spacing w:after="120"/>
      <w:ind w:left="1440" w:right="1440"/>
    </w:pPr>
    <w:rPr>
      <w:rFonts w:ascii="Calibri" w:eastAsia="Calibri" w:hAnsi="Calibri" w:cs="Times New Roman"/>
      <w:szCs w:val="20"/>
    </w:rPr>
  </w:style>
  <w:style w:type="paragraph" w:styleId="Closing">
    <w:name w:val="Closing"/>
    <w:basedOn w:val="Normal"/>
    <w:link w:val="ClosingChar"/>
    <w:rsid w:val="00225952"/>
    <w:pPr>
      <w:ind w:left="4320"/>
    </w:pPr>
    <w:rPr>
      <w:rFonts w:ascii="Calibri" w:eastAsia="Calibri" w:hAnsi="Calibri" w:cs="Times New Roman"/>
      <w:szCs w:val="20"/>
    </w:rPr>
  </w:style>
  <w:style w:type="character" w:customStyle="1" w:styleId="ClosingChar">
    <w:name w:val="Closing Char"/>
    <w:basedOn w:val="DefaultParagraphFont"/>
    <w:link w:val="Closing"/>
    <w:uiPriority w:val="99"/>
    <w:rsid w:val="00225952"/>
    <w:rPr>
      <w:rFonts w:ascii="Calibri" w:eastAsia="Calibri" w:hAnsi="Calibri" w:cs="Times New Roman"/>
      <w:sz w:val="23"/>
      <w:szCs w:val="20"/>
    </w:rPr>
  </w:style>
  <w:style w:type="paragraph" w:styleId="CommentText">
    <w:name w:val="annotation text"/>
    <w:basedOn w:val="Normal"/>
    <w:link w:val="CommentTextChar"/>
    <w:semiHidden/>
    <w:rsid w:val="00225952"/>
    <w:rPr>
      <w:rFonts w:ascii="Calibri" w:eastAsia="Calibri" w:hAnsi="Calibri" w:cs="Times New Roman"/>
      <w:sz w:val="20"/>
      <w:szCs w:val="20"/>
    </w:rPr>
  </w:style>
  <w:style w:type="character" w:customStyle="1" w:styleId="CommentTextChar">
    <w:name w:val="Comment Text Char"/>
    <w:basedOn w:val="DefaultParagraphFont"/>
    <w:link w:val="CommentText"/>
    <w:semiHidden/>
    <w:rsid w:val="00225952"/>
    <w:rPr>
      <w:rFonts w:ascii="Calibri" w:eastAsia="Calibri" w:hAnsi="Calibri" w:cs="Times New Roman"/>
      <w:sz w:val="20"/>
      <w:szCs w:val="20"/>
    </w:rPr>
  </w:style>
  <w:style w:type="character" w:customStyle="1" w:styleId="DocumentMapChar">
    <w:name w:val="Document Map Char"/>
    <w:uiPriority w:val="99"/>
    <w:semiHidden/>
    <w:locked/>
    <w:rsid w:val="00225952"/>
    <w:rPr>
      <w:rFonts w:ascii="Tahoma" w:hAnsi="Tahoma"/>
      <w:sz w:val="20"/>
      <w:shd w:val="clear" w:color="auto" w:fill="000080"/>
    </w:rPr>
  </w:style>
  <w:style w:type="paragraph" w:styleId="DocumentMap">
    <w:name w:val="Document Map"/>
    <w:basedOn w:val="Normal"/>
    <w:link w:val="DocumentMapChar1"/>
    <w:semiHidden/>
    <w:rsid w:val="00225952"/>
    <w:pPr>
      <w:shd w:val="clear" w:color="auto" w:fill="000080"/>
    </w:pPr>
    <w:rPr>
      <w:rFonts w:ascii="Tahoma" w:eastAsia="Times New Roman" w:hAnsi="Tahoma" w:cs="Times New Roman"/>
      <w:sz w:val="20"/>
      <w:szCs w:val="20"/>
    </w:rPr>
  </w:style>
  <w:style w:type="character" w:customStyle="1" w:styleId="DocumentMapChar1">
    <w:name w:val="Document Map Char1"/>
    <w:basedOn w:val="DefaultParagraphFont"/>
    <w:link w:val="DocumentMap"/>
    <w:uiPriority w:val="99"/>
    <w:semiHidden/>
    <w:rsid w:val="00225952"/>
    <w:rPr>
      <w:rFonts w:ascii="Tahoma" w:eastAsia="Times New Roman" w:hAnsi="Tahoma" w:cs="Times New Roman"/>
      <w:sz w:val="20"/>
      <w:szCs w:val="20"/>
      <w:shd w:val="clear" w:color="auto" w:fill="000080"/>
    </w:rPr>
  </w:style>
  <w:style w:type="paragraph" w:styleId="E-mailSignature">
    <w:name w:val="E-mail Signature"/>
    <w:basedOn w:val="Normal"/>
    <w:link w:val="E-mailSignatureChar"/>
    <w:rsid w:val="00225952"/>
    <w:rPr>
      <w:rFonts w:ascii="Calibri" w:eastAsia="Calibri" w:hAnsi="Calibri" w:cs="Times New Roman"/>
      <w:szCs w:val="20"/>
    </w:rPr>
  </w:style>
  <w:style w:type="character" w:customStyle="1" w:styleId="E-mailSignatureChar">
    <w:name w:val="E-mail Signature Char"/>
    <w:basedOn w:val="DefaultParagraphFont"/>
    <w:link w:val="E-mailSignature"/>
    <w:uiPriority w:val="99"/>
    <w:rsid w:val="00225952"/>
    <w:rPr>
      <w:rFonts w:ascii="Calibri" w:eastAsia="Calibri" w:hAnsi="Calibri" w:cs="Times New Roman"/>
      <w:sz w:val="23"/>
      <w:szCs w:val="20"/>
    </w:rPr>
  </w:style>
  <w:style w:type="character" w:customStyle="1" w:styleId="EndnoteTextChar">
    <w:name w:val="Endnote Text Char"/>
    <w:uiPriority w:val="99"/>
    <w:semiHidden/>
    <w:locked/>
    <w:rsid w:val="00225952"/>
    <w:rPr>
      <w:rFonts w:ascii="Calibri" w:hAnsi="Calibri"/>
      <w:sz w:val="20"/>
    </w:rPr>
  </w:style>
  <w:style w:type="paragraph" w:styleId="EndnoteText">
    <w:name w:val="endnote text"/>
    <w:basedOn w:val="Normal"/>
    <w:link w:val="EndnoteTextChar1"/>
    <w:semiHidden/>
    <w:rsid w:val="00225952"/>
    <w:rPr>
      <w:rFonts w:ascii="Calibri" w:eastAsia="Times New Roman" w:hAnsi="Calibri" w:cs="Times New Roman"/>
      <w:sz w:val="20"/>
      <w:szCs w:val="20"/>
    </w:rPr>
  </w:style>
  <w:style w:type="character" w:customStyle="1" w:styleId="EndnoteTextChar1">
    <w:name w:val="Endnote Text Char1"/>
    <w:basedOn w:val="DefaultParagraphFont"/>
    <w:link w:val="EndnoteText"/>
    <w:uiPriority w:val="99"/>
    <w:semiHidden/>
    <w:rsid w:val="00225952"/>
    <w:rPr>
      <w:rFonts w:ascii="Calibri" w:eastAsia="Times New Roman" w:hAnsi="Calibri" w:cs="Times New Roman"/>
      <w:sz w:val="20"/>
      <w:szCs w:val="20"/>
    </w:rPr>
  </w:style>
  <w:style w:type="paragraph" w:styleId="EnvelopeAddress">
    <w:name w:val="envelope address"/>
    <w:basedOn w:val="Normal"/>
    <w:rsid w:val="00225952"/>
    <w:pPr>
      <w:framePr w:w="7920" w:h="1980" w:hRule="exact" w:hSpace="180" w:wrap="auto" w:hAnchor="page" w:xAlign="center" w:yAlign="bottom"/>
      <w:ind w:left="2880"/>
    </w:pPr>
    <w:rPr>
      <w:rFonts w:ascii="Calibri" w:eastAsia="Calibri" w:hAnsi="Calibri" w:cs="Arial"/>
      <w:sz w:val="24"/>
      <w:szCs w:val="24"/>
    </w:rPr>
  </w:style>
  <w:style w:type="paragraph" w:styleId="EnvelopeReturn">
    <w:name w:val="envelope return"/>
    <w:basedOn w:val="Normal"/>
    <w:rsid w:val="00225952"/>
    <w:rPr>
      <w:rFonts w:ascii="Calibri" w:eastAsia="Calibri" w:hAnsi="Calibri" w:cs="Arial"/>
      <w:sz w:val="20"/>
      <w:szCs w:val="20"/>
    </w:rPr>
  </w:style>
  <w:style w:type="paragraph" w:styleId="Index1">
    <w:name w:val="index 1"/>
    <w:basedOn w:val="Normal"/>
    <w:next w:val="Normal"/>
    <w:autoRedefine/>
    <w:semiHidden/>
    <w:rsid w:val="00225952"/>
    <w:pPr>
      <w:ind w:left="220" w:hanging="220"/>
    </w:pPr>
    <w:rPr>
      <w:rFonts w:ascii="Calibri" w:eastAsia="Calibri" w:hAnsi="Calibri" w:cs="Times New Roman"/>
      <w:szCs w:val="20"/>
    </w:rPr>
  </w:style>
  <w:style w:type="paragraph" w:styleId="List">
    <w:name w:val="List"/>
    <w:basedOn w:val="Normal"/>
    <w:rsid w:val="00225952"/>
    <w:pPr>
      <w:ind w:left="360" w:hanging="360"/>
    </w:pPr>
    <w:rPr>
      <w:rFonts w:ascii="Calibri" w:eastAsia="Calibri" w:hAnsi="Calibri" w:cs="Times New Roman"/>
      <w:szCs w:val="20"/>
    </w:rPr>
  </w:style>
  <w:style w:type="paragraph" w:styleId="List2">
    <w:name w:val="List 2"/>
    <w:basedOn w:val="Normal"/>
    <w:rsid w:val="00225952"/>
    <w:pPr>
      <w:ind w:left="720" w:hanging="360"/>
    </w:pPr>
    <w:rPr>
      <w:rFonts w:ascii="Calibri" w:eastAsia="Calibri" w:hAnsi="Calibri" w:cs="Times New Roman"/>
      <w:szCs w:val="20"/>
    </w:rPr>
  </w:style>
  <w:style w:type="paragraph" w:styleId="List3">
    <w:name w:val="List 3"/>
    <w:basedOn w:val="Normal"/>
    <w:rsid w:val="00225952"/>
    <w:pPr>
      <w:ind w:left="1080" w:hanging="360"/>
    </w:pPr>
    <w:rPr>
      <w:rFonts w:ascii="Calibri" w:eastAsia="Calibri" w:hAnsi="Calibri" w:cs="Times New Roman"/>
      <w:szCs w:val="20"/>
    </w:rPr>
  </w:style>
  <w:style w:type="paragraph" w:styleId="List4">
    <w:name w:val="List 4"/>
    <w:basedOn w:val="Normal"/>
    <w:rsid w:val="00225952"/>
    <w:pPr>
      <w:ind w:left="1440" w:hanging="360"/>
    </w:pPr>
    <w:rPr>
      <w:rFonts w:ascii="Calibri" w:eastAsia="Calibri" w:hAnsi="Calibri" w:cs="Times New Roman"/>
      <w:szCs w:val="20"/>
    </w:rPr>
  </w:style>
  <w:style w:type="paragraph" w:styleId="List5">
    <w:name w:val="List 5"/>
    <w:basedOn w:val="Normal"/>
    <w:rsid w:val="00225952"/>
    <w:pPr>
      <w:ind w:left="1800" w:hanging="360"/>
    </w:pPr>
    <w:rPr>
      <w:rFonts w:ascii="Calibri" w:eastAsia="Calibri" w:hAnsi="Calibri" w:cs="Times New Roman"/>
      <w:szCs w:val="20"/>
    </w:rPr>
  </w:style>
  <w:style w:type="paragraph" w:styleId="ListBullet">
    <w:name w:val="List Bullet"/>
    <w:basedOn w:val="Normal"/>
    <w:autoRedefine/>
    <w:rsid w:val="00225952"/>
    <w:pPr>
      <w:tabs>
        <w:tab w:val="num" w:pos="360"/>
      </w:tabs>
      <w:ind w:left="360" w:hanging="360"/>
    </w:pPr>
    <w:rPr>
      <w:rFonts w:ascii="Calibri" w:eastAsia="Calibri" w:hAnsi="Calibri" w:cs="Times New Roman"/>
      <w:szCs w:val="20"/>
    </w:rPr>
  </w:style>
  <w:style w:type="paragraph" w:styleId="ListBullet2">
    <w:name w:val="List Bullet 2"/>
    <w:basedOn w:val="Normal"/>
    <w:autoRedefine/>
    <w:rsid w:val="00225952"/>
    <w:pPr>
      <w:tabs>
        <w:tab w:val="num" w:pos="720"/>
      </w:tabs>
      <w:ind w:left="720" w:hanging="360"/>
    </w:pPr>
    <w:rPr>
      <w:rFonts w:ascii="Calibri" w:eastAsia="Calibri" w:hAnsi="Calibri" w:cs="Times New Roman"/>
      <w:szCs w:val="20"/>
    </w:rPr>
  </w:style>
  <w:style w:type="paragraph" w:styleId="ListBullet3">
    <w:name w:val="List Bullet 3"/>
    <w:basedOn w:val="Normal"/>
    <w:autoRedefine/>
    <w:rsid w:val="00225952"/>
    <w:pPr>
      <w:tabs>
        <w:tab w:val="num" w:pos="1080"/>
      </w:tabs>
      <w:ind w:left="1080" w:hanging="360"/>
    </w:pPr>
    <w:rPr>
      <w:rFonts w:ascii="Calibri" w:eastAsia="Calibri" w:hAnsi="Calibri" w:cs="Times New Roman"/>
      <w:szCs w:val="20"/>
    </w:rPr>
  </w:style>
  <w:style w:type="paragraph" w:styleId="ListBullet4">
    <w:name w:val="List Bullet 4"/>
    <w:basedOn w:val="Normal"/>
    <w:autoRedefine/>
    <w:rsid w:val="00225952"/>
    <w:pPr>
      <w:tabs>
        <w:tab w:val="num" w:pos="1440"/>
      </w:tabs>
      <w:ind w:left="1440" w:hanging="360"/>
    </w:pPr>
    <w:rPr>
      <w:rFonts w:ascii="Calibri" w:eastAsia="Calibri" w:hAnsi="Calibri" w:cs="Times New Roman"/>
      <w:szCs w:val="20"/>
    </w:rPr>
  </w:style>
  <w:style w:type="paragraph" w:styleId="ListBullet5">
    <w:name w:val="List Bullet 5"/>
    <w:basedOn w:val="Normal"/>
    <w:autoRedefine/>
    <w:rsid w:val="00225952"/>
    <w:pPr>
      <w:tabs>
        <w:tab w:val="num" w:pos="1800"/>
      </w:tabs>
      <w:ind w:left="1800" w:hanging="360"/>
    </w:pPr>
    <w:rPr>
      <w:rFonts w:ascii="Calibri" w:eastAsia="Calibri" w:hAnsi="Calibri" w:cs="Times New Roman"/>
      <w:szCs w:val="20"/>
    </w:rPr>
  </w:style>
  <w:style w:type="paragraph" w:styleId="ListContinue">
    <w:name w:val="List Continue"/>
    <w:basedOn w:val="Normal"/>
    <w:rsid w:val="00225952"/>
    <w:pPr>
      <w:spacing w:after="120"/>
      <w:ind w:left="360"/>
    </w:pPr>
    <w:rPr>
      <w:rFonts w:ascii="Calibri" w:eastAsia="Calibri" w:hAnsi="Calibri" w:cs="Times New Roman"/>
      <w:szCs w:val="20"/>
    </w:rPr>
  </w:style>
  <w:style w:type="paragraph" w:styleId="ListContinue2">
    <w:name w:val="List Continue 2"/>
    <w:basedOn w:val="Normal"/>
    <w:rsid w:val="00225952"/>
    <w:pPr>
      <w:spacing w:after="120"/>
      <w:ind w:left="720"/>
    </w:pPr>
    <w:rPr>
      <w:rFonts w:ascii="Calibri" w:eastAsia="Calibri" w:hAnsi="Calibri" w:cs="Times New Roman"/>
      <w:szCs w:val="20"/>
    </w:rPr>
  </w:style>
  <w:style w:type="paragraph" w:styleId="ListContinue3">
    <w:name w:val="List Continue 3"/>
    <w:basedOn w:val="Normal"/>
    <w:rsid w:val="00225952"/>
    <w:pPr>
      <w:spacing w:after="120"/>
      <w:ind w:left="1080"/>
    </w:pPr>
    <w:rPr>
      <w:rFonts w:ascii="Calibri" w:eastAsia="Calibri" w:hAnsi="Calibri" w:cs="Times New Roman"/>
      <w:szCs w:val="20"/>
    </w:rPr>
  </w:style>
  <w:style w:type="paragraph" w:styleId="ListContinue4">
    <w:name w:val="List Continue 4"/>
    <w:basedOn w:val="Normal"/>
    <w:rsid w:val="00225952"/>
    <w:pPr>
      <w:spacing w:after="120"/>
      <w:ind w:left="1440"/>
    </w:pPr>
    <w:rPr>
      <w:rFonts w:ascii="Calibri" w:eastAsia="Calibri" w:hAnsi="Calibri" w:cs="Times New Roman"/>
      <w:szCs w:val="20"/>
    </w:rPr>
  </w:style>
  <w:style w:type="paragraph" w:styleId="ListContinue5">
    <w:name w:val="List Continue 5"/>
    <w:basedOn w:val="Normal"/>
    <w:rsid w:val="00225952"/>
    <w:pPr>
      <w:spacing w:after="120"/>
      <w:ind w:left="1800"/>
    </w:pPr>
    <w:rPr>
      <w:rFonts w:ascii="Calibri" w:eastAsia="Calibri" w:hAnsi="Calibri" w:cs="Times New Roman"/>
      <w:szCs w:val="20"/>
    </w:rPr>
  </w:style>
  <w:style w:type="paragraph" w:styleId="ListNumber">
    <w:name w:val="List Number"/>
    <w:basedOn w:val="Normal"/>
    <w:rsid w:val="00225952"/>
    <w:pPr>
      <w:tabs>
        <w:tab w:val="num" w:pos="360"/>
      </w:tabs>
      <w:ind w:left="360" w:hanging="360"/>
    </w:pPr>
    <w:rPr>
      <w:rFonts w:ascii="Calibri" w:eastAsia="Calibri" w:hAnsi="Calibri" w:cs="Times New Roman"/>
      <w:szCs w:val="20"/>
    </w:rPr>
  </w:style>
  <w:style w:type="paragraph" w:styleId="ListNumber2">
    <w:name w:val="List Number 2"/>
    <w:basedOn w:val="Normal"/>
    <w:rsid w:val="00225952"/>
    <w:pPr>
      <w:tabs>
        <w:tab w:val="num" w:pos="720"/>
      </w:tabs>
      <w:ind w:left="720" w:hanging="360"/>
    </w:pPr>
    <w:rPr>
      <w:rFonts w:ascii="Calibri" w:eastAsia="Calibri" w:hAnsi="Calibri" w:cs="Times New Roman"/>
      <w:szCs w:val="20"/>
    </w:rPr>
  </w:style>
  <w:style w:type="paragraph" w:styleId="ListNumber3">
    <w:name w:val="List Number 3"/>
    <w:basedOn w:val="Normal"/>
    <w:rsid w:val="00225952"/>
    <w:pPr>
      <w:tabs>
        <w:tab w:val="num" w:pos="1080"/>
      </w:tabs>
      <w:ind w:left="1080" w:hanging="360"/>
    </w:pPr>
    <w:rPr>
      <w:rFonts w:ascii="Calibri" w:eastAsia="Calibri" w:hAnsi="Calibri" w:cs="Times New Roman"/>
      <w:szCs w:val="20"/>
    </w:rPr>
  </w:style>
  <w:style w:type="paragraph" w:styleId="ListNumber4">
    <w:name w:val="List Number 4"/>
    <w:basedOn w:val="Normal"/>
    <w:rsid w:val="00225952"/>
    <w:pPr>
      <w:tabs>
        <w:tab w:val="num" w:pos="1440"/>
      </w:tabs>
      <w:ind w:left="1440" w:hanging="360"/>
    </w:pPr>
    <w:rPr>
      <w:rFonts w:ascii="Calibri" w:eastAsia="Calibri" w:hAnsi="Calibri" w:cs="Times New Roman"/>
      <w:szCs w:val="20"/>
    </w:rPr>
  </w:style>
  <w:style w:type="paragraph" w:styleId="ListNumber5">
    <w:name w:val="List Number 5"/>
    <w:basedOn w:val="Normal"/>
    <w:rsid w:val="00225952"/>
    <w:pPr>
      <w:tabs>
        <w:tab w:val="num" w:pos="1800"/>
      </w:tabs>
      <w:ind w:left="1800" w:hanging="360"/>
    </w:pPr>
    <w:rPr>
      <w:rFonts w:ascii="Calibri" w:eastAsia="Calibri" w:hAnsi="Calibri" w:cs="Times New Roman"/>
      <w:szCs w:val="20"/>
    </w:rPr>
  </w:style>
  <w:style w:type="paragraph" w:styleId="MacroText">
    <w:name w:val="macro"/>
    <w:link w:val="MacroTextChar"/>
    <w:semiHidden/>
    <w:rsid w:val="00225952"/>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urier New" w:eastAsia="Times New Roman" w:hAnsi="Courier New" w:cs="Courier New"/>
      <w:sz w:val="20"/>
      <w:szCs w:val="20"/>
    </w:rPr>
  </w:style>
  <w:style w:type="character" w:customStyle="1" w:styleId="MacroTextChar">
    <w:name w:val="Macro Text Char"/>
    <w:basedOn w:val="DefaultParagraphFont"/>
    <w:link w:val="MacroText"/>
    <w:uiPriority w:val="99"/>
    <w:semiHidden/>
    <w:rsid w:val="00225952"/>
    <w:rPr>
      <w:rFonts w:ascii="Courier New" w:eastAsia="Times New Roman" w:hAnsi="Courier New" w:cs="Courier New"/>
      <w:sz w:val="20"/>
      <w:szCs w:val="20"/>
    </w:rPr>
  </w:style>
  <w:style w:type="paragraph" w:styleId="MessageHeader">
    <w:name w:val="Message Header"/>
    <w:basedOn w:val="Normal"/>
    <w:link w:val="MessageHeaderChar"/>
    <w:rsid w:val="00225952"/>
    <w:pPr>
      <w:pBdr>
        <w:top w:val="single" w:sz="6" w:space="1" w:color="auto"/>
        <w:left w:val="single" w:sz="6" w:space="1" w:color="auto"/>
        <w:bottom w:val="single" w:sz="6" w:space="1" w:color="auto"/>
        <w:right w:val="single" w:sz="6" w:space="1" w:color="auto"/>
      </w:pBdr>
      <w:shd w:val="pct20" w:color="auto" w:fill="auto"/>
      <w:ind w:left="1080" w:hanging="1080"/>
    </w:pPr>
    <w:rPr>
      <w:rFonts w:ascii="Calibri" w:eastAsia="Calibri" w:hAnsi="Calibri" w:cs="Arial"/>
      <w:sz w:val="24"/>
      <w:szCs w:val="24"/>
    </w:rPr>
  </w:style>
  <w:style w:type="character" w:customStyle="1" w:styleId="MessageHeaderChar">
    <w:name w:val="Message Header Char"/>
    <w:basedOn w:val="DefaultParagraphFont"/>
    <w:link w:val="MessageHeader"/>
    <w:uiPriority w:val="99"/>
    <w:rsid w:val="00225952"/>
    <w:rPr>
      <w:rFonts w:ascii="Calibri" w:eastAsia="Calibri" w:hAnsi="Calibri" w:cs="Arial"/>
      <w:sz w:val="24"/>
      <w:szCs w:val="24"/>
      <w:shd w:val="pct20" w:color="auto" w:fill="auto"/>
    </w:rPr>
  </w:style>
  <w:style w:type="paragraph" w:styleId="NormalWeb">
    <w:name w:val="Normal (Web)"/>
    <w:basedOn w:val="Normal"/>
    <w:uiPriority w:val="99"/>
    <w:rsid w:val="00225952"/>
    <w:rPr>
      <w:rFonts w:ascii="Times New Roman" w:eastAsia="Calibri" w:hAnsi="Times New Roman" w:cs="Times New Roman"/>
      <w:sz w:val="24"/>
      <w:szCs w:val="24"/>
    </w:rPr>
  </w:style>
  <w:style w:type="paragraph" w:styleId="NoteHeading">
    <w:name w:val="Note Heading"/>
    <w:basedOn w:val="Normal"/>
    <w:next w:val="Normal"/>
    <w:link w:val="NoteHeadingChar"/>
    <w:rsid w:val="00225952"/>
    <w:rPr>
      <w:rFonts w:ascii="Calibri" w:eastAsia="Calibri" w:hAnsi="Calibri" w:cs="Times New Roman"/>
      <w:szCs w:val="20"/>
    </w:rPr>
  </w:style>
  <w:style w:type="character" w:customStyle="1" w:styleId="NoteHeadingChar">
    <w:name w:val="Note Heading Char"/>
    <w:basedOn w:val="DefaultParagraphFont"/>
    <w:link w:val="NoteHeading"/>
    <w:uiPriority w:val="99"/>
    <w:rsid w:val="00225952"/>
    <w:rPr>
      <w:rFonts w:ascii="Calibri" w:eastAsia="Calibri" w:hAnsi="Calibri" w:cs="Times New Roman"/>
      <w:sz w:val="23"/>
      <w:szCs w:val="20"/>
    </w:rPr>
  </w:style>
  <w:style w:type="paragraph" w:styleId="PlainText">
    <w:name w:val="Plain Text"/>
    <w:basedOn w:val="Normal"/>
    <w:link w:val="PlainTextChar"/>
    <w:rsid w:val="00225952"/>
    <w:rPr>
      <w:rFonts w:ascii="Courier New" w:eastAsia="Calibri" w:hAnsi="Courier New" w:cs="Courier New"/>
      <w:sz w:val="20"/>
      <w:szCs w:val="20"/>
    </w:rPr>
  </w:style>
  <w:style w:type="character" w:customStyle="1" w:styleId="PlainTextChar">
    <w:name w:val="Plain Text Char"/>
    <w:basedOn w:val="DefaultParagraphFont"/>
    <w:link w:val="PlainText"/>
    <w:uiPriority w:val="99"/>
    <w:rsid w:val="00225952"/>
    <w:rPr>
      <w:rFonts w:ascii="Courier New" w:eastAsia="Calibri" w:hAnsi="Courier New" w:cs="Courier New"/>
      <w:sz w:val="20"/>
      <w:szCs w:val="20"/>
    </w:rPr>
  </w:style>
  <w:style w:type="paragraph" w:styleId="Salutation">
    <w:name w:val="Salutation"/>
    <w:basedOn w:val="Normal"/>
    <w:next w:val="Normal"/>
    <w:link w:val="SalutationChar"/>
    <w:rsid w:val="00225952"/>
    <w:rPr>
      <w:rFonts w:ascii="Calibri" w:eastAsia="Calibri" w:hAnsi="Calibri" w:cs="Times New Roman"/>
      <w:szCs w:val="20"/>
    </w:rPr>
  </w:style>
  <w:style w:type="character" w:customStyle="1" w:styleId="SalutationChar">
    <w:name w:val="Salutation Char"/>
    <w:basedOn w:val="DefaultParagraphFont"/>
    <w:link w:val="Salutation"/>
    <w:uiPriority w:val="99"/>
    <w:rsid w:val="00225952"/>
    <w:rPr>
      <w:rFonts w:ascii="Calibri" w:eastAsia="Calibri" w:hAnsi="Calibri" w:cs="Times New Roman"/>
      <w:sz w:val="23"/>
      <w:szCs w:val="20"/>
    </w:rPr>
  </w:style>
  <w:style w:type="paragraph" w:styleId="Signature">
    <w:name w:val="Signature"/>
    <w:basedOn w:val="Normal"/>
    <w:link w:val="SignatureChar"/>
    <w:rsid w:val="00225952"/>
    <w:pPr>
      <w:ind w:left="4320"/>
    </w:pPr>
    <w:rPr>
      <w:rFonts w:ascii="Calibri" w:eastAsia="Calibri" w:hAnsi="Calibri" w:cs="Times New Roman"/>
      <w:szCs w:val="20"/>
    </w:rPr>
  </w:style>
  <w:style w:type="character" w:customStyle="1" w:styleId="SignatureChar">
    <w:name w:val="Signature Char"/>
    <w:basedOn w:val="DefaultParagraphFont"/>
    <w:link w:val="Signature"/>
    <w:uiPriority w:val="99"/>
    <w:rsid w:val="00225952"/>
    <w:rPr>
      <w:rFonts w:ascii="Calibri" w:eastAsia="Calibri" w:hAnsi="Calibri" w:cs="Times New Roman"/>
      <w:sz w:val="23"/>
      <w:szCs w:val="20"/>
    </w:rPr>
  </w:style>
  <w:style w:type="paragraph" w:styleId="Title">
    <w:name w:val="Title"/>
    <w:basedOn w:val="Normal"/>
    <w:link w:val="TitleChar"/>
    <w:qFormat/>
    <w:rsid w:val="00225952"/>
    <w:pPr>
      <w:spacing w:before="240" w:after="60"/>
      <w:jc w:val="center"/>
      <w:outlineLvl w:val="0"/>
    </w:pPr>
    <w:rPr>
      <w:rFonts w:ascii="Calibri" w:eastAsia="Calibri" w:hAnsi="Calibri" w:cs="Arial"/>
      <w:b/>
      <w:bCs/>
      <w:kern w:val="28"/>
      <w:sz w:val="32"/>
      <w:szCs w:val="32"/>
    </w:rPr>
  </w:style>
  <w:style w:type="character" w:customStyle="1" w:styleId="TitleChar">
    <w:name w:val="Title Char"/>
    <w:basedOn w:val="DefaultParagraphFont"/>
    <w:link w:val="Title"/>
    <w:uiPriority w:val="99"/>
    <w:rsid w:val="00225952"/>
    <w:rPr>
      <w:rFonts w:ascii="Calibri" w:eastAsia="Calibri" w:hAnsi="Calibri" w:cs="Arial"/>
      <w:b/>
      <w:bCs/>
      <w:kern w:val="28"/>
      <w:sz w:val="32"/>
      <w:szCs w:val="32"/>
    </w:rPr>
  </w:style>
  <w:style w:type="paragraph" w:styleId="TOC1">
    <w:name w:val="toc 1"/>
    <w:basedOn w:val="Normal"/>
    <w:next w:val="Normal"/>
    <w:autoRedefine/>
    <w:uiPriority w:val="39"/>
    <w:qFormat/>
    <w:rsid w:val="00F77AF3"/>
    <w:pPr>
      <w:tabs>
        <w:tab w:val="left" w:pos="540"/>
        <w:tab w:val="left" w:pos="900"/>
        <w:tab w:val="right" w:leader="dot" w:pos="10070"/>
      </w:tabs>
      <w:spacing w:before="120" w:after="0"/>
    </w:pPr>
    <w:rPr>
      <w:rFonts w:ascii="Calibri" w:eastAsia="Calibri" w:hAnsi="Calibri" w:cs="Times New Roman"/>
      <w:b/>
      <w:noProof/>
      <w:szCs w:val="20"/>
    </w:rPr>
  </w:style>
  <w:style w:type="paragraph" w:styleId="TOC2">
    <w:name w:val="toc 2"/>
    <w:basedOn w:val="Normal"/>
    <w:next w:val="Normal"/>
    <w:autoRedefine/>
    <w:uiPriority w:val="39"/>
    <w:qFormat/>
    <w:rsid w:val="00BC5DF5"/>
    <w:pPr>
      <w:tabs>
        <w:tab w:val="right" w:leader="dot" w:pos="10070"/>
      </w:tabs>
      <w:spacing w:after="0"/>
      <w:ind w:left="720"/>
    </w:pPr>
    <w:rPr>
      <w:rFonts w:ascii="Calibri" w:eastAsia="Calibri" w:hAnsi="Calibri" w:cs="Times New Roman"/>
      <w:b/>
      <w:noProof/>
      <w:szCs w:val="20"/>
    </w:rPr>
  </w:style>
  <w:style w:type="paragraph" w:styleId="TOC3">
    <w:name w:val="toc 3"/>
    <w:basedOn w:val="Normal"/>
    <w:next w:val="Normal"/>
    <w:autoRedefine/>
    <w:uiPriority w:val="39"/>
    <w:qFormat/>
    <w:rsid w:val="009A5DBF"/>
    <w:pPr>
      <w:tabs>
        <w:tab w:val="left" w:pos="360"/>
        <w:tab w:val="right" w:leader="dot" w:pos="10070"/>
      </w:tabs>
      <w:spacing w:after="20"/>
      <w:ind w:left="1152"/>
    </w:pPr>
    <w:rPr>
      <w:rFonts w:ascii="Calibri" w:eastAsia="Calibri" w:hAnsi="Calibri" w:cs="Times New Roman"/>
      <w:noProof/>
      <w:szCs w:val="20"/>
    </w:rPr>
  </w:style>
  <w:style w:type="paragraph" w:styleId="TOC4">
    <w:name w:val="toc 4"/>
    <w:basedOn w:val="Normal"/>
    <w:next w:val="Normal"/>
    <w:autoRedefine/>
    <w:uiPriority w:val="39"/>
    <w:rsid w:val="00225952"/>
    <w:pPr>
      <w:ind w:left="660"/>
    </w:pPr>
    <w:rPr>
      <w:rFonts w:ascii="Calibri" w:eastAsia="Calibri" w:hAnsi="Calibri" w:cs="Times New Roman"/>
      <w:szCs w:val="20"/>
    </w:rPr>
  </w:style>
  <w:style w:type="paragraph" w:styleId="TOC5">
    <w:name w:val="toc 5"/>
    <w:basedOn w:val="Normal"/>
    <w:next w:val="Normal"/>
    <w:autoRedefine/>
    <w:uiPriority w:val="39"/>
    <w:rsid w:val="00225952"/>
    <w:pPr>
      <w:ind w:left="880"/>
    </w:pPr>
    <w:rPr>
      <w:rFonts w:ascii="Calibri" w:eastAsia="Calibri" w:hAnsi="Calibri" w:cs="Times New Roman"/>
      <w:szCs w:val="20"/>
    </w:rPr>
  </w:style>
  <w:style w:type="paragraph" w:styleId="TOC6">
    <w:name w:val="toc 6"/>
    <w:basedOn w:val="Normal"/>
    <w:next w:val="Normal"/>
    <w:autoRedefine/>
    <w:uiPriority w:val="39"/>
    <w:rsid w:val="00225952"/>
    <w:pPr>
      <w:ind w:left="1100"/>
    </w:pPr>
    <w:rPr>
      <w:rFonts w:ascii="Calibri" w:eastAsia="Calibri" w:hAnsi="Calibri" w:cs="Times New Roman"/>
      <w:szCs w:val="20"/>
    </w:rPr>
  </w:style>
  <w:style w:type="paragraph" w:styleId="TOC7">
    <w:name w:val="toc 7"/>
    <w:basedOn w:val="Normal"/>
    <w:next w:val="Normal"/>
    <w:autoRedefine/>
    <w:uiPriority w:val="39"/>
    <w:rsid w:val="00225952"/>
    <w:pPr>
      <w:ind w:left="1320"/>
    </w:pPr>
    <w:rPr>
      <w:rFonts w:ascii="Calibri" w:eastAsia="Calibri" w:hAnsi="Calibri" w:cs="Times New Roman"/>
      <w:szCs w:val="20"/>
    </w:rPr>
  </w:style>
  <w:style w:type="paragraph" w:styleId="TOC8">
    <w:name w:val="toc 8"/>
    <w:basedOn w:val="Normal"/>
    <w:next w:val="Normal"/>
    <w:autoRedefine/>
    <w:uiPriority w:val="39"/>
    <w:rsid w:val="00225952"/>
    <w:pPr>
      <w:ind w:left="1540"/>
    </w:pPr>
    <w:rPr>
      <w:rFonts w:ascii="Calibri" w:eastAsia="Calibri" w:hAnsi="Calibri" w:cs="Times New Roman"/>
      <w:szCs w:val="20"/>
    </w:rPr>
  </w:style>
  <w:style w:type="paragraph" w:styleId="TOC9">
    <w:name w:val="toc 9"/>
    <w:basedOn w:val="Normal"/>
    <w:next w:val="Normal"/>
    <w:autoRedefine/>
    <w:uiPriority w:val="39"/>
    <w:rsid w:val="00225952"/>
    <w:pPr>
      <w:ind w:left="1760"/>
    </w:pPr>
    <w:rPr>
      <w:rFonts w:ascii="Calibri" w:eastAsia="Calibri" w:hAnsi="Calibri" w:cs="Times New Roman"/>
      <w:szCs w:val="20"/>
    </w:rPr>
  </w:style>
  <w:style w:type="paragraph" w:customStyle="1" w:styleId="TOC">
    <w:name w:val="TOC"/>
    <w:basedOn w:val="Normal"/>
    <w:rsid w:val="00225952"/>
    <w:pPr>
      <w:tabs>
        <w:tab w:val="left" w:pos="1440"/>
        <w:tab w:val="right" w:leader="dot" w:pos="9360"/>
      </w:tabs>
      <w:ind w:left="900"/>
    </w:pPr>
    <w:rPr>
      <w:rFonts w:ascii="Calibri" w:eastAsia="Calibri" w:hAnsi="Calibri" w:cs="Times New Roman"/>
      <w:bCs/>
      <w:szCs w:val="20"/>
    </w:rPr>
  </w:style>
  <w:style w:type="character" w:styleId="CommentReference">
    <w:name w:val="annotation reference"/>
    <w:basedOn w:val="DefaultParagraphFont"/>
    <w:uiPriority w:val="99"/>
    <w:rsid w:val="00225952"/>
    <w:rPr>
      <w:rFonts w:cs="Times New Roman"/>
      <w:sz w:val="16"/>
      <w:szCs w:val="16"/>
    </w:rPr>
  </w:style>
  <w:style w:type="paragraph" w:styleId="CommentSubject">
    <w:name w:val="annotation subject"/>
    <w:basedOn w:val="CommentText"/>
    <w:next w:val="CommentText"/>
    <w:link w:val="CommentSubjectChar"/>
    <w:rsid w:val="00225952"/>
    <w:rPr>
      <w:b/>
      <w:bCs/>
    </w:rPr>
  </w:style>
  <w:style w:type="character" w:customStyle="1" w:styleId="CommentSubjectChar">
    <w:name w:val="Comment Subject Char"/>
    <w:basedOn w:val="CommentTextChar"/>
    <w:link w:val="CommentSubject"/>
    <w:rsid w:val="00225952"/>
    <w:rPr>
      <w:b/>
      <w:bCs/>
    </w:rPr>
  </w:style>
  <w:style w:type="paragraph" w:styleId="Revision">
    <w:name w:val="Revision"/>
    <w:hidden/>
    <w:uiPriority w:val="99"/>
    <w:semiHidden/>
    <w:rsid w:val="00225952"/>
    <w:pPr>
      <w:spacing w:after="0" w:line="240" w:lineRule="auto"/>
    </w:pPr>
    <w:rPr>
      <w:rFonts w:ascii="Arial" w:eastAsia="Calibri" w:hAnsi="Arial" w:cs="Times New Roman"/>
      <w:szCs w:val="20"/>
    </w:rPr>
  </w:style>
  <w:style w:type="paragraph" w:styleId="NoSpacing">
    <w:name w:val="No Spacing"/>
    <w:link w:val="NoSpacingChar"/>
    <w:uiPriority w:val="1"/>
    <w:qFormat/>
    <w:rsid w:val="00225952"/>
    <w:pPr>
      <w:spacing w:after="0" w:line="240" w:lineRule="auto"/>
    </w:pPr>
    <w:rPr>
      <w:rFonts w:ascii="Calibri" w:eastAsia="Calibri" w:hAnsi="Calibri" w:cs="Times New Roman"/>
    </w:rPr>
  </w:style>
  <w:style w:type="character" w:customStyle="1" w:styleId="NoSpacingChar">
    <w:name w:val="No Spacing Char"/>
    <w:basedOn w:val="DefaultParagraphFont"/>
    <w:link w:val="NoSpacing"/>
    <w:uiPriority w:val="1"/>
    <w:locked/>
    <w:rsid w:val="00225952"/>
    <w:rPr>
      <w:rFonts w:ascii="Calibri" w:eastAsia="Calibri" w:hAnsi="Calibri" w:cs="Times New Roman"/>
    </w:rPr>
  </w:style>
  <w:style w:type="character" w:styleId="IntenseReference">
    <w:name w:val="Intense Reference"/>
    <w:basedOn w:val="DefaultParagraphFont"/>
    <w:uiPriority w:val="32"/>
    <w:qFormat/>
    <w:rsid w:val="00225952"/>
    <w:rPr>
      <w:rFonts w:cs="Times New Roman"/>
      <w:b/>
      <w:bCs/>
      <w:smallCaps/>
      <w:color w:val="C0504D"/>
      <w:spacing w:val="5"/>
      <w:u w:val="single"/>
    </w:rPr>
  </w:style>
  <w:style w:type="paragraph" w:customStyle="1" w:styleId="TermGlossary">
    <w:name w:val="Term Glossary"/>
    <w:basedOn w:val="Normal"/>
    <w:link w:val="TermGlossaryChar"/>
    <w:qFormat/>
    <w:rsid w:val="00EF4A91"/>
    <w:pPr>
      <w:spacing w:after="80" w:line="240" w:lineRule="auto"/>
      <w:jc w:val="right"/>
    </w:pPr>
    <w:rPr>
      <w:rFonts w:ascii="Calibri" w:eastAsia="Calibri" w:hAnsi="Calibri" w:cs="Times New Roman"/>
      <w:sz w:val="24"/>
      <w:szCs w:val="24"/>
    </w:rPr>
  </w:style>
  <w:style w:type="character" w:customStyle="1" w:styleId="TermGlossaryChar">
    <w:name w:val="Term Glossary Char"/>
    <w:basedOn w:val="DefaultParagraphFont"/>
    <w:link w:val="TermGlossary"/>
    <w:locked/>
    <w:rsid w:val="00EF4A91"/>
    <w:rPr>
      <w:rFonts w:ascii="Calibri" w:eastAsia="Calibri" w:hAnsi="Calibri" w:cs="Times New Roman"/>
      <w:sz w:val="24"/>
      <w:szCs w:val="24"/>
    </w:rPr>
  </w:style>
  <w:style w:type="character" w:styleId="BookTitle">
    <w:name w:val="Book Title"/>
    <w:basedOn w:val="DefaultParagraphFont"/>
    <w:uiPriority w:val="33"/>
    <w:qFormat/>
    <w:rsid w:val="00225952"/>
    <w:rPr>
      <w:rFonts w:cs="Times New Roman"/>
      <w:b/>
      <w:bCs/>
      <w:smallCaps/>
      <w:spacing w:val="5"/>
    </w:rPr>
  </w:style>
  <w:style w:type="character" w:styleId="SubtleEmphasis">
    <w:name w:val="Subtle Emphasis"/>
    <w:basedOn w:val="DefaultParagraphFont"/>
    <w:uiPriority w:val="19"/>
    <w:qFormat/>
    <w:rsid w:val="00225952"/>
    <w:rPr>
      <w:rFonts w:cs="Times New Roman"/>
      <w:i/>
      <w:iCs/>
      <w:color w:val="808080"/>
    </w:rPr>
  </w:style>
  <w:style w:type="paragraph" w:customStyle="1" w:styleId="Equation">
    <w:name w:val="Equation="/>
    <w:basedOn w:val="Normal"/>
    <w:link w:val="EquationChar"/>
    <w:qFormat/>
    <w:rsid w:val="00225952"/>
    <w:pPr>
      <w:tabs>
        <w:tab w:val="left" w:pos="1465"/>
        <w:tab w:val="left" w:pos="1735"/>
      </w:tabs>
      <w:spacing w:after="60"/>
      <w:ind w:left="720"/>
    </w:pPr>
    <w:rPr>
      <w:rFonts w:ascii="Times New Roman" w:eastAsia="Calibri" w:hAnsi="Times New Roman" w:cs="Times New Roman"/>
      <w:sz w:val="24"/>
      <w:szCs w:val="24"/>
    </w:rPr>
  </w:style>
  <w:style w:type="character" w:customStyle="1" w:styleId="EquationChar">
    <w:name w:val="Equation= Char"/>
    <w:basedOn w:val="DefaultParagraphFont"/>
    <w:link w:val="Equation"/>
    <w:locked/>
    <w:rsid w:val="00225952"/>
    <w:rPr>
      <w:rFonts w:ascii="Times New Roman" w:eastAsia="Calibri" w:hAnsi="Times New Roman" w:cs="Times New Roman"/>
      <w:sz w:val="24"/>
      <w:szCs w:val="24"/>
    </w:rPr>
  </w:style>
  <w:style w:type="table" w:customStyle="1" w:styleId="LightShading-Accent11">
    <w:name w:val="Light Shading - Accent 11"/>
    <w:uiPriority w:val="60"/>
    <w:rsid w:val="00225952"/>
    <w:pPr>
      <w:spacing w:after="0" w:line="240" w:lineRule="auto"/>
    </w:pPr>
    <w:rPr>
      <w:rFonts w:ascii="Times New Roman" w:eastAsia="Times New Roman" w:hAnsi="Times New Roman" w:cs="Times New Roman"/>
      <w:color w:val="365F91"/>
      <w:sz w:val="20"/>
      <w:szCs w:val="2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paragraph" w:customStyle="1" w:styleId="TableCenter3">
    <w:name w:val="Table Center +3"/>
    <w:basedOn w:val="Normal"/>
    <w:link w:val="TableCenter3Char"/>
    <w:qFormat/>
    <w:rsid w:val="00225952"/>
    <w:pPr>
      <w:spacing w:before="60" w:after="60"/>
      <w:jc w:val="center"/>
    </w:pPr>
    <w:rPr>
      <w:rFonts w:ascii="Calibri" w:eastAsia="Calibri" w:hAnsi="Calibri" w:cs="Times New Roman"/>
      <w:color w:val="365F91"/>
      <w:sz w:val="24"/>
      <w:szCs w:val="24"/>
    </w:rPr>
  </w:style>
  <w:style w:type="character" w:customStyle="1" w:styleId="TableCenter3Char">
    <w:name w:val="Table Center +3 Char"/>
    <w:basedOn w:val="DefaultParagraphFont"/>
    <w:link w:val="TableCenter3"/>
    <w:locked/>
    <w:rsid w:val="00225952"/>
    <w:rPr>
      <w:rFonts w:ascii="Calibri" w:eastAsia="Calibri" w:hAnsi="Calibri" w:cs="Times New Roman"/>
      <w:color w:val="365F91"/>
      <w:sz w:val="24"/>
      <w:szCs w:val="24"/>
    </w:rPr>
  </w:style>
  <w:style w:type="character" w:styleId="Emphasis">
    <w:name w:val="Emphasis"/>
    <w:basedOn w:val="DefaultParagraphFont"/>
    <w:uiPriority w:val="20"/>
    <w:qFormat/>
    <w:rsid w:val="00225952"/>
    <w:rPr>
      <w:rFonts w:cs="Times New Roman"/>
      <w:i/>
      <w:iCs/>
    </w:rPr>
  </w:style>
  <w:style w:type="paragraph" w:customStyle="1" w:styleId="TIHBullet">
    <w:name w:val="TIH_Bullet"/>
    <w:link w:val="TIHBulletChar"/>
    <w:uiPriority w:val="99"/>
    <w:rsid w:val="00225952"/>
    <w:pPr>
      <w:tabs>
        <w:tab w:val="num" w:pos="720"/>
      </w:tabs>
      <w:spacing w:after="120" w:line="240" w:lineRule="auto"/>
      <w:ind w:left="720" w:hanging="360"/>
      <w:jc w:val="both"/>
    </w:pPr>
    <w:rPr>
      <w:rFonts w:ascii="Book Antiqua" w:eastAsia="Times New Roman" w:hAnsi="Book Antiqua" w:cs="Times New Roman"/>
      <w:sz w:val="24"/>
      <w:szCs w:val="24"/>
    </w:rPr>
  </w:style>
  <w:style w:type="character" w:customStyle="1" w:styleId="TIHBulletChar">
    <w:name w:val="TIH_Bullet Char"/>
    <w:basedOn w:val="DefaultParagraphFont"/>
    <w:link w:val="TIHBullet"/>
    <w:uiPriority w:val="99"/>
    <w:locked/>
    <w:rsid w:val="00225952"/>
    <w:rPr>
      <w:rFonts w:ascii="Book Antiqua" w:eastAsia="Times New Roman" w:hAnsi="Book Antiqua" w:cs="Times New Roman"/>
      <w:sz w:val="24"/>
      <w:szCs w:val="24"/>
    </w:rPr>
  </w:style>
  <w:style w:type="paragraph" w:customStyle="1" w:styleId="StyleCalibriJustifiedLinespacingDouble">
    <w:name w:val="Style Calibri Justified Line spacing:  Double"/>
    <w:basedOn w:val="Normal"/>
    <w:uiPriority w:val="99"/>
    <w:rsid w:val="00225952"/>
    <w:pPr>
      <w:spacing w:before="200" w:line="480" w:lineRule="auto"/>
    </w:pPr>
    <w:rPr>
      <w:rFonts w:ascii="Calibri" w:eastAsia="Calibri" w:hAnsi="Calibri" w:cs="Times New Roman"/>
      <w:sz w:val="24"/>
      <w:szCs w:val="20"/>
    </w:rPr>
  </w:style>
  <w:style w:type="paragraph" w:customStyle="1" w:styleId="StyleLinespacingDouble">
    <w:name w:val="Style Line spacing:  Double"/>
    <w:basedOn w:val="Normal"/>
    <w:uiPriority w:val="99"/>
    <w:rsid w:val="00225952"/>
    <w:pPr>
      <w:spacing w:before="200"/>
    </w:pPr>
    <w:rPr>
      <w:rFonts w:ascii="Calibri" w:eastAsia="Calibri" w:hAnsi="Calibri" w:cs="Times New Roman"/>
      <w:sz w:val="24"/>
      <w:szCs w:val="20"/>
    </w:rPr>
  </w:style>
  <w:style w:type="paragraph" w:customStyle="1" w:styleId="Normal11pt">
    <w:name w:val="Normal + 11 pt"/>
    <w:aliases w:val="Bold,Italic,Dark Red,Justified,Line spacing:  Double,Normal + Book Antiqua,9.5 pt,First line:  0.25&quot;"/>
    <w:basedOn w:val="Normal"/>
    <w:uiPriority w:val="99"/>
    <w:rsid w:val="00225952"/>
    <w:pPr>
      <w:autoSpaceDE w:val="0"/>
      <w:autoSpaceDN w:val="0"/>
      <w:adjustRightInd w:val="0"/>
      <w:spacing w:before="200" w:line="480" w:lineRule="auto"/>
    </w:pPr>
    <w:rPr>
      <w:rFonts w:ascii="Calibri" w:eastAsia="Calibri" w:hAnsi="Calibri" w:cs="Times New Roman"/>
      <w:b/>
      <w:sz w:val="24"/>
      <w:szCs w:val="24"/>
      <w:u w:val="single"/>
    </w:rPr>
  </w:style>
  <w:style w:type="paragraph" w:customStyle="1" w:styleId="QuoteInsert">
    <w:name w:val="Quote Insert"/>
    <w:basedOn w:val="Normal"/>
    <w:link w:val="QuoteInsertChar"/>
    <w:uiPriority w:val="99"/>
    <w:rsid w:val="00225952"/>
    <w:pPr>
      <w:pBdr>
        <w:top w:val="single" w:sz="24" w:space="1" w:color="FFC000"/>
        <w:bottom w:val="single" w:sz="24" w:space="1" w:color="FFC000"/>
      </w:pBdr>
      <w:ind w:right="1440"/>
    </w:pPr>
    <w:rPr>
      <w:rFonts w:ascii="Times New Roman" w:eastAsia="Calibri" w:hAnsi="Times New Roman" w:cs="Times New Roman"/>
      <w:szCs w:val="20"/>
    </w:rPr>
  </w:style>
  <w:style w:type="character" w:customStyle="1" w:styleId="QuoteInsertChar">
    <w:name w:val="Quote Insert Char"/>
    <w:basedOn w:val="DefaultParagraphFont"/>
    <w:link w:val="QuoteInsert"/>
    <w:uiPriority w:val="99"/>
    <w:locked/>
    <w:rsid w:val="00225952"/>
    <w:rPr>
      <w:rFonts w:ascii="Times New Roman" w:eastAsia="Calibri" w:hAnsi="Times New Roman" w:cs="Times New Roman"/>
      <w:sz w:val="23"/>
      <w:szCs w:val="20"/>
    </w:rPr>
  </w:style>
  <w:style w:type="paragraph" w:customStyle="1" w:styleId="BULLETS">
    <w:name w:val="BULLETS"/>
    <w:basedOn w:val="Normal"/>
    <w:uiPriority w:val="99"/>
    <w:rsid w:val="00225952"/>
    <w:pPr>
      <w:tabs>
        <w:tab w:val="num" w:pos="1440"/>
      </w:tabs>
      <w:spacing w:before="200"/>
      <w:ind w:left="1800" w:hanging="360"/>
    </w:pPr>
    <w:rPr>
      <w:rFonts w:ascii="Calibri" w:eastAsia="Calibri" w:hAnsi="Calibri" w:cs="Times New Roman"/>
      <w:sz w:val="24"/>
      <w:szCs w:val="24"/>
    </w:rPr>
  </w:style>
  <w:style w:type="paragraph" w:styleId="TOCHeading">
    <w:name w:val="TOC Heading"/>
    <w:basedOn w:val="Heading1"/>
    <w:next w:val="Normal"/>
    <w:uiPriority w:val="39"/>
    <w:qFormat/>
    <w:rsid w:val="00225952"/>
    <w:pPr>
      <w:keepLines/>
      <w:pBdr>
        <w:top w:val="none" w:sz="0" w:space="0" w:color="auto"/>
      </w:pBdr>
      <w:spacing w:before="480" w:after="0"/>
      <w:jc w:val="left"/>
      <w:outlineLvl w:val="9"/>
    </w:pPr>
    <w:rPr>
      <w:rFonts w:ascii="Cambria" w:hAnsi="Cambria"/>
      <w:color w:val="365F91"/>
      <w:sz w:val="28"/>
      <w:szCs w:val="28"/>
    </w:rPr>
  </w:style>
  <w:style w:type="paragraph" w:customStyle="1" w:styleId="bullet10">
    <w:name w:val="bullet 10"/>
    <w:basedOn w:val="TIHBullet"/>
    <w:link w:val="bullet10Char"/>
    <w:uiPriority w:val="99"/>
    <w:rsid w:val="00225952"/>
    <w:pPr>
      <w:tabs>
        <w:tab w:val="clear" w:pos="720"/>
        <w:tab w:val="num" w:pos="360"/>
      </w:tabs>
      <w:ind w:left="360"/>
    </w:pPr>
  </w:style>
  <w:style w:type="character" w:customStyle="1" w:styleId="bullet10Char">
    <w:name w:val="bullet 10 Char"/>
    <w:basedOn w:val="TIHBulletChar"/>
    <w:link w:val="bullet10"/>
    <w:uiPriority w:val="99"/>
    <w:locked/>
    <w:rsid w:val="00225952"/>
  </w:style>
  <w:style w:type="paragraph" w:customStyle="1" w:styleId="SidebarHead">
    <w:name w:val="Sidebar Head"/>
    <w:basedOn w:val="Normal"/>
    <w:uiPriority w:val="99"/>
    <w:rsid w:val="00225952"/>
    <w:pPr>
      <w:tabs>
        <w:tab w:val="num" w:pos="720"/>
        <w:tab w:val="num" w:pos="1440"/>
      </w:tabs>
      <w:spacing w:after="120" w:line="240" w:lineRule="auto"/>
      <w:ind w:left="720" w:hanging="360"/>
    </w:pPr>
    <w:rPr>
      <w:rFonts w:ascii="Book Antiqua" w:eastAsia="Calibri" w:hAnsi="Book Antiqua" w:cs="Times New Roman"/>
      <w:sz w:val="19"/>
      <w:szCs w:val="24"/>
    </w:rPr>
  </w:style>
  <w:style w:type="paragraph" w:customStyle="1" w:styleId="TIHNumbered">
    <w:name w:val="TIH_Numbered"/>
    <w:uiPriority w:val="99"/>
    <w:rsid w:val="00225952"/>
    <w:pPr>
      <w:tabs>
        <w:tab w:val="left" w:pos="432"/>
        <w:tab w:val="num" w:pos="1080"/>
      </w:tabs>
      <w:spacing w:after="120" w:line="240" w:lineRule="auto"/>
      <w:ind w:left="1080" w:hanging="360"/>
    </w:pPr>
    <w:rPr>
      <w:rFonts w:ascii="Book Antiqua" w:eastAsia="Calibri" w:hAnsi="Book Antiqua" w:cs="Times New Roman"/>
      <w:sz w:val="19"/>
      <w:szCs w:val="24"/>
    </w:rPr>
  </w:style>
  <w:style w:type="paragraph" w:customStyle="1" w:styleId="TIHBullet2">
    <w:name w:val="TIH_Bullet 2"/>
    <w:basedOn w:val="Normal"/>
    <w:uiPriority w:val="99"/>
    <w:rsid w:val="00225952"/>
    <w:pPr>
      <w:tabs>
        <w:tab w:val="num" w:pos="720"/>
      </w:tabs>
      <w:spacing w:after="120" w:line="240" w:lineRule="auto"/>
      <w:ind w:left="720" w:hanging="360"/>
    </w:pPr>
    <w:rPr>
      <w:rFonts w:ascii="Book Antiqua" w:eastAsia="Calibri" w:hAnsi="Book Antiqua" w:cs="Times New Roman"/>
      <w:sz w:val="19"/>
      <w:szCs w:val="24"/>
    </w:rPr>
  </w:style>
  <w:style w:type="paragraph" w:customStyle="1" w:styleId="NormalBold">
    <w:name w:val="Normal + Bold"/>
    <w:aliases w:val="Underline"/>
    <w:basedOn w:val="Normal"/>
    <w:uiPriority w:val="99"/>
    <w:rsid w:val="00225952"/>
    <w:pPr>
      <w:spacing w:after="0" w:line="240" w:lineRule="auto"/>
    </w:pPr>
    <w:rPr>
      <w:rFonts w:ascii="Times New Roman" w:eastAsia="Calibri" w:hAnsi="Times New Roman" w:cs="Times New Roman"/>
      <w:b/>
      <w:sz w:val="24"/>
      <w:szCs w:val="24"/>
      <w:u w:val="single"/>
    </w:rPr>
  </w:style>
  <w:style w:type="paragraph" w:customStyle="1" w:styleId="NormalAfter0pt">
    <w:name w:val="Normal + After:  0 pt"/>
    <w:basedOn w:val="Normal"/>
    <w:uiPriority w:val="99"/>
    <w:rsid w:val="00225952"/>
    <w:pPr>
      <w:autoSpaceDE w:val="0"/>
      <w:autoSpaceDN w:val="0"/>
      <w:adjustRightInd w:val="0"/>
      <w:spacing w:after="0" w:line="240" w:lineRule="auto"/>
      <w:ind w:firstLine="360"/>
    </w:pPr>
    <w:rPr>
      <w:rFonts w:ascii="BookAntiqua" w:eastAsia="Calibri" w:hAnsi="BookAntiqua" w:cs="BookAntiqua"/>
      <w:sz w:val="19"/>
      <w:szCs w:val="19"/>
    </w:rPr>
  </w:style>
  <w:style w:type="paragraph" w:customStyle="1" w:styleId="NormalFirstline0">
    <w:name w:val="Normal + First line:  0&quot;"/>
    <w:basedOn w:val="Normal"/>
    <w:uiPriority w:val="99"/>
    <w:rsid w:val="00225952"/>
    <w:pPr>
      <w:spacing w:after="120" w:line="240" w:lineRule="auto"/>
      <w:ind w:firstLine="360"/>
    </w:pPr>
    <w:rPr>
      <w:rFonts w:ascii="Book Antiqua" w:eastAsia="Calibri" w:hAnsi="Book Antiqua" w:cs="Times New Roman"/>
      <w:sz w:val="19"/>
      <w:szCs w:val="24"/>
    </w:rPr>
  </w:style>
  <w:style w:type="paragraph" w:customStyle="1" w:styleId="AHeading1">
    <w:name w:val="AHeading 1"/>
    <w:next w:val="Normal"/>
    <w:link w:val="AHeading1Char"/>
    <w:uiPriority w:val="99"/>
    <w:rsid w:val="00225952"/>
    <w:pPr>
      <w:keepNext/>
      <w:pageBreakBefore/>
      <w:spacing w:after="120" w:line="240" w:lineRule="auto"/>
    </w:pPr>
    <w:rPr>
      <w:rFonts w:ascii="Tahoma" w:eastAsia="Times New Roman" w:hAnsi="Tahoma" w:cs="Arial"/>
      <w:b/>
      <w:bCs/>
      <w:caps/>
      <w:color w:val="333333"/>
      <w:kern w:val="32"/>
      <w:sz w:val="32"/>
      <w:szCs w:val="32"/>
    </w:rPr>
  </w:style>
  <w:style w:type="character" w:customStyle="1" w:styleId="AHeading1Char">
    <w:name w:val="AHeading 1 Char"/>
    <w:basedOn w:val="DefaultParagraphFont"/>
    <w:link w:val="AHeading1"/>
    <w:uiPriority w:val="99"/>
    <w:locked/>
    <w:rsid w:val="00225952"/>
    <w:rPr>
      <w:rFonts w:ascii="Tahoma" w:eastAsia="Times New Roman" w:hAnsi="Tahoma" w:cs="Arial"/>
      <w:b/>
      <w:bCs/>
      <w:caps/>
      <w:color w:val="333333"/>
      <w:kern w:val="32"/>
      <w:sz w:val="32"/>
      <w:szCs w:val="32"/>
    </w:rPr>
  </w:style>
  <w:style w:type="paragraph" w:customStyle="1" w:styleId="AHeading2">
    <w:name w:val="AHeading 2"/>
    <w:basedOn w:val="AHeading1"/>
    <w:next w:val="Normal"/>
    <w:link w:val="AHeading2Char"/>
    <w:uiPriority w:val="99"/>
    <w:rsid w:val="00225952"/>
    <w:pPr>
      <w:pageBreakBefore w:val="0"/>
      <w:tabs>
        <w:tab w:val="num" w:pos="720"/>
      </w:tabs>
      <w:spacing w:before="360"/>
      <w:ind w:left="720" w:hanging="360"/>
    </w:pPr>
    <w:rPr>
      <w:sz w:val="20"/>
      <w:szCs w:val="20"/>
    </w:rPr>
  </w:style>
  <w:style w:type="character" w:customStyle="1" w:styleId="AHeading2Char">
    <w:name w:val="AHeading 2 Char"/>
    <w:basedOn w:val="AHeading1Char"/>
    <w:link w:val="AHeading2"/>
    <w:uiPriority w:val="99"/>
    <w:locked/>
    <w:rsid w:val="00225952"/>
    <w:rPr>
      <w:sz w:val="20"/>
      <w:szCs w:val="20"/>
    </w:rPr>
  </w:style>
  <w:style w:type="paragraph" w:customStyle="1" w:styleId="AHeading3">
    <w:name w:val="AHeading 3"/>
    <w:basedOn w:val="AHeading2"/>
    <w:next w:val="Normal"/>
    <w:link w:val="AHeading3Char"/>
    <w:uiPriority w:val="99"/>
    <w:rsid w:val="00225952"/>
  </w:style>
  <w:style w:type="character" w:customStyle="1" w:styleId="AHeading3Char">
    <w:name w:val="AHeading 3 Char"/>
    <w:basedOn w:val="AHeading2Char"/>
    <w:link w:val="AHeading3"/>
    <w:uiPriority w:val="99"/>
    <w:locked/>
    <w:rsid w:val="00225952"/>
  </w:style>
  <w:style w:type="paragraph" w:customStyle="1" w:styleId="AHeading5">
    <w:name w:val="AHeading5"/>
    <w:basedOn w:val="Normal"/>
    <w:link w:val="AHeading5Char"/>
    <w:uiPriority w:val="99"/>
    <w:rsid w:val="00225952"/>
    <w:pPr>
      <w:keepNext/>
      <w:spacing w:before="120" w:after="120" w:line="240" w:lineRule="auto"/>
    </w:pPr>
    <w:rPr>
      <w:rFonts w:ascii="Tahoma" w:eastAsia="Calibri" w:hAnsi="Tahoma" w:cs="Arial"/>
      <w:b/>
      <w:bCs/>
      <w:i/>
      <w:color w:val="333333"/>
      <w:kern w:val="32"/>
      <w:sz w:val="19"/>
      <w:szCs w:val="20"/>
    </w:rPr>
  </w:style>
  <w:style w:type="character" w:customStyle="1" w:styleId="AHeading5Char">
    <w:name w:val="AHeading5 Char"/>
    <w:basedOn w:val="DefaultParagraphFont"/>
    <w:link w:val="AHeading5"/>
    <w:uiPriority w:val="99"/>
    <w:locked/>
    <w:rsid w:val="00225952"/>
    <w:rPr>
      <w:rFonts w:ascii="Tahoma" w:eastAsia="Calibri" w:hAnsi="Tahoma" w:cs="Arial"/>
      <w:b/>
      <w:bCs/>
      <w:i/>
      <w:color w:val="333333"/>
      <w:kern w:val="32"/>
      <w:sz w:val="19"/>
      <w:szCs w:val="20"/>
    </w:rPr>
  </w:style>
  <w:style w:type="paragraph" w:customStyle="1" w:styleId="TIHTable">
    <w:name w:val="TIH Table"/>
    <w:basedOn w:val="Normal"/>
    <w:uiPriority w:val="99"/>
    <w:rsid w:val="00225952"/>
    <w:pPr>
      <w:widowControl w:val="0"/>
      <w:tabs>
        <w:tab w:val="num" w:pos="360"/>
      </w:tabs>
      <w:autoSpaceDE w:val="0"/>
      <w:autoSpaceDN w:val="0"/>
      <w:adjustRightInd w:val="0"/>
      <w:spacing w:after="0" w:line="240" w:lineRule="auto"/>
      <w:ind w:left="360" w:hanging="360"/>
    </w:pPr>
    <w:rPr>
      <w:rFonts w:ascii="Calibri" w:eastAsia="Calibri" w:hAnsi="Calibri" w:cs="Times New Roman"/>
      <w:sz w:val="24"/>
      <w:szCs w:val="20"/>
    </w:rPr>
  </w:style>
  <w:style w:type="paragraph" w:customStyle="1" w:styleId="Reference">
    <w:name w:val="Reference"/>
    <w:basedOn w:val="Normal"/>
    <w:link w:val="ReferenceChar"/>
    <w:uiPriority w:val="99"/>
    <w:rsid w:val="00225952"/>
    <w:rPr>
      <w:rFonts w:ascii="Georgia" w:eastAsia="Calibri" w:hAnsi="Georgia" w:cs="Times New Roman"/>
      <w:i/>
      <w:color w:val="4F6228"/>
    </w:rPr>
  </w:style>
  <w:style w:type="character" w:customStyle="1" w:styleId="ReferenceChar">
    <w:name w:val="Reference Char"/>
    <w:basedOn w:val="DefaultParagraphFont"/>
    <w:link w:val="Reference"/>
    <w:uiPriority w:val="99"/>
    <w:locked/>
    <w:rsid w:val="00225952"/>
    <w:rPr>
      <w:rFonts w:ascii="Georgia" w:eastAsia="Calibri" w:hAnsi="Georgia" w:cs="Times New Roman"/>
      <w:i/>
      <w:color w:val="4F6228"/>
    </w:rPr>
  </w:style>
  <w:style w:type="table" w:styleId="TableClassic1">
    <w:name w:val="Table Classic 1"/>
    <w:basedOn w:val="TableNormal"/>
    <w:uiPriority w:val="99"/>
    <w:rsid w:val="00225952"/>
    <w:pPr>
      <w:spacing w:after="180" w:line="240" w:lineRule="auto"/>
    </w:pPr>
    <w:rPr>
      <w:rFonts w:ascii="Times New Roman" w:eastAsia="Times New Roma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MediumShading1-Accent61">
    <w:name w:val="Medium Shading 1 - Accent 61"/>
    <w:uiPriority w:val="99"/>
    <w:rsid w:val="00225952"/>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style>
  <w:style w:type="paragraph" w:styleId="IntenseQuote">
    <w:name w:val="Intense Quote"/>
    <w:basedOn w:val="Normal"/>
    <w:next w:val="Normal"/>
    <w:link w:val="IntenseQuoteChar"/>
    <w:uiPriority w:val="99"/>
    <w:qFormat/>
    <w:rsid w:val="00225952"/>
    <w:pPr>
      <w:pBdr>
        <w:bottom w:val="single" w:sz="4" w:space="4" w:color="4F81BD"/>
      </w:pBdr>
      <w:spacing w:before="200" w:after="280"/>
      <w:ind w:left="936" w:right="936"/>
    </w:pPr>
    <w:rPr>
      <w:rFonts w:ascii="Calibri" w:eastAsia="Calibri" w:hAnsi="Calibri" w:cs="Times New Roman"/>
      <w:b/>
      <w:bCs/>
      <w:i/>
      <w:iCs/>
      <w:color w:val="4F81BD"/>
      <w:sz w:val="20"/>
      <w:szCs w:val="20"/>
    </w:rPr>
  </w:style>
  <w:style w:type="character" w:customStyle="1" w:styleId="IntenseQuoteChar">
    <w:name w:val="Intense Quote Char"/>
    <w:basedOn w:val="DefaultParagraphFont"/>
    <w:link w:val="IntenseQuote"/>
    <w:uiPriority w:val="99"/>
    <w:rsid w:val="00225952"/>
    <w:rPr>
      <w:rFonts w:ascii="Calibri" w:eastAsia="Calibri" w:hAnsi="Calibri" w:cs="Times New Roman"/>
      <w:b/>
      <w:bCs/>
      <w:i/>
      <w:iCs/>
      <w:color w:val="4F81BD"/>
      <w:sz w:val="20"/>
      <w:szCs w:val="20"/>
    </w:rPr>
  </w:style>
  <w:style w:type="paragraph" w:customStyle="1" w:styleId="Default">
    <w:name w:val="Default"/>
    <w:rsid w:val="0022595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HeadSideMain">
    <w:name w:val="HeadSide Main"/>
    <w:basedOn w:val="Heading4"/>
    <w:link w:val="HeadSideMainChar"/>
    <w:qFormat/>
    <w:rsid w:val="00225952"/>
    <w:rPr>
      <w:i/>
    </w:rPr>
  </w:style>
  <w:style w:type="character" w:customStyle="1" w:styleId="HeadSideMainChar">
    <w:name w:val="HeadSide Main Char"/>
    <w:basedOn w:val="Heading4Char"/>
    <w:link w:val="HeadSideMain"/>
    <w:rsid w:val="00225952"/>
    <w:rPr>
      <w:i/>
    </w:rPr>
  </w:style>
  <w:style w:type="paragraph" w:customStyle="1" w:styleId="HeadSide2">
    <w:name w:val="HeadSide  2"/>
    <w:basedOn w:val="HeadSideMain"/>
    <w:link w:val="HeadSide2Char"/>
    <w:qFormat/>
    <w:rsid w:val="00225952"/>
    <w:rPr>
      <w:rFonts w:ascii="Georgia" w:hAnsi="Georgia"/>
      <w:b w:val="0"/>
      <w:sz w:val="22"/>
    </w:rPr>
  </w:style>
  <w:style w:type="character" w:customStyle="1" w:styleId="HeadSide2Char">
    <w:name w:val="HeadSide  2 Char"/>
    <w:basedOn w:val="HeadSideMainChar"/>
    <w:link w:val="HeadSide2"/>
    <w:rsid w:val="00225952"/>
    <w:rPr>
      <w:rFonts w:ascii="Georgia" w:hAnsi="Georgia"/>
    </w:rPr>
  </w:style>
  <w:style w:type="paragraph" w:customStyle="1" w:styleId="Resource">
    <w:name w:val="Resource"/>
    <w:basedOn w:val="Normal"/>
    <w:link w:val="ResourceChar"/>
    <w:qFormat/>
    <w:rsid w:val="005F4952"/>
    <w:pPr>
      <w:shd w:val="clear" w:color="auto" w:fill="31849B" w:themeFill="accent5" w:themeFillShade="BF"/>
      <w:spacing w:before="120" w:after="120" w:line="240" w:lineRule="auto"/>
    </w:pPr>
    <w:rPr>
      <w:rFonts w:ascii="Trebuchet MS" w:eastAsia="Calibri" w:hAnsi="Trebuchet MS" w:cs="Times New Roman"/>
      <w:b/>
      <w:color w:val="FFFFFF"/>
      <w:sz w:val="24"/>
    </w:rPr>
  </w:style>
  <w:style w:type="character" w:customStyle="1" w:styleId="ResourceChar">
    <w:name w:val="Resource Char"/>
    <w:basedOn w:val="DefaultParagraphFont"/>
    <w:link w:val="Resource"/>
    <w:rsid w:val="005F4952"/>
    <w:rPr>
      <w:rFonts w:ascii="Trebuchet MS" w:eastAsia="Calibri" w:hAnsi="Trebuchet MS" w:cs="Times New Roman"/>
      <w:b/>
      <w:color w:val="FFFFFF"/>
      <w:sz w:val="24"/>
      <w:shd w:val="clear" w:color="auto" w:fill="31849B" w:themeFill="accent5" w:themeFillShade="BF"/>
    </w:rPr>
  </w:style>
  <w:style w:type="paragraph" w:customStyle="1" w:styleId="ResourceNotTOC">
    <w:name w:val="Resource Not TOC"/>
    <w:basedOn w:val="Resource"/>
    <w:link w:val="ResourceNotTOCChar"/>
    <w:qFormat/>
    <w:rsid w:val="00714A65"/>
    <w:pPr>
      <w:pBdr>
        <w:top w:val="single" w:sz="4" w:space="3" w:color="FFFFFF"/>
        <w:left w:val="single" w:sz="4" w:space="4" w:color="FFFFFF"/>
        <w:bottom w:val="single" w:sz="4" w:space="2" w:color="FFFFFF"/>
        <w:right w:val="single" w:sz="4" w:space="4" w:color="FFFFFF"/>
      </w:pBdr>
      <w:jc w:val="left"/>
    </w:pPr>
  </w:style>
  <w:style w:type="character" w:customStyle="1" w:styleId="ResourceNotTOCChar">
    <w:name w:val="Resource Not TOC Char"/>
    <w:basedOn w:val="ResourceChar"/>
    <w:link w:val="ResourceNotTOC"/>
    <w:rsid w:val="00714A65"/>
    <w:rPr>
      <w:b/>
      <w:shd w:val="clear" w:color="auto" w:fill="00FF00"/>
    </w:rPr>
  </w:style>
  <w:style w:type="paragraph" w:customStyle="1" w:styleId="ResourceSeparate">
    <w:name w:val="Resource Separate"/>
    <w:link w:val="ResourceSeparateChar"/>
    <w:qFormat/>
    <w:rsid w:val="00225952"/>
    <w:pPr>
      <w:spacing w:after="0" w:line="40" w:lineRule="exact"/>
    </w:pPr>
    <w:rPr>
      <w:rFonts w:ascii="Calibri" w:eastAsia="Calibri" w:hAnsi="Calibri" w:cs="Times New Roman"/>
      <w:sz w:val="4"/>
      <w:szCs w:val="20"/>
    </w:rPr>
  </w:style>
  <w:style w:type="character" w:customStyle="1" w:styleId="ResourceSeparateChar">
    <w:name w:val="Resource Separate Char"/>
    <w:basedOn w:val="DefaultParagraphFont"/>
    <w:link w:val="ResourceSeparate"/>
    <w:rsid w:val="00225952"/>
    <w:rPr>
      <w:rFonts w:ascii="Calibri" w:eastAsia="Calibri" w:hAnsi="Calibri" w:cs="Times New Roman"/>
      <w:sz w:val="4"/>
      <w:szCs w:val="20"/>
    </w:rPr>
  </w:style>
  <w:style w:type="paragraph" w:customStyle="1" w:styleId="Exhibit">
    <w:name w:val="Exhibit #"/>
    <w:basedOn w:val="ExhibitNumber"/>
    <w:link w:val="ExhibitChar"/>
    <w:qFormat/>
    <w:rsid w:val="001B7518"/>
    <w:pPr>
      <w:keepNext w:val="0"/>
      <w:keepLines w:val="0"/>
      <w:widowControl w:val="0"/>
    </w:pPr>
    <w:rPr>
      <w:color w:val="17365D" w:themeColor="text2" w:themeShade="BF"/>
    </w:rPr>
  </w:style>
  <w:style w:type="character" w:customStyle="1" w:styleId="ExhibitChar">
    <w:name w:val="Exhibit # Char"/>
    <w:basedOn w:val="ExhibitNumberChar"/>
    <w:link w:val="Exhibit"/>
    <w:rsid w:val="001B7518"/>
    <w:rPr>
      <w:color w:val="17365D" w:themeColor="text2" w:themeShade="BF"/>
    </w:rPr>
  </w:style>
  <w:style w:type="paragraph" w:customStyle="1" w:styleId="ExhibitTitle">
    <w:name w:val="Exhibit Title"/>
    <w:basedOn w:val="Exhibit"/>
    <w:link w:val="ExhibitTitleChar"/>
    <w:qFormat/>
    <w:rsid w:val="00225952"/>
    <w:rPr>
      <w:b/>
      <w:color w:val="auto"/>
    </w:rPr>
  </w:style>
  <w:style w:type="character" w:customStyle="1" w:styleId="ExhibitTitleChar">
    <w:name w:val="Exhibit Title Char"/>
    <w:basedOn w:val="ExhibitChar"/>
    <w:link w:val="ExhibitTitle"/>
    <w:rsid w:val="00225952"/>
    <w:rPr>
      <w:b/>
    </w:rPr>
  </w:style>
  <w:style w:type="table" w:styleId="TableGrid">
    <w:name w:val="Table Grid"/>
    <w:basedOn w:val="TableNormal"/>
    <w:uiPriority w:val="59"/>
    <w:rsid w:val="00225952"/>
    <w:pPr>
      <w:spacing w:after="0" w:line="240" w:lineRule="auto"/>
    </w:pPr>
    <w:rPr>
      <w:rFonts w:ascii="Calibri" w:eastAsia="Calibri" w:hAnsi="Calibri" w:cs="Times New Roman"/>
      <w:sz w:val="20"/>
      <w:szCs w:val="20"/>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TableofFigures">
    <w:name w:val="table of figures"/>
    <w:basedOn w:val="Normal"/>
    <w:next w:val="Normal"/>
    <w:semiHidden/>
    <w:rsid w:val="00225952"/>
    <w:pPr>
      <w:ind w:left="440" w:hanging="440"/>
    </w:pPr>
    <w:rPr>
      <w:rFonts w:ascii="Calibri" w:eastAsia="Calibri" w:hAnsi="Calibri" w:cs="Times New Roman"/>
      <w:szCs w:val="20"/>
    </w:rPr>
  </w:style>
  <w:style w:type="paragraph" w:styleId="Index2">
    <w:name w:val="index 2"/>
    <w:basedOn w:val="Normal"/>
    <w:next w:val="Normal"/>
    <w:autoRedefine/>
    <w:semiHidden/>
    <w:rsid w:val="00225952"/>
    <w:pPr>
      <w:ind w:left="440" w:hanging="220"/>
    </w:pPr>
    <w:rPr>
      <w:rFonts w:ascii="Calibri" w:eastAsia="Calibri" w:hAnsi="Calibri" w:cs="Times New Roman"/>
      <w:szCs w:val="20"/>
    </w:rPr>
  </w:style>
  <w:style w:type="paragraph" w:styleId="Index3">
    <w:name w:val="index 3"/>
    <w:basedOn w:val="Normal"/>
    <w:next w:val="Normal"/>
    <w:autoRedefine/>
    <w:semiHidden/>
    <w:rsid w:val="00225952"/>
    <w:pPr>
      <w:ind w:left="660" w:hanging="220"/>
    </w:pPr>
    <w:rPr>
      <w:rFonts w:ascii="Calibri" w:eastAsia="Calibri" w:hAnsi="Calibri" w:cs="Times New Roman"/>
      <w:szCs w:val="20"/>
    </w:rPr>
  </w:style>
  <w:style w:type="paragraph" w:styleId="Index4">
    <w:name w:val="index 4"/>
    <w:basedOn w:val="Normal"/>
    <w:next w:val="Normal"/>
    <w:autoRedefine/>
    <w:semiHidden/>
    <w:rsid w:val="00225952"/>
    <w:pPr>
      <w:ind w:left="880" w:hanging="220"/>
    </w:pPr>
    <w:rPr>
      <w:rFonts w:ascii="Calibri" w:eastAsia="Calibri" w:hAnsi="Calibri" w:cs="Times New Roman"/>
      <w:szCs w:val="20"/>
    </w:rPr>
  </w:style>
  <w:style w:type="paragraph" w:styleId="Index5">
    <w:name w:val="index 5"/>
    <w:basedOn w:val="Normal"/>
    <w:next w:val="Normal"/>
    <w:autoRedefine/>
    <w:semiHidden/>
    <w:rsid w:val="00225952"/>
    <w:pPr>
      <w:ind w:left="1100" w:hanging="220"/>
    </w:pPr>
    <w:rPr>
      <w:rFonts w:ascii="Calibri" w:eastAsia="Calibri" w:hAnsi="Calibri" w:cs="Times New Roman"/>
      <w:szCs w:val="20"/>
    </w:rPr>
  </w:style>
  <w:style w:type="paragraph" w:styleId="Index6">
    <w:name w:val="index 6"/>
    <w:basedOn w:val="Normal"/>
    <w:next w:val="Normal"/>
    <w:autoRedefine/>
    <w:semiHidden/>
    <w:rsid w:val="00225952"/>
    <w:pPr>
      <w:ind w:left="1320" w:hanging="220"/>
    </w:pPr>
    <w:rPr>
      <w:rFonts w:ascii="Calibri" w:eastAsia="Calibri" w:hAnsi="Calibri" w:cs="Times New Roman"/>
      <w:szCs w:val="20"/>
    </w:rPr>
  </w:style>
  <w:style w:type="paragraph" w:styleId="Index7">
    <w:name w:val="index 7"/>
    <w:basedOn w:val="Normal"/>
    <w:next w:val="Normal"/>
    <w:autoRedefine/>
    <w:semiHidden/>
    <w:rsid w:val="00225952"/>
    <w:pPr>
      <w:ind w:left="1540" w:hanging="220"/>
    </w:pPr>
    <w:rPr>
      <w:rFonts w:ascii="Calibri" w:eastAsia="Calibri" w:hAnsi="Calibri" w:cs="Times New Roman"/>
      <w:szCs w:val="20"/>
    </w:rPr>
  </w:style>
  <w:style w:type="paragraph" w:styleId="Index8">
    <w:name w:val="index 8"/>
    <w:basedOn w:val="Normal"/>
    <w:next w:val="Normal"/>
    <w:autoRedefine/>
    <w:semiHidden/>
    <w:rsid w:val="00225952"/>
    <w:pPr>
      <w:ind w:left="1760" w:hanging="220"/>
    </w:pPr>
    <w:rPr>
      <w:rFonts w:ascii="Calibri" w:eastAsia="Calibri" w:hAnsi="Calibri" w:cs="Times New Roman"/>
      <w:szCs w:val="20"/>
    </w:rPr>
  </w:style>
  <w:style w:type="paragraph" w:styleId="Index9">
    <w:name w:val="index 9"/>
    <w:basedOn w:val="Normal"/>
    <w:next w:val="Normal"/>
    <w:autoRedefine/>
    <w:semiHidden/>
    <w:rsid w:val="00225952"/>
    <w:pPr>
      <w:ind w:left="1980" w:hanging="220"/>
    </w:pPr>
    <w:rPr>
      <w:rFonts w:ascii="Calibri" w:eastAsia="Calibri" w:hAnsi="Calibri" w:cs="Times New Roman"/>
      <w:szCs w:val="20"/>
    </w:rPr>
  </w:style>
  <w:style w:type="paragraph" w:styleId="IndexHeading">
    <w:name w:val="index heading"/>
    <w:basedOn w:val="Normal"/>
    <w:next w:val="Index1"/>
    <w:semiHidden/>
    <w:rsid w:val="00225952"/>
    <w:rPr>
      <w:rFonts w:ascii="Calibri" w:eastAsia="Calibri" w:hAnsi="Calibri" w:cs="Arial"/>
      <w:b/>
      <w:bCs/>
      <w:szCs w:val="20"/>
    </w:rPr>
  </w:style>
  <w:style w:type="paragraph" w:styleId="TableofAuthorities">
    <w:name w:val="table of authorities"/>
    <w:basedOn w:val="Normal"/>
    <w:next w:val="Normal"/>
    <w:semiHidden/>
    <w:rsid w:val="00225952"/>
    <w:pPr>
      <w:ind w:left="220" w:hanging="220"/>
    </w:pPr>
    <w:rPr>
      <w:rFonts w:ascii="Calibri" w:eastAsia="Calibri" w:hAnsi="Calibri" w:cs="Times New Roman"/>
      <w:szCs w:val="20"/>
    </w:rPr>
  </w:style>
  <w:style w:type="paragraph" w:styleId="TOAHeading">
    <w:name w:val="toa heading"/>
    <w:basedOn w:val="Normal"/>
    <w:next w:val="Normal"/>
    <w:semiHidden/>
    <w:rsid w:val="00225952"/>
    <w:pPr>
      <w:spacing w:before="120"/>
    </w:pPr>
    <w:rPr>
      <w:rFonts w:ascii="Calibri" w:eastAsia="Calibri" w:hAnsi="Calibri" w:cs="Arial"/>
      <w:b/>
      <w:bCs/>
      <w:sz w:val="24"/>
      <w:szCs w:val="24"/>
    </w:rPr>
  </w:style>
  <w:style w:type="table" w:styleId="TableList7">
    <w:name w:val="Table List 7"/>
    <w:basedOn w:val="TableNormal"/>
    <w:rsid w:val="00225952"/>
    <w:pPr>
      <w:spacing w:after="180" w:line="240" w:lineRule="auto"/>
    </w:pPr>
    <w:rPr>
      <w:rFonts w:ascii="Times New Roman" w:eastAsia="Calibri"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Grid7">
    <w:name w:val="Table Grid 7"/>
    <w:basedOn w:val="TableNormal"/>
    <w:uiPriority w:val="99"/>
    <w:rsid w:val="00225952"/>
    <w:pPr>
      <w:spacing w:before="200" w:after="0" w:line="300" w:lineRule="auto"/>
    </w:pPr>
    <w:rPr>
      <w:rFonts w:ascii="Times New Roman" w:eastAsia="Calibri"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List3">
    <w:name w:val="Table List 3"/>
    <w:basedOn w:val="TableNormal"/>
    <w:uiPriority w:val="99"/>
    <w:rsid w:val="00225952"/>
    <w:pPr>
      <w:spacing w:after="180" w:line="264" w:lineRule="auto"/>
    </w:pPr>
    <w:rPr>
      <w:rFonts w:ascii="Times New Roman" w:eastAsia="Calibri"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TableColumns1">
    <w:name w:val="Table Columns 1"/>
    <w:basedOn w:val="TableNormal"/>
    <w:uiPriority w:val="99"/>
    <w:rsid w:val="00225952"/>
    <w:pPr>
      <w:spacing w:after="180" w:line="240" w:lineRule="auto"/>
    </w:pPr>
    <w:rPr>
      <w:rFonts w:ascii="Times New Roman" w:eastAsia="Calibri"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Simple1">
    <w:name w:val="Table Simple 1"/>
    <w:basedOn w:val="TableNormal"/>
    <w:uiPriority w:val="99"/>
    <w:rsid w:val="00225952"/>
    <w:pPr>
      <w:spacing w:after="180" w:line="240" w:lineRule="auto"/>
    </w:pPr>
    <w:rPr>
      <w:rFonts w:ascii="Times New Roman" w:eastAsia="Calibri"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paragraph" w:styleId="Bibliography">
    <w:name w:val="Bibliography"/>
    <w:basedOn w:val="Normal"/>
    <w:next w:val="Normal"/>
    <w:uiPriority w:val="99"/>
    <w:semiHidden/>
    <w:rsid w:val="00225952"/>
    <w:rPr>
      <w:rFonts w:ascii="Calibri" w:eastAsia="Calibri" w:hAnsi="Calibri" w:cs="Times New Roman"/>
      <w:szCs w:val="20"/>
    </w:rPr>
  </w:style>
  <w:style w:type="character" w:customStyle="1" w:styleId="li">
    <w:name w:val="li"/>
    <w:basedOn w:val="DefaultParagraphFont"/>
    <w:uiPriority w:val="99"/>
    <w:rsid w:val="00225952"/>
    <w:rPr>
      <w:rFonts w:cs="Times New Roman"/>
    </w:rPr>
  </w:style>
  <w:style w:type="paragraph" w:customStyle="1" w:styleId="StyleBodyTextHumnst777LtBT9pt">
    <w:name w:val="Style Body Text + Humnst777 Lt BT 9 pt"/>
    <w:basedOn w:val="BodyText"/>
    <w:uiPriority w:val="99"/>
    <w:rsid w:val="00225952"/>
    <w:pPr>
      <w:shd w:val="clear" w:color="auto" w:fill="CCECFF"/>
      <w:spacing w:after="120" w:line="240" w:lineRule="auto"/>
    </w:pPr>
    <w:rPr>
      <w:rFonts w:ascii="Times New Roman" w:hAnsi="Times New Roman"/>
      <w:sz w:val="20"/>
    </w:rPr>
  </w:style>
  <w:style w:type="paragraph" w:customStyle="1" w:styleId="StylePatternClearCustomColorRGB13916672">
    <w:name w:val="Style Pattern: Clear (Custom Color(RGB(13916672)))"/>
    <w:basedOn w:val="Normal"/>
    <w:link w:val="StylePatternClearCustomColorRGB13916672Char"/>
    <w:uiPriority w:val="99"/>
    <w:rsid w:val="00225952"/>
    <w:pPr>
      <w:shd w:val="clear" w:color="auto" w:fill="8BA648"/>
      <w:spacing w:before="120" w:after="120" w:line="240" w:lineRule="auto"/>
    </w:pPr>
    <w:rPr>
      <w:rFonts w:ascii="Trebuchet MS" w:eastAsia="Calibri" w:hAnsi="Trebuchet MS" w:cs="Times New Roman"/>
      <w:szCs w:val="20"/>
    </w:rPr>
  </w:style>
  <w:style w:type="character" w:customStyle="1" w:styleId="StylePatternClearCustomColorRGB13916672Char">
    <w:name w:val="Style Pattern: Clear (Custom Color(RGB(13916672))) Char"/>
    <w:basedOn w:val="DefaultParagraphFont"/>
    <w:link w:val="StylePatternClearCustomColorRGB13916672"/>
    <w:uiPriority w:val="99"/>
    <w:locked/>
    <w:rsid w:val="00225952"/>
    <w:rPr>
      <w:rFonts w:ascii="Trebuchet MS" w:eastAsia="Calibri" w:hAnsi="Trebuchet MS" w:cs="Times New Roman"/>
      <w:szCs w:val="20"/>
      <w:shd w:val="clear" w:color="auto" w:fill="8BA648"/>
    </w:rPr>
  </w:style>
  <w:style w:type="paragraph" w:customStyle="1" w:styleId="Part2Body">
    <w:name w:val="Part2_Body"/>
    <w:basedOn w:val="BodyText"/>
    <w:uiPriority w:val="99"/>
    <w:rsid w:val="00225952"/>
    <w:pPr>
      <w:spacing w:after="120" w:line="240" w:lineRule="auto"/>
    </w:pPr>
    <w:rPr>
      <w:rFonts w:ascii="Times New Roman" w:hAnsi="Times New Roman"/>
      <w:color w:val="000000"/>
      <w:kern w:val="28"/>
      <w:sz w:val="22"/>
      <w:szCs w:val="22"/>
    </w:rPr>
  </w:style>
  <w:style w:type="paragraph" w:customStyle="1" w:styleId="CheckA">
    <w:name w:val="Check A"/>
    <w:basedOn w:val="Normal"/>
    <w:link w:val="CheckAChar"/>
    <w:uiPriority w:val="99"/>
    <w:rsid w:val="00225952"/>
    <w:pPr>
      <w:spacing w:after="0"/>
      <w:ind w:left="252" w:hanging="252"/>
    </w:pPr>
    <w:rPr>
      <w:rFonts w:ascii="Calibri" w:eastAsia="Calibri" w:hAnsi="Calibri" w:cs="Times New Roman"/>
      <w:sz w:val="20"/>
      <w:szCs w:val="20"/>
    </w:rPr>
  </w:style>
  <w:style w:type="character" w:customStyle="1" w:styleId="CheckAChar">
    <w:name w:val="Check A Char"/>
    <w:basedOn w:val="DefaultParagraphFont"/>
    <w:link w:val="CheckA"/>
    <w:uiPriority w:val="99"/>
    <w:locked/>
    <w:rsid w:val="00225952"/>
    <w:rPr>
      <w:rFonts w:ascii="Calibri" w:eastAsia="Calibri" w:hAnsi="Calibri" w:cs="Times New Roman"/>
      <w:sz w:val="20"/>
      <w:szCs w:val="20"/>
    </w:rPr>
  </w:style>
  <w:style w:type="character" w:customStyle="1" w:styleId="Heading1Char1">
    <w:name w:val="Heading 1 Char1"/>
    <w:basedOn w:val="DefaultParagraphFont"/>
    <w:uiPriority w:val="99"/>
    <w:locked/>
    <w:rsid w:val="00225952"/>
    <w:rPr>
      <w:rFonts w:ascii="Tahoma" w:hAnsi="Tahoma" w:cs="Times New Roman"/>
      <w:b/>
      <w:bCs/>
      <w:sz w:val="20"/>
      <w:szCs w:val="20"/>
    </w:rPr>
  </w:style>
  <w:style w:type="paragraph" w:customStyle="1" w:styleId="StyleBulleted">
    <w:name w:val="Style Bulleted"/>
    <w:basedOn w:val="Normal"/>
    <w:link w:val="StyleBulletedChar"/>
    <w:rsid w:val="00225952"/>
    <w:pPr>
      <w:tabs>
        <w:tab w:val="num" w:pos="-1728"/>
      </w:tabs>
      <w:spacing w:after="60" w:line="240" w:lineRule="auto"/>
      <w:ind w:left="432" w:hanging="72"/>
    </w:pPr>
    <w:rPr>
      <w:rFonts w:ascii="Times New Roman" w:eastAsia="Calibri" w:hAnsi="Times New Roman" w:cs="Times New Roman"/>
      <w:szCs w:val="24"/>
    </w:rPr>
  </w:style>
  <w:style w:type="character" w:customStyle="1" w:styleId="StyleBulletedChar">
    <w:name w:val="Style Bulleted Char"/>
    <w:basedOn w:val="DefaultParagraphFont"/>
    <w:link w:val="StyleBulleted"/>
    <w:rsid w:val="00225952"/>
    <w:rPr>
      <w:rFonts w:ascii="Times New Roman" w:eastAsia="Calibri" w:hAnsi="Times New Roman" w:cs="Times New Roman"/>
      <w:szCs w:val="24"/>
    </w:rPr>
  </w:style>
  <w:style w:type="paragraph" w:customStyle="1" w:styleId="StyleUnderlineLeft025">
    <w:name w:val="Style Underline Left:  0.25&quot;"/>
    <w:basedOn w:val="Normal"/>
    <w:link w:val="StyleUnderlineLeft025CharChar"/>
    <w:rsid w:val="00225952"/>
    <w:pPr>
      <w:spacing w:after="0" w:line="240" w:lineRule="auto"/>
      <w:ind w:left="360"/>
    </w:pPr>
    <w:rPr>
      <w:rFonts w:ascii="Times New Roman" w:eastAsia="Calibri" w:hAnsi="Times New Roman" w:cs="Times New Roman"/>
      <w:bCs/>
      <w:szCs w:val="20"/>
      <w:u w:val="single"/>
    </w:rPr>
  </w:style>
  <w:style w:type="character" w:customStyle="1" w:styleId="StyleUnderlineLeft025CharChar">
    <w:name w:val="Style Underline Left:  0.25&quot; Char Char"/>
    <w:basedOn w:val="DefaultParagraphFont"/>
    <w:link w:val="StyleUnderlineLeft025"/>
    <w:rsid w:val="00225952"/>
    <w:rPr>
      <w:rFonts w:ascii="Times New Roman" w:eastAsia="Calibri" w:hAnsi="Times New Roman" w:cs="Times New Roman"/>
      <w:bCs/>
      <w:szCs w:val="20"/>
      <w:u w:val="single"/>
    </w:rPr>
  </w:style>
  <w:style w:type="paragraph" w:customStyle="1" w:styleId="StyleStyleBulletedBefore3pt">
    <w:name w:val="Style Style Bulleted + Before:  3 pt"/>
    <w:basedOn w:val="StyleBulleted"/>
    <w:rsid w:val="00225952"/>
    <w:pPr>
      <w:spacing w:before="60"/>
    </w:pPr>
    <w:rPr>
      <w:szCs w:val="20"/>
    </w:rPr>
  </w:style>
  <w:style w:type="paragraph" w:customStyle="1" w:styleId="CM26">
    <w:name w:val="CM26"/>
    <w:basedOn w:val="Default"/>
    <w:next w:val="Default"/>
    <w:rsid w:val="00225952"/>
    <w:pPr>
      <w:widowControl w:val="0"/>
      <w:spacing w:after="233"/>
    </w:pPr>
    <w:rPr>
      <w:rFonts w:ascii="Garamond" w:hAnsi="Garamond"/>
      <w:color w:val="auto"/>
    </w:rPr>
  </w:style>
  <w:style w:type="paragraph" w:customStyle="1" w:styleId="StyleStyleBulletedRight05Before3pt">
    <w:name w:val="Style Style Bulleted + Right:  0.5&quot; Before:  3 pt"/>
    <w:basedOn w:val="StyleBulleted"/>
    <w:rsid w:val="00225952"/>
    <w:pPr>
      <w:tabs>
        <w:tab w:val="clear" w:pos="-1728"/>
        <w:tab w:val="num" w:pos="720"/>
      </w:tabs>
      <w:spacing w:before="60"/>
      <w:ind w:left="720" w:right="720" w:hanging="720"/>
    </w:pPr>
    <w:rPr>
      <w:szCs w:val="20"/>
    </w:rPr>
  </w:style>
  <w:style w:type="paragraph" w:customStyle="1" w:styleId="HeadSide">
    <w:name w:val="HeadSide"/>
    <w:basedOn w:val="SidebarSentence"/>
    <w:link w:val="HeadSideChar"/>
    <w:qFormat/>
    <w:rsid w:val="00225952"/>
    <w:rPr>
      <w:rFonts w:ascii="Calibri" w:hAnsi="Calibri"/>
      <w:b/>
      <w:color w:val="17365D"/>
      <w:sz w:val="26"/>
      <w:szCs w:val="26"/>
    </w:rPr>
  </w:style>
  <w:style w:type="character" w:customStyle="1" w:styleId="HeadSideChar">
    <w:name w:val="HeadSide Char"/>
    <w:basedOn w:val="SidebarSentenceChar"/>
    <w:link w:val="HeadSide"/>
    <w:rsid w:val="00225952"/>
    <w:rPr>
      <w:rFonts w:ascii="Calibri" w:hAnsi="Calibri"/>
      <w:b/>
      <w:color w:val="17365D"/>
      <w:sz w:val="26"/>
      <w:szCs w:val="26"/>
    </w:rPr>
  </w:style>
  <w:style w:type="paragraph" w:customStyle="1" w:styleId="HeadSide20">
    <w:name w:val="HeadSide 2"/>
    <w:basedOn w:val="SidebarSentence"/>
    <w:link w:val="HeadSide2Char0"/>
    <w:qFormat/>
    <w:rsid w:val="00255107"/>
  </w:style>
  <w:style w:type="character" w:customStyle="1" w:styleId="HeadSide2Char0">
    <w:name w:val="HeadSide 2 Char"/>
    <w:basedOn w:val="SidebarSentenceChar"/>
    <w:link w:val="HeadSide20"/>
    <w:rsid w:val="00255107"/>
  </w:style>
  <w:style w:type="character" w:customStyle="1" w:styleId="BoldInitial">
    <w:name w:val="Bold Initial"/>
    <w:basedOn w:val="DefaultParagraphFont"/>
    <w:uiPriority w:val="1"/>
    <w:qFormat/>
    <w:rsid w:val="00225952"/>
    <w:rPr>
      <w:rFonts w:ascii="Calibri" w:hAnsi="Calibri"/>
      <w:b/>
      <w:sz w:val="24"/>
    </w:rPr>
  </w:style>
  <w:style w:type="paragraph" w:customStyle="1" w:styleId="HeadSideR">
    <w:name w:val="HeadSide R"/>
    <w:basedOn w:val="Normal"/>
    <w:link w:val="HeadSideRChar"/>
    <w:qFormat/>
    <w:rsid w:val="00225952"/>
    <w:pPr>
      <w:spacing w:before="240"/>
      <w:jc w:val="right"/>
    </w:pPr>
    <w:rPr>
      <w:rFonts w:ascii="Calibri" w:eastAsia="Calibri" w:hAnsi="Calibri" w:cs="Times New Roman"/>
      <w:noProof/>
      <w:color w:val="0070C0"/>
      <w:szCs w:val="20"/>
    </w:rPr>
  </w:style>
  <w:style w:type="character" w:customStyle="1" w:styleId="HeadSideRChar">
    <w:name w:val="HeadSide R Char"/>
    <w:basedOn w:val="DefaultParagraphFont"/>
    <w:link w:val="HeadSideR"/>
    <w:rsid w:val="00225952"/>
    <w:rPr>
      <w:rFonts w:ascii="Calibri" w:eastAsia="Calibri" w:hAnsi="Calibri" w:cs="Times New Roman"/>
      <w:noProof/>
      <w:color w:val="0070C0"/>
      <w:sz w:val="23"/>
      <w:szCs w:val="20"/>
    </w:rPr>
  </w:style>
  <w:style w:type="paragraph" w:customStyle="1" w:styleId="Check1">
    <w:name w:val="Check 1"/>
    <w:basedOn w:val="CheckA"/>
    <w:link w:val="Check1Char"/>
    <w:uiPriority w:val="99"/>
    <w:rsid w:val="00225952"/>
    <w:pPr>
      <w:spacing w:line="240" w:lineRule="auto"/>
      <w:ind w:left="230" w:hanging="230"/>
    </w:pPr>
    <w:rPr>
      <w:sz w:val="18"/>
      <w:szCs w:val="18"/>
    </w:rPr>
  </w:style>
  <w:style w:type="character" w:customStyle="1" w:styleId="Check1Char">
    <w:name w:val="Check 1 Char"/>
    <w:basedOn w:val="CheckAChar"/>
    <w:link w:val="Check1"/>
    <w:uiPriority w:val="99"/>
    <w:locked/>
    <w:rsid w:val="00225952"/>
    <w:rPr>
      <w:sz w:val="18"/>
      <w:szCs w:val="18"/>
    </w:rPr>
  </w:style>
  <w:style w:type="table" w:styleId="LightShading-Accent5">
    <w:name w:val="Light Shading Accent 5"/>
    <w:basedOn w:val="TableNormal"/>
    <w:uiPriority w:val="60"/>
    <w:rsid w:val="00225952"/>
    <w:pPr>
      <w:spacing w:after="0" w:line="240" w:lineRule="auto"/>
    </w:pPr>
    <w:rPr>
      <w:rFonts w:ascii="Calibri" w:eastAsia="Calibri" w:hAnsi="Calibri" w:cs="Times New Roman"/>
      <w:color w:val="31849B" w:themeColor="accent5" w:themeShade="BF"/>
      <w:sz w:val="20"/>
      <w:szCs w:val="20"/>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customStyle="1" w:styleId="AppendixA">
    <w:name w:val="Appendix A"/>
    <w:basedOn w:val="Normal"/>
    <w:link w:val="AppendixAChar"/>
    <w:qFormat/>
    <w:rsid w:val="00225952"/>
    <w:pPr>
      <w:ind w:left="335" w:hanging="335"/>
    </w:pPr>
    <w:rPr>
      <w:rFonts w:ascii="Calibri" w:eastAsia="Calibri" w:hAnsi="Calibri" w:cs="Arial"/>
      <w:sz w:val="21"/>
      <w:szCs w:val="21"/>
    </w:rPr>
  </w:style>
  <w:style w:type="character" w:customStyle="1" w:styleId="AppendixAChar">
    <w:name w:val="Appendix A Char"/>
    <w:basedOn w:val="DefaultParagraphFont"/>
    <w:link w:val="AppendixA"/>
    <w:rsid w:val="00225952"/>
    <w:rPr>
      <w:rFonts w:ascii="Calibri" w:eastAsia="Calibri" w:hAnsi="Calibri" w:cs="Arial"/>
      <w:sz w:val="21"/>
      <w:szCs w:val="21"/>
    </w:rPr>
  </w:style>
  <w:style w:type="paragraph" w:customStyle="1" w:styleId="AppText">
    <w:name w:val="App Text"/>
    <w:basedOn w:val="Normal"/>
    <w:link w:val="AppTextChar"/>
    <w:qFormat/>
    <w:rsid w:val="00225952"/>
    <w:pPr>
      <w:spacing w:after="120" w:line="264" w:lineRule="auto"/>
    </w:pPr>
    <w:rPr>
      <w:rFonts w:ascii="Calibri" w:eastAsia="Calibri" w:hAnsi="Calibri" w:cs="Times New Roman"/>
      <w:sz w:val="21"/>
      <w:szCs w:val="21"/>
    </w:rPr>
  </w:style>
  <w:style w:type="character" w:customStyle="1" w:styleId="AppTextChar">
    <w:name w:val="App Text Char"/>
    <w:basedOn w:val="DefaultParagraphFont"/>
    <w:link w:val="AppText"/>
    <w:rsid w:val="00225952"/>
    <w:rPr>
      <w:rFonts w:ascii="Calibri" w:eastAsia="Calibri" w:hAnsi="Calibri" w:cs="Times New Roman"/>
      <w:sz w:val="21"/>
      <w:szCs w:val="21"/>
    </w:rPr>
  </w:style>
  <w:style w:type="paragraph" w:customStyle="1" w:styleId="ResourceNotTOC0">
    <w:name w:val="Resource NotTOC"/>
    <w:basedOn w:val="ResourceNotTOC"/>
    <w:link w:val="ResourceNotTOCChar0"/>
    <w:qFormat/>
    <w:rsid w:val="00701DC3"/>
    <w:rPr>
      <w:rFonts w:ascii="Calibri" w:hAnsi="Calibri"/>
      <w:lang w:eastAsia="ko-KR"/>
    </w:rPr>
  </w:style>
  <w:style w:type="character" w:customStyle="1" w:styleId="ResourceNotTOCChar0">
    <w:name w:val="Resource NotTOC Char"/>
    <w:basedOn w:val="ResourceNotTOCChar"/>
    <w:link w:val="ResourceNotTOC0"/>
    <w:rsid w:val="00701DC3"/>
    <w:rPr>
      <w:rFonts w:ascii="Calibri" w:hAnsi="Calibri"/>
      <w:lang w:eastAsia="ko-KR"/>
    </w:rPr>
  </w:style>
  <w:style w:type="paragraph" w:customStyle="1" w:styleId="TermGlossaryDefine">
    <w:name w:val="Term Glossary Define"/>
    <w:basedOn w:val="Normal"/>
    <w:link w:val="TermGlossaryDefineChar"/>
    <w:qFormat/>
    <w:rsid w:val="00EF4A91"/>
    <w:pPr>
      <w:spacing w:after="60" w:line="240" w:lineRule="auto"/>
    </w:pPr>
    <w:rPr>
      <w:rFonts w:eastAsia="Times New Roman" w:cs="Times New Roman"/>
      <w:sz w:val="20"/>
      <w:szCs w:val="20"/>
    </w:rPr>
  </w:style>
  <w:style w:type="character" w:customStyle="1" w:styleId="TermGlossaryDefineChar">
    <w:name w:val="Term Glossary Define Char"/>
    <w:basedOn w:val="DefaultParagraphFont"/>
    <w:link w:val="TermGlossaryDefine"/>
    <w:rsid w:val="00EF4A91"/>
    <w:rPr>
      <w:rFonts w:eastAsia="Times New Roman" w:cs="Times New Roman"/>
      <w:sz w:val="20"/>
      <w:szCs w:val="20"/>
    </w:rPr>
  </w:style>
  <w:style w:type="character" w:customStyle="1" w:styleId="Reference0">
    <w:name w:val="Reference []"/>
    <w:basedOn w:val="DefaultParagraphFont"/>
    <w:uiPriority w:val="1"/>
    <w:qFormat/>
    <w:rsid w:val="00EF4A91"/>
    <w:rPr>
      <w:rFonts w:asciiTheme="minorHAnsi" w:hAnsiTheme="minorHAnsi"/>
      <w:color w:val="595959" w:themeColor="text1" w:themeTint="A6"/>
      <w:sz w:val="20"/>
    </w:rPr>
  </w:style>
  <w:style w:type="table" w:styleId="Table3Deffects3">
    <w:name w:val="Table 3D effects 3"/>
    <w:basedOn w:val="TableNormal"/>
    <w:rsid w:val="00EF4A91"/>
    <w:pPr>
      <w:spacing w:after="180" w:line="240" w:lineRule="auto"/>
    </w:pPr>
    <w:rPr>
      <w:rFonts w:ascii="Times New Roman" w:eastAsia="Times New Roma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PlaceholderText">
    <w:name w:val="Placeholder Text"/>
    <w:basedOn w:val="DefaultParagraphFont"/>
    <w:uiPriority w:val="99"/>
    <w:semiHidden/>
    <w:rsid w:val="00EF4A91"/>
    <w:rPr>
      <w:color w:val="808080"/>
    </w:rPr>
  </w:style>
  <w:style w:type="paragraph" w:customStyle="1" w:styleId="ResourceLink">
    <w:name w:val="Resource Link"/>
    <w:link w:val="ResourceLinkChar"/>
    <w:qFormat/>
    <w:rsid w:val="00CC002A"/>
    <w:pPr>
      <w:spacing w:before="180"/>
      <w:jc w:val="right"/>
    </w:pPr>
    <w:rPr>
      <w:rFonts w:ascii="Calibri" w:eastAsia="Calibri" w:hAnsi="Calibri" w:cs="Times New Roman"/>
      <w:b/>
      <w:bCs/>
      <w:color w:val="17365D"/>
      <w:sz w:val="26"/>
      <w:szCs w:val="20"/>
    </w:rPr>
  </w:style>
  <w:style w:type="character" w:customStyle="1" w:styleId="ResourceLinkChar">
    <w:name w:val="Resource Link Char"/>
    <w:basedOn w:val="Heading4Char"/>
    <w:link w:val="ResourceLink"/>
    <w:rsid w:val="00CC002A"/>
    <w:rPr>
      <w:b/>
      <w:bCs/>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1.png"/><Relationship Id="rId299" Type="http://schemas.openxmlformats.org/officeDocument/2006/relationships/hyperlink" Target="https://www.flrules.org/gateway/RuleNo.asp?ID=9J-2.022" TargetMode="External"/><Relationship Id="rId21" Type="http://schemas.openxmlformats.org/officeDocument/2006/relationships/hyperlink" Target="http://teachamerica.com/TIH/PDF/77703.pdf" TargetMode="External"/><Relationship Id="rId63" Type="http://schemas.openxmlformats.org/officeDocument/2006/relationships/image" Target="media/image18.png"/><Relationship Id="rId159" Type="http://schemas.openxmlformats.org/officeDocument/2006/relationships/hyperlink" Target="http://www.leg.state.fl.us/statutes/index.cfm?mode=View%20Statutes&amp;SubMenu=1&amp;App_mode=Display_Statute&amp;Search_String=163.3184&amp;URL=CH0163/Sec3184.HTM" TargetMode="External"/><Relationship Id="rId324" Type="http://schemas.openxmlformats.org/officeDocument/2006/relationships/hyperlink" Target="http://www.nctr.usf.edu/clearinghouse/" TargetMode="External"/><Relationship Id="rId366" Type="http://schemas.openxmlformats.org/officeDocument/2006/relationships/hyperlink" Target="http://www.dot.state.fl.us/rail/PlanDevel/RSAC/Mtg3files/Delaney%20handout%202.pdf" TargetMode="External"/><Relationship Id="rId170" Type="http://schemas.openxmlformats.org/officeDocument/2006/relationships/hyperlink" Target="http://www.leg.state.fl.us/Statutes/index.cfm?App_mode=Display_Statute&amp;Search_String=&amp;URL=Ch0163/SEC3180.HTM&amp;Title=-%3e2009-%3eCh0163-%3eSection%203180" TargetMode="External"/><Relationship Id="rId226" Type="http://schemas.openxmlformats.org/officeDocument/2006/relationships/hyperlink" Target="http://www.ite.org" TargetMode="External"/><Relationship Id="rId268" Type="http://schemas.openxmlformats.org/officeDocument/2006/relationships/hyperlink" Target="http://www.flsenate.gov/data/session/2009/Senate/bills/billtext/pdf/s0360er.pdf" TargetMode="External"/><Relationship Id="rId32" Type="http://schemas.openxmlformats.org/officeDocument/2006/relationships/image" Target="media/image8.jpeg"/><Relationship Id="rId74" Type="http://schemas.openxmlformats.org/officeDocument/2006/relationships/hyperlink" Target="http://www.ite.org/emodules/scriptcontent/Orders/ProductDetail.cfm?pc=RP-020C" TargetMode="External"/><Relationship Id="rId128" Type="http://schemas.openxmlformats.org/officeDocument/2006/relationships/hyperlink" Target="http://www.dot.state.fl.us/transit/" TargetMode="External"/><Relationship Id="rId335" Type="http://schemas.openxmlformats.org/officeDocument/2006/relationships/header" Target="header44.xml"/><Relationship Id="rId377" Type="http://schemas.openxmlformats.org/officeDocument/2006/relationships/hyperlink" Target="https://bookstore.transportation.org/Item_details.aspx?id=110" TargetMode="External"/><Relationship Id="rId5" Type="http://schemas.openxmlformats.org/officeDocument/2006/relationships/webSettings" Target="webSettings.xml"/><Relationship Id="rId181" Type="http://schemas.openxmlformats.org/officeDocument/2006/relationships/hyperlink" Target="http://www.leg.state.fl.us/statutes/index.cfm?App_mode=Display_Statute&amp;Search_String=&amp;URL=Ch0163/Sec3180.HTM" TargetMode="External"/><Relationship Id="rId237" Type="http://schemas.openxmlformats.org/officeDocument/2006/relationships/hyperlink" Target="http://teachamerica.com/tih/PDF/TCBP.pdf" TargetMode="External"/><Relationship Id="rId402" Type="http://schemas.openxmlformats.org/officeDocument/2006/relationships/hyperlink" Target="http://teachamerica.com/tih/PDF/model-ordinance.pdfhttp:/teachamerica.com/tih/PDF/22%20Working%20with%20Proportionate%20Fair-Share.pdf" TargetMode="External"/><Relationship Id="rId279" Type="http://schemas.openxmlformats.org/officeDocument/2006/relationships/hyperlink" Target="http://www.dca.state.fl.us/fdcp/DCP/Procedures/index.cfm" TargetMode="External"/><Relationship Id="rId22" Type="http://schemas.openxmlformats.org/officeDocument/2006/relationships/image" Target="media/image3.emf"/><Relationship Id="rId43" Type="http://schemas.openxmlformats.org/officeDocument/2006/relationships/image" Target="media/image13.emf"/><Relationship Id="rId64" Type="http://schemas.openxmlformats.org/officeDocument/2006/relationships/hyperlink" Target="http://www.ite.org/emodules/scriptcontent/Orders/ProductDetail.cfm?pc=RP-020C" TargetMode="External"/><Relationship Id="rId118" Type="http://schemas.openxmlformats.org/officeDocument/2006/relationships/hyperlink" Target="http://teachamerica.com/TIH/PDF/2009FDOTQLOS_Handbook.pdf" TargetMode="External"/><Relationship Id="rId139" Type="http://schemas.openxmlformats.org/officeDocument/2006/relationships/header" Target="header22.xml"/><Relationship Id="rId290" Type="http://schemas.openxmlformats.org/officeDocument/2006/relationships/hyperlink" Target="http://www.dca.state.fl.us/fdcp/dcp/Procedures/Files/adalong.pdf" TargetMode="External"/><Relationship Id="rId304" Type="http://schemas.openxmlformats.org/officeDocument/2006/relationships/header" Target="header40.xml"/><Relationship Id="rId325" Type="http://schemas.openxmlformats.org/officeDocument/2006/relationships/hyperlink" Target="http://www.nctr.usf.edu/pdf/576-11.pdf" TargetMode="External"/><Relationship Id="rId346" Type="http://schemas.openxmlformats.org/officeDocument/2006/relationships/hyperlink" Target="http://teachamerica.com/tih/PDF/Multimodal_Tradeoff.pdf" TargetMode="External"/><Relationship Id="rId367" Type="http://schemas.openxmlformats.org/officeDocument/2006/relationships/hyperlink" Target="http://www.dot.state.fl.us/transit/Pages/2008_Transit_Handbook.pdf" TargetMode="External"/><Relationship Id="rId388" Type="http://schemas.openxmlformats.org/officeDocument/2006/relationships/hyperlink" Target="http://www.leg.state.fl.us/statutes/index.cfm?App_mode=Display_Statute&amp;Search_String=&amp;URL=Ch0163/SEC3180.HTM&amp;Title=-%3e2009-%3eCh0163-%3eSection%203180" TargetMode="External"/><Relationship Id="rId85" Type="http://schemas.openxmlformats.org/officeDocument/2006/relationships/hyperlink" Target="http://www.dot.state.fl.us/transit/" TargetMode="External"/><Relationship Id="rId150" Type="http://schemas.openxmlformats.org/officeDocument/2006/relationships/header" Target="header23.xml"/><Relationship Id="rId171" Type="http://schemas.openxmlformats.org/officeDocument/2006/relationships/hyperlink" Target="http://www.leg.state.fl.us/statutes/index.cfm?App_mode=Display_Statute&amp;Search_String=&amp;URL=Ch0163/SEC3184.HTM&amp;Title=-%3e2009-%3eCh0163-%3eSection%203184" TargetMode="External"/><Relationship Id="rId192" Type="http://schemas.openxmlformats.org/officeDocument/2006/relationships/hyperlink" Target="http://www.flsenate.gov/Statutes/index.cfm?Mode=View%20Statutes&amp;Submenu=1&amp;Tab=statutes" TargetMode="External"/><Relationship Id="rId206" Type="http://schemas.openxmlformats.org/officeDocument/2006/relationships/hyperlink" Target="http://www.dca.state.fl.us/fdcp/dcp/transportation/Files/AGuideCreationEvaluationTCEAs.pdf" TargetMode="External"/><Relationship Id="rId227" Type="http://schemas.openxmlformats.org/officeDocument/2006/relationships/hyperlink" Target="http://www.dot.state.fl.us/planning/systems/mspi/" TargetMode="External"/><Relationship Id="rId413" Type="http://schemas.openxmlformats.org/officeDocument/2006/relationships/header" Target="header58.xml"/><Relationship Id="rId248" Type="http://schemas.openxmlformats.org/officeDocument/2006/relationships/hyperlink" Target="http://www.vtpi.org" TargetMode="External"/><Relationship Id="rId269" Type="http://schemas.openxmlformats.org/officeDocument/2006/relationships/hyperlink" Target="http://www.westonfl.org/media/docs/misc/SB360_ConstitutionalChallenge-Memorandum_%20DeclaratoryJudgment%20Action_092909.pdf" TargetMode="External"/><Relationship Id="rId12" Type="http://schemas.openxmlformats.org/officeDocument/2006/relationships/image" Target="media/image1.png"/><Relationship Id="rId33" Type="http://schemas.openxmlformats.org/officeDocument/2006/relationships/image" Target="media/image9.emf"/><Relationship Id="rId108" Type="http://schemas.openxmlformats.org/officeDocument/2006/relationships/image" Target="media/image37.jpeg"/><Relationship Id="rId129" Type="http://schemas.openxmlformats.org/officeDocument/2006/relationships/hyperlink" Target="http://teachamerica.com/TIH/PDF/driveway2008.pdf" TargetMode="External"/><Relationship Id="rId280" Type="http://schemas.openxmlformats.org/officeDocument/2006/relationships/hyperlink" Target="http://www.dca.state.fl.us/fdcp/dcp/Procedures/Files/DRIThreshold.pdf" TargetMode="External"/><Relationship Id="rId315" Type="http://schemas.openxmlformats.org/officeDocument/2006/relationships/hyperlink" Target="https://www.flrules.org/gateway/RuleNo.asp?ID=9J-2.025" TargetMode="External"/><Relationship Id="rId336" Type="http://schemas.openxmlformats.org/officeDocument/2006/relationships/header" Target="header45.xml"/><Relationship Id="rId357" Type="http://schemas.openxmlformats.org/officeDocument/2006/relationships/hyperlink" Target="http://teachamerica.com/tih/PDF/ICCM%20FINAL%20NOV%203%202004%20REV.pdf" TargetMode="External"/><Relationship Id="rId54" Type="http://schemas.openxmlformats.org/officeDocument/2006/relationships/hyperlink" Target="http://www.dot.state.fl.us/planning/systems/sm/los" TargetMode="External"/><Relationship Id="rId75" Type="http://schemas.openxmlformats.org/officeDocument/2006/relationships/hyperlink" Target="http://www.ite.org/emodules/scriptcontent/Orders/ProductDetail.cfm?pc=RP-020C" TargetMode="External"/><Relationship Id="rId96" Type="http://schemas.openxmlformats.org/officeDocument/2006/relationships/image" Target="media/image31.jpeg"/><Relationship Id="rId140" Type="http://schemas.openxmlformats.org/officeDocument/2006/relationships/hyperlink" Target="http://www.dca.state.fl.us/fdcp/dcp/Procedures/Files/PlanAdmb&amp;w85x14.PDF" TargetMode="External"/><Relationship Id="rId161" Type="http://schemas.openxmlformats.org/officeDocument/2006/relationships/hyperlink" Target="http://www.leg.state.fl.us/statutes/index.cfm?App_mode=Display_Statute&amp;Search_String=&amp;URL=Ch0163/SEC3164.HTM&amp;Title=-%3e2009-%3eCh0163-%3eSection%203164" TargetMode="External"/><Relationship Id="rId182" Type="http://schemas.openxmlformats.org/officeDocument/2006/relationships/hyperlink" Target="http://www.leg.state.fl.us/Statutes/index.cfm?App_mode=Display_Statute&amp;Search_String=&amp;URL=Ch0163/SEC3180.HTM&amp;Title=-%3e2009-%3eCh0163-%3eSection%203180" TargetMode="External"/><Relationship Id="rId217" Type="http://schemas.openxmlformats.org/officeDocument/2006/relationships/hyperlink" Target="http://www.dca.state.fl.us/fdcp/dcp/transportation/index.cfm" TargetMode="External"/><Relationship Id="rId378" Type="http://schemas.openxmlformats.org/officeDocument/2006/relationships/hyperlink" Target="http://www2.dot.state.fl.us/proceduraldocuments/procedures/bin/525030250.pdf" TargetMode="External"/><Relationship Id="rId399" Type="http://schemas.openxmlformats.org/officeDocument/2006/relationships/hyperlink" Target="http://teachamerica.com/tih/PDF/22%20Working%20with%20Proportionate%20Fair-Share.pdf" TargetMode="External"/><Relationship Id="rId403" Type="http://schemas.openxmlformats.org/officeDocument/2006/relationships/hyperlink" Target="http://teachamerica.com/tih/PDF/model-ordinance.pdf" TargetMode="External"/><Relationship Id="rId6" Type="http://schemas.openxmlformats.org/officeDocument/2006/relationships/footnotes" Target="footnotes.xml"/><Relationship Id="rId238" Type="http://schemas.openxmlformats.org/officeDocument/2006/relationships/hyperlink" Target="http://teachamerica.com/tih/PDF/MMAreawideQOS1211.pdf" TargetMode="External"/><Relationship Id="rId259" Type="http://schemas.openxmlformats.org/officeDocument/2006/relationships/hyperlink" Target="http://teachamerica.com/TIH/PDF/BD549-36.pdf" TargetMode="External"/><Relationship Id="rId23" Type="http://schemas.openxmlformats.org/officeDocument/2006/relationships/hyperlink" Target="mailto:timothy.smith@dot.state.fl.us" TargetMode="External"/><Relationship Id="rId119" Type="http://schemas.openxmlformats.org/officeDocument/2006/relationships/hyperlink" Target="http://teachamerica.com/TIH/PDF/nchrp_rpt_616.pdf" TargetMode="External"/><Relationship Id="rId270" Type="http://schemas.openxmlformats.org/officeDocument/2006/relationships/hyperlink" Target="http://teachamerica.com/TIH/PDF/77703.pdf" TargetMode="External"/><Relationship Id="rId291" Type="http://schemas.openxmlformats.org/officeDocument/2006/relationships/hyperlink" Target="https://www.flrules.org/gateway/RuleNo.asp?ID=9J-2.021" TargetMode="External"/><Relationship Id="rId305" Type="http://schemas.openxmlformats.org/officeDocument/2006/relationships/hyperlink" Target="http://www.dca.state.fl.us/fdcp/dcp/Procedures/Files/nopc.pdf" TargetMode="External"/><Relationship Id="rId326" Type="http://schemas.openxmlformats.org/officeDocument/2006/relationships/hyperlink" Target="http://www.usgbc.org/DisplayPage.aspx?CategoryID=19" TargetMode="External"/><Relationship Id="rId347" Type="http://schemas.openxmlformats.org/officeDocument/2006/relationships/hyperlink" Target="http://www2.dot.state.fl.us/proceduraldocuments/procedures/bin/000650002.pdf" TargetMode="External"/><Relationship Id="rId44" Type="http://schemas.openxmlformats.org/officeDocument/2006/relationships/hyperlink" Target="http://teachamerica.com/TIH/PDF/2009FDOTQLOS_Handbook.pdf" TargetMode="External"/><Relationship Id="rId65" Type="http://schemas.openxmlformats.org/officeDocument/2006/relationships/hyperlink" Target="http://teachamerica.com/GrowthManagement/12BackgroundTraffic&amp;Trends/" TargetMode="External"/><Relationship Id="rId86" Type="http://schemas.openxmlformats.org/officeDocument/2006/relationships/hyperlink" Target="http://teachamerica.com/GrowthManagement/14InternalCapture/" TargetMode="External"/><Relationship Id="rId130" Type="http://schemas.openxmlformats.org/officeDocument/2006/relationships/hyperlink" Target="http://teachamerica.com/TIH/PDF/mhb06b.pdf" TargetMode="External"/><Relationship Id="rId151" Type="http://schemas.openxmlformats.org/officeDocument/2006/relationships/header" Target="header24.xml"/><Relationship Id="rId368" Type="http://schemas.openxmlformats.org/officeDocument/2006/relationships/hyperlink" Target="http://teachamerica.com/tih/PDF/Land%20Developer.pdf" TargetMode="External"/><Relationship Id="rId389" Type="http://schemas.openxmlformats.org/officeDocument/2006/relationships/hyperlink" Target="http://www.leg.state.fl.us/statutes/index.cfm?App_mode=Display_Statute&amp;Search_String=&amp;URL=Ch0163/SEC3180.HTM&amp;Title=-%3e2009-%3eCh0163-%3eSection%203180" TargetMode="External"/><Relationship Id="rId172" Type="http://schemas.openxmlformats.org/officeDocument/2006/relationships/hyperlink" Target="http://www.leg.state.fl.us/Statutes/index.cfm?App_mode=Display_Statute&amp;Search_String=&amp;URL=Ch0163/SEC3180.HTM&amp;Title=-%3e2009-%3eCh0163-%3eSection%203180" TargetMode="External"/><Relationship Id="rId193" Type="http://schemas.openxmlformats.org/officeDocument/2006/relationships/hyperlink" Target="https://www.flrules.org/" TargetMode="External"/><Relationship Id="rId207" Type="http://schemas.openxmlformats.org/officeDocument/2006/relationships/hyperlink" Target="http://www.dca.state.fl.us/fdcp/dcp/transportation/Files/AGuideCreationEvaluationTCEAsCaseStudies.pdf" TargetMode="External"/><Relationship Id="rId228" Type="http://schemas.openxmlformats.org/officeDocument/2006/relationships/hyperlink" Target="http://www.dca.state.fl.us/fdcp/dcp/cie" TargetMode="External"/><Relationship Id="rId249" Type="http://schemas.openxmlformats.org/officeDocument/2006/relationships/hyperlink" Target="http://www.walkable.org" TargetMode="External"/><Relationship Id="rId414" Type="http://schemas.openxmlformats.org/officeDocument/2006/relationships/header" Target="header59.xml"/><Relationship Id="rId13" Type="http://schemas.openxmlformats.org/officeDocument/2006/relationships/header" Target="header4.xml"/><Relationship Id="rId109" Type="http://schemas.openxmlformats.org/officeDocument/2006/relationships/hyperlink" Target="http://www.ite.org/emodules/scriptcontent/Orders/ProductDetail.cfm?pc=RP-020C" TargetMode="External"/><Relationship Id="rId260" Type="http://schemas.openxmlformats.org/officeDocument/2006/relationships/header" Target="header35.xml"/><Relationship Id="rId281" Type="http://schemas.openxmlformats.org/officeDocument/2006/relationships/hyperlink" Target="http://www.leg.state.fl.us/Statutes/index.cfm?App_mode=Display_Statute&amp;Search_String=&amp;URL=Ch1013/Sec30.HTM" TargetMode="External"/><Relationship Id="rId316" Type="http://schemas.openxmlformats.org/officeDocument/2006/relationships/hyperlink" Target="https://www.flrules.org/gateway/RuleNo.asp?ID=9J-2.045" TargetMode="External"/><Relationship Id="rId337" Type="http://schemas.openxmlformats.org/officeDocument/2006/relationships/header" Target="header46.xml"/><Relationship Id="rId34" Type="http://schemas.openxmlformats.org/officeDocument/2006/relationships/hyperlink" Target="http://teachamerica.com/GrowthManagement/11StandardSiteImpactProcesss/" TargetMode="External"/><Relationship Id="rId55" Type="http://schemas.openxmlformats.org/officeDocument/2006/relationships/hyperlink" Target="http://teachamerica.com/TIH/PDF/ptf.pdf" TargetMode="External"/><Relationship Id="rId76" Type="http://schemas.openxmlformats.org/officeDocument/2006/relationships/header" Target="header11.xml"/><Relationship Id="rId97" Type="http://schemas.openxmlformats.org/officeDocument/2006/relationships/image" Target="media/image32.jpeg"/><Relationship Id="rId120" Type="http://schemas.openxmlformats.org/officeDocument/2006/relationships/hyperlink" Target="http://144.171.11.107/Main/Public/Blurbs/153590.aspx" TargetMode="External"/><Relationship Id="rId141" Type="http://schemas.openxmlformats.org/officeDocument/2006/relationships/image" Target="media/image44.emf"/><Relationship Id="rId358" Type="http://schemas.openxmlformats.org/officeDocument/2006/relationships/hyperlink" Target="http://teachamerica.com/tih/PDF/corridor.pdf" TargetMode="External"/><Relationship Id="rId379" Type="http://schemas.openxmlformats.org/officeDocument/2006/relationships/hyperlink" Target="http://teachamerica.com/tih/PDF/appb.pdf" TargetMode="External"/><Relationship Id="rId7" Type="http://schemas.openxmlformats.org/officeDocument/2006/relationships/endnotes" Target="endnotes.xml"/><Relationship Id="rId162" Type="http://schemas.openxmlformats.org/officeDocument/2006/relationships/hyperlink" Target="http://www.leg.state.fl.us/Statutes/index.cfm?App_mode=Display_Statute&amp;Search_String=&amp;URL=Ch0163/SEC3180.HTM&amp;Title=-%3e2009-%3eCh0163-%3eSection%203180" TargetMode="External"/><Relationship Id="rId183" Type="http://schemas.openxmlformats.org/officeDocument/2006/relationships/hyperlink" Target="http://www.leg.state.fl.us/statutes/index.cfm?App_mode=Display_Statute&amp;Search_String=&amp;URL=Ch0163/SEC3180.HTM&amp;Title=-%3e2009-%3eCh0163-%3eSection%203180" TargetMode="External"/><Relationship Id="rId218" Type="http://schemas.openxmlformats.org/officeDocument/2006/relationships/hyperlink" Target="http://www.dot.state.fl.us/planning/policy/growthmgt" TargetMode="External"/><Relationship Id="rId239" Type="http://schemas.openxmlformats.org/officeDocument/2006/relationships/hyperlink" Target="http://teachamerica.com/tih/PDF/MMTD%20Model%20Regs.pdf" TargetMode="External"/><Relationship Id="rId390" Type="http://schemas.openxmlformats.org/officeDocument/2006/relationships/hyperlink" Target="http://www.leg.state.fl.us/statutes/index.cfm?App_mode=Display_Statute&amp;Search_String=&amp;URL=Ch0380/SEC06.HTM&amp;Title=-%3e2009-%3eCh0380-%3eSection%2006" TargetMode="External"/><Relationship Id="rId404" Type="http://schemas.openxmlformats.org/officeDocument/2006/relationships/hyperlink" Target="http://www.leg.state.fl.us/statutes/index.cfm?App_mode=Display_Statute&amp;Search_String=&amp;URL=Ch0163/SEC3180.HTM&amp;Title=-%3e2009-%3eCh0163-%3eSection%203180" TargetMode="External"/><Relationship Id="rId250" Type="http://schemas.openxmlformats.org/officeDocument/2006/relationships/hyperlink" Target="http://www.arb.ca.gov" TargetMode="External"/><Relationship Id="rId271" Type="http://schemas.openxmlformats.org/officeDocument/2006/relationships/hyperlink" Target="http://www.leg.state.fl.us/statutes/index.cfm?App_mode=Display_Statute&amp;Search_String=&amp;URL=Ch0380/SEC06.HTM&amp;Title=-%3e2009-%3eCh0380-%3eSection%2006" TargetMode="External"/><Relationship Id="rId292" Type="http://schemas.openxmlformats.org/officeDocument/2006/relationships/hyperlink" Target="https://www.flrules.org/gateway/RuleNo.asp?ID=9J-2.021" TargetMode="External"/><Relationship Id="rId306" Type="http://schemas.openxmlformats.org/officeDocument/2006/relationships/hyperlink" Target="http://www.leg.state.fl.us/STATUTES/index.cfm?App_mode=Display_Statute&amp;Search_String=&amp;URL=Ch0380/SEC06.HTM&amp;Title=-%3e2009-%3eCh0380-%3eSection%2006" TargetMode="External"/><Relationship Id="rId24" Type="http://schemas.openxmlformats.org/officeDocument/2006/relationships/hyperlink" Target="http://www.myregion.org/" TargetMode="External"/><Relationship Id="rId45" Type="http://schemas.openxmlformats.org/officeDocument/2006/relationships/hyperlink" Target="https://www.flrules.org/gateway/chapterhome.asp?chapter=14-94" TargetMode="External"/><Relationship Id="rId66" Type="http://schemas.openxmlformats.org/officeDocument/2006/relationships/hyperlink" Target="http://teachamerica.com/tih/PDF/turns5-V02_XML.xls" TargetMode="External"/><Relationship Id="rId87" Type="http://schemas.openxmlformats.org/officeDocument/2006/relationships/hyperlink" Target="http://www.trb.org/trbnet/projectdisplay.asp?projectid=927" TargetMode="External"/><Relationship Id="rId110" Type="http://schemas.openxmlformats.org/officeDocument/2006/relationships/hyperlink" Target="http://www.oregon.gov/ODOT/TD/TPAU/references.shtml#NCHRP_Report_255" TargetMode="External"/><Relationship Id="rId131" Type="http://schemas.openxmlformats.org/officeDocument/2006/relationships/hyperlink" Target="http://www.dot.state.fl.us/planning/systems/sm/accman/" TargetMode="External"/><Relationship Id="rId327" Type="http://schemas.openxmlformats.org/officeDocument/2006/relationships/hyperlink" Target="http://www.nctr.usf.edu/pdf/527-07.pdf" TargetMode="External"/><Relationship Id="rId348" Type="http://schemas.openxmlformats.org/officeDocument/2006/relationships/header" Target="header51.xml"/><Relationship Id="rId369" Type="http://schemas.openxmlformats.org/officeDocument/2006/relationships/hyperlink" Target="http://teachamerica.com/tih/PDF/MMTD%20Model%20Regs%20101804.pdf" TargetMode="External"/><Relationship Id="rId152" Type="http://schemas.openxmlformats.org/officeDocument/2006/relationships/header" Target="header25.xml"/><Relationship Id="rId173" Type="http://schemas.openxmlformats.org/officeDocument/2006/relationships/hyperlink" Target="http://www.leg.state.fl.us/statutes/index.cfm?App_mode=Display_Statute&amp;Search_String=&amp;URL=Ch0163/SEC3182.HTM&amp;Title=-%3e2009-%3eCh0163-%3eSection%203182" TargetMode="External"/><Relationship Id="rId194" Type="http://schemas.openxmlformats.org/officeDocument/2006/relationships/hyperlink" Target="http://www.leg.state.fl.us/Statutes/index.cfm?App_mode=Display_Statute&amp;Search_String=&amp;URL=Ch0163/SEC3180.HTM&amp;Title=-%3e2009-%3eCh0163-%3eSection%203180" TargetMode="External"/><Relationship Id="rId208" Type="http://schemas.openxmlformats.org/officeDocument/2006/relationships/hyperlink" Target="http://www.dot.state.fl.us/planning/policy/growthmgt/tcea.pdf" TargetMode="External"/><Relationship Id="rId229" Type="http://schemas.openxmlformats.org/officeDocument/2006/relationships/header" Target="header31.xml"/><Relationship Id="rId380" Type="http://schemas.openxmlformats.org/officeDocument/2006/relationships/hyperlink" Target="http://teachamerica.com/tih/Presentations.html" TargetMode="External"/><Relationship Id="rId415" Type="http://schemas.openxmlformats.org/officeDocument/2006/relationships/image" Target="media/image58.png"/><Relationship Id="rId240" Type="http://schemas.openxmlformats.org/officeDocument/2006/relationships/header" Target="header32.xml"/><Relationship Id="rId261" Type="http://schemas.openxmlformats.org/officeDocument/2006/relationships/header" Target="header36.xml"/><Relationship Id="rId14" Type="http://schemas.openxmlformats.org/officeDocument/2006/relationships/hyperlink" Target="http://teachamerica.com/TIH/PDF/2009FDOTQLOS_Handbook.pdf" TargetMode="External"/><Relationship Id="rId35" Type="http://schemas.openxmlformats.org/officeDocument/2006/relationships/image" Target="media/image10.png"/><Relationship Id="rId56" Type="http://schemas.openxmlformats.org/officeDocument/2006/relationships/hyperlink" Target="https://www.flrules.org/gateway/chapterhome.asp?chapter=14-94" TargetMode="External"/><Relationship Id="rId77" Type="http://schemas.openxmlformats.org/officeDocument/2006/relationships/image" Target="media/image25.png"/><Relationship Id="rId100" Type="http://schemas.openxmlformats.org/officeDocument/2006/relationships/hyperlink" Target="http://www.tbest.org/" TargetMode="External"/><Relationship Id="rId282" Type="http://schemas.openxmlformats.org/officeDocument/2006/relationships/hyperlink" Target="http://www.dca.state.fl.us/fdcp/dcp/Procedures/Files/DRIThreshold.pdf" TargetMode="External"/><Relationship Id="rId317" Type="http://schemas.openxmlformats.org/officeDocument/2006/relationships/hyperlink" Target="http://teachamerica.com/tih/PDF/77703.pdf" TargetMode="External"/><Relationship Id="rId338" Type="http://schemas.openxmlformats.org/officeDocument/2006/relationships/header" Target="header47.xml"/><Relationship Id="rId359" Type="http://schemas.openxmlformats.org/officeDocument/2006/relationships/hyperlink" Target="http://teachamerica.com/tih/PDF/18%20Accomplishing%20Alternative%20Access%20on%20Major%20Transportation%20Corridors.pdf" TargetMode="External"/><Relationship Id="rId8" Type="http://schemas.openxmlformats.org/officeDocument/2006/relationships/header" Target="header1.xml"/><Relationship Id="rId98" Type="http://schemas.openxmlformats.org/officeDocument/2006/relationships/header" Target="header13.xml"/><Relationship Id="rId121" Type="http://schemas.openxmlformats.org/officeDocument/2006/relationships/hyperlink" Target="http://teachamerica.com/tih/PDF/MMAreawideQOS1211.pdf" TargetMode="External"/><Relationship Id="rId142" Type="http://schemas.openxmlformats.org/officeDocument/2006/relationships/hyperlink" Target="http://www.dca.state.fl.us/fdcp/dcp/Procedures/Files/PlanAdmb&amp;w85x14.PDF" TargetMode="External"/><Relationship Id="rId163" Type="http://schemas.openxmlformats.org/officeDocument/2006/relationships/hyperlink" Target="http://www.dca.state.fl.us/fdcp/dcp/Legislation/2009/CountiesMunicipalities.cfm" TargetMode="External"/><Relationship Id="rId184" Type="http://schemas.openxmlformats.org/officeDocument/2006/relationships/hyperlink" Target="http://www.leg.state.fl.us/statutes/index.cfm?App_mode=Display_Statute&amp;Search_String=&amp;URL=Ch0163/SEC3191.HTM&amp;Title=-%3e2009-%3eCh0163-%3eSection%203191" TargetMode="External"/><Relationship Id="rId219" Type="http://schemas.openxmlformats.org/officeDocument/2006/relationships/hyperlink" Target="http://www.dot.state.fl.us/planning/systems/sm/siteimp/default.shtm" TargetMode="External"/><Relationship Id="rId370" Type="http://schemas.openxmlformats.org/officeDocument/2006/relationships/hyperlink" Target="http://teachamerica.com/tih/PDF/MMTD%20Model%20Regs%20101804.pdf" TargetMode="External"/><Relationship Id="rId391" Type="http://schemas.openxmlformats.org/officeDocument/2006/relationships/hyperlink" Target="http://www.leg.state.fl.us/statutes/index.cfm?App_mode=Display_Statute&amp;Search_String=&amp;URL=Ch0334/SEC03.HTM&amp;Title=-%3e2009-%3eCh0334-%3eSection%2003" TargetMode="External"/><Relationship Id="rId405" Type="http://schemas.openxmlformats.org/officeDocument/2006/relationships/hyperlink" Target="http://www.dca.state.fl.us/fdcp/dcp/publications/Files/TCBP.pdf" TargetMode="External"/><Relationship Id="rId230" Type="http://schemas.openxmlformats.org/officeDocument/2006/relationships/hyperlink" Target="http://www.dca.state.fl.us/fdcp/dcp/EAR/index.cfm" TargetMode="External"/><Relationship Id="rId251" Type="http://schemas.openxmlformats.org/officeDocument/2006/relationships/hyperlink" Target="http://www.sandiego.gov/planning/programs/transportation/mobility/index.shtml" TargetMode="External"/><Relationship Id="rId25" Type="http://schemas.openxmlformats.org/officeDocument/2006/relationships/header" Target="header5.xml"/><Relationship Id="rId46" Type="http://schemas.openxmlformats.org/officeDocument/2006/relationships/hyperlink" Target="http://teachamerica.com/TIH/PDF/ptf.pdf" TargetMode="External"/><Relationship Id="rId67" Type="http://schemas.openxmlformats.org/officeDocument/2006/relationships/image" Target="media/image19.png"/><Relationship Id="rId272" Type="http://schemas.openxmlformats.org/officeDocument/2006/relationships/image" Target="media/image50.emf"/><Relationship Id="rId293" Type="http://schemas.openxmlformats.org/officeDocument/2006/relationships/hyperlink" Target="https://www.flrules.org/gateway/RuleNo.asp?ID=9J-2.045" TargetMode="External"/><Relationship Id="rId307" Type="http://schemas.openxmlformats.org/officeDocument/2006/relationships/hyperlink" Target="http://www.leg.state.fl.us/STATUTES/index.cfm?App_mode=Display_Statute&amp;Search_String=&amp;URL=Ch0380/SEC06.HTM&amp;Title=-%3e2009-%3eCh0380-%3eSection%2006" TargetMode="External"/><Relationship Id="rId328" Type="http://schemas.openxmlformats.org/officeDocument/2006/relationships/hyperlink" Target="http://teachamerica.com/tih/PDF/AccessingTransitHandbookLow.pdf" TargetMode="External"/><Relationship Id="rId349" Type="http://schemas.openxmlformats.org/officeDocument/2006/relationships/hyperlink" Target="https://www.flrules.org/gateway/RuleNo.asp?ID=14-94.003" TargetMode="External"/><Relationship Id="rId88" Type="http://schemas.openxmlformats.org/officeDocument/2006/relationships/image" Target="media/image27.emf"/><Relationship Id="rId111" Type="http://schemas.openxmlformats.org/officeDocument/2006/relationships/hyperlink" Target="http://fhwa.na3.acrobat.com/p95484356/" TargetMode="External"/><Relationship Id="rId132" Type="http://schemas.openxmlformats.org/officeDocument/2006/relationships/hyperlink" Target="http://www.dot.state.fl.us/planning/systems/sm/accman/pdfs/driveway2008.pdf" TargetMode="External"/><Relationship Id="rId153" Type="http://schemas.openxmlformats.org/officeDocument/2006/relationships/hyperlink" Target="http://www.dca.state.fl.us/fdcp/dcp/cie/" TargetMode="External"/><Relationship Id="rId174" Type="http://schemas.openxmlformats.org/officeDocument/2006/relationships/hyperlink" Target="http://www.leg.state.fl.us/statutes/index.cfm?App_mode=Display_Statute&amp;Search_String=&amp;URL=Ch0163/SEC3182.HTM&amp;Title=-%3e2009-%3eCh0163-%3eSection%203182" TargetMode="External"/><Relationship Id="rId195" Type="http://schemas.openxmlformats.org/officeDocument/2006/relationships/hyperlink" Target="http://www.leg.state.fl.us/statutes/index.cfm?App_mode=Display_Statute&amp;Search_String=&amp;URL=Ch0163/SEC3184.HTM&amp;Title=-%3e2009-%3eCh0163-%3eSection%203184" TargetMode="External"/><Relationship Id="rId209" Type="http://schemas.openxmlformats.org/officeDocument/2006/relationships/hyperlink" Target="http://teachamerica.com/tih/PDF/MMAreawideQOS1211.pdf" TargetMode="External"/><Relationship Id="rId360" Type="http://schemas.openxmlformats.org/officeDocument/2006/relationships/hyperlink" Target="http://teachamerica.com/tih/PDF/18%20Accomplishing%20Alternative%20Access%20on%20Major%20Transportation%20Corridors.pdf" TargetMode="External"/><Relationship Id="rId381" Type="http://schemas.openxmlformats.org/officeDocument/2006/relationships/hyperlink" Target="http://www.leg.state.fl.us/statutes/index.cfm?App_mode=Display_Statute&amp;Search_String=&amp;URL=Ch0163/SEC3180.HTM&amp;Title=-%3e2009-%3eCh0163-%3eSection%203180" TargetMode="External"/><Relationship Id="rId416" Type="http://schemas.openxmlformats.org/officeDocument/2006/relationships/image" Target="media/image59.png"/><Relationship Id="rId220" Type="http://schemas.openxmlformats.org/officeDocument/2006/relationships/hyperlink" Target="http://www.dot.state.fl.us/planning/systems/sm/los/default.shtm" TargetMode="External"/><Relationship Id="rId241" Type="http://schemas.openxmlformats.org/officeDocument/2006/relationships/hyperlink" Target="http://www.epa.gov/smartgrowth/2009-0616-epahuddot.htm" TargetMode="External"/><Relationship Id="rId15" Type="http://schemas.openxmlformats.org/officeDocument/2006/relationships/image" Target="media/image2.png"/><Relationship Id="rId36" Type="http://schemas.openxmlformats.org/officeDocument/2006/relationships/hyperlink" Target="http://teachamerica.com/TIH/PDF/Multimodal_Tradeoff.pdf" TargetMode="External"/><Relationship Id="rId57" Type="http://schemas.openxmlformats.org/officeDocument/2006/relationships/hyperlink" Target="http://www.trb.org/Main/Blurbs/Highway_Capacity_Manual_2000_152169.aspx" TargetMode="External"/><Relationship Id="rId262" Type="http://schemas.openxmlformats.org/officeDocument/2006/relationships/footer" Target="footer4.xml"/><Relationship Id="rId283" Type="http://schemas.openxmlformats.org/officeDocument/2006/relationships/hyperlink" Target="https://www.flrules.org/gateway/RuleNo.asp?ID=9J-2.021" TargetMode="External"/><Relationship Id="rId318" Type="http://schemas.openxmlformats.org/officeDocument/2006/relationships/hyperlink" Target="http://teachamerica.com/tih/PDF/77703.pdf" TargetMode="External"/><Relationship Id="rId339" Type="http://schemas.openxmlformats.org/officeDocument/2006/relationships/header" Target="header48.xml"/><Relationship Id="rId78" Type="http://schemas.openxmlformats.org/officeDocument/2006/relationships/hyperlink" Target="http://teachamerica.com/GrowthManagement/13-TripGenerationBasics&amp;Pitfalls/" TargetMode="External"/><Relationship Id="rId99" Type="http://schemas.openxmlformats.org/officeDocument/2006/relationships/image" Target="media/image33.png"/><Relationship Id="rId101" Type="http://schemas.openxmlformats.org/officeDocument/2006/relationships/hyperlink" Target="http://www.tbest.org/" TargetMode="External"/><Relationship Id="rId122" Type="http://schemas.openxmlformats.org/officeDocument/2006/relationships/header" Target="header17.xml"/><Relationship Id="rId143" Type="http://schemas.openxmlformats.org/officeDocument/2006/relationships/hyperlink" Target="http://www.dca.state.fl.us/fdcp/dcp/Procedures/noiorcpage.cfm" TargetMode="External"/><Relationship Id="rId164" Type="http://schemas.openxmlformats.org/officeDocument/2006/relationships/hyperlink" Target="http://www.dca.state.fl.us/fdcp/dcp/Legislation/2009/Notice.cfm" TargetMode="External"/><Relationship Id="rId185" Type="http://schemas.openxmlformats.org/officeDocument/2006/relationships/hyperlink" Target="http://www.leg.state.fl.us/statutes/index.cfm?App_mode=Display_Statute&amp;Search_String=&amp;URL=Ch0163/SEC3191.HTM&amp;Title=-%3e2009-%3eCh0163-%3eSection%203191" TargetMode="External"/><Relationship Id="rId350" Type="http://schemas.openxmlformats.org/officeDocument/2006/relationships/hyperlink" Target="http://www.leg.state.fl.us/statutes/index.cfm?App_mode=Display_Statute&amp;Search_String=&amp;URL=Ch0163/SEC3180.HTM&amp;Title=-%3e2009-%3eCh0163-%3eSection%203180" TargetMode="External"/><Relationship Id="rId371" Type="http://schemas.openxmlformats.org/officeDocument/2006/relationships/hyperlink" Target="http://teachamerica.com/tih/PDF/MMTD%20Model%20Regs.pdf" TargetMode="External"/><Relationship Id="rId406" Type="http://schemas.openxmlformats.org/officeDocument/2006/relationships/hyperlink" Target="http://teachamerica.com/tih/PDF/TCBP.pdf" TargetMode="External"/><Relationship Id="rId9" Type="http://schemas.openxmlformats.org/officeDocument/2006/relationships/footer" Target="footer1.xml"/><Relationship Id="rId210" Type="http://schemas.openxmlformats.org/officeDocument/2006/relationships/hyperlink" Target="http://teachamerica.com/tih/PDF/MMTD%20Model%20Regs.pdf" TargetMode="External"/><Relationship Id="rId392" Type="http://schemas.openxmlformats.org/officeDocument/2006/relationships/hyperlink" Target="http://www.leg.state.fl.us/statutes/index.cfm?App_mode=Display_Statute&amp;Search_String=&amp;URL=Ch0163/SEC3180.HTM&amp;Title=-%3e2009-%3eCh0163-%3eSection%203180" TargetMode="External"/><Relationship Id="rId26" Type="http://schemas.openxmlformats.org/officeDocument/2006/relationships/image" Target="media/image4.png"/><Relationship Id="rId231" Type="http://schemas.openxmlformats.org/officeDocument/2006/relationships/hyperlink" Target="http://www.leg.state.fl.us/Statutes/index.cfm?App_mode=Display_Statute&amp;Search_String=&amp;URL=Ch0163/SEC3191.HTM&amp;Title=-%3e2009-%3eCh0163-%3eSection%203191" TargetMode="External"/><Relationship Id="rId252" Type="http://schemas.openxmlformats.org/officeDocument/2006/relationships/hyperlink" Target="http://www.cityofventura.net/mobility" TargetMode="External"/><Relationship Id="rId273" Type="http://schemas.openxmlformats.org/officeDocument/2006/relationships/hyperlink" Target="https://www.flrules.org/gateway/RuleNo.asp?ID=9J-2.045" TargetMode="External"/><Relationship Id="rId294" Type="http://schemas.openxmlformats.org/officeDocument/2006/relationships/hyperlink" Target="https://www.flrules.org/gateway/RuleNo.asp?ID=9J-2.022" TargetMode="External"/><Relationship Id="rId308" Type="http://schemas.openxmlformats.org/officeDocument/2006/relationships/hyperlink" Target="http://www.leg.state.fl.us/STATUTES/index.cfm?App_mode=Display_Statute&amp;Search_String=&amp;URL=Ch0380/SEC06.HTM&amp;Title=-%3e2009-%3eCh0380-%3eSection%2006" TargetMode="External"/><Relationship Id="rId329" Type="http://schemas.openxmlformats.org/officeDocument/2006/relationships/hyperlink" Target="http://teachamerica.com/tih/PDF/lynxdocs_mobility_manual.pdf" TargetMode="External"/><Relationship Id="rId47" Type="http://schemas.openxmlformats.org/officeDocument/2006/relationships/hyperlink" Target="http://teachamerica.com/TIH/PDF/ptf.pdf" TargetMode="External"/><Relationship Id="rId68" Type="http://schemas.openxmlformats.org/officeDocument/2006/relationships/image" Target="media/image20.png"/><Relationship Id="rId89" Type="http://schemas.openxmlformats.org/officeDocument/2006/relationships/hyperlink" Target="http://www.ite.org/emodules/scriptcontent/Orders/ProductDetail.cfm?pc=GP-001B" TargetMode="External"/><Relationship Id="rId112" Type="http://schemas.openxmlformats.org/officeDocument/2006/relationships/hyperlink" Target="http://teachamerica.com/TIH/PDF/ptf.pdf" TargetMode="External"/><Relationship Id="rId133" Type="http://schemas.openxmlformats.org/officeDocument/2006/relationships/hyperlink" Target="http://www.dot.state.fl.us/planning/systems/sm/accman/pdfs/mhb06b.pdf" TargetMode="External"/><Relationship Id="rId154" Type="http://schemas.openxmlformats.org/officeDocument/2006/relationships/hyperlink" Target="http://www.dca.state.fl.us/fdcp/dcp/cie/" TargetMode="External"/><Relationship Id="rId175" Type="http://schemas.openxmlformats.org/officeDocument/2006/relationships/hyperlink" Target="http://www.leg.state.fl.us/statutes/index.cfm?App_mode=Display_Statute&amp;Search_String=&amp;URL=Ch0163/SEC3184.HTM&amp;Title=-%3e2009-%3eCh0163-%3eSection%203184" TargetMode="External"/><Relationship Id="rId340" Type="http://schemas.openxmlformats.org/officeDocument/2006/relationships/header" Target="header49.xml"/><Relationship Id="rId361" Type="http://schemas.openxmlformats.org/officeDocument/2006/relationships/hyperlink" Target="http://www.nctr.usf.edu/clearinghouse/" TargetMode="External"/><Relationship Id="rId196" Type="http://schemas.openxmlformats.org/officeDocument/2006/relationships/hyperlink" Target="http://www.leg.state.fl.us/statutes/index.cfm?App_mode=Display_Statute&amp;Search_String=&amp;URL=Ch0163/SEC3184.HTM&amp;Title=-%3e2009-%3eCh0163-%3eSection%203184" TargetMode="External"/><Relationship Id="rId200" Type="http://schemas.openxmlformats.org/officeDocument/2006/relationships/header" Target="header30.xml"/><Relationship Id="rId382" Type="http://schemas.openxmlformats.org/officeDocument/2006/relationships/hyperlink" Target="https://www.flrules.org/gateway/RuleNo.asp?ID=14-94.003" TargetMode="External"/><Relationship Id="rId417" Type="http://schemas.openxmlformats.org/officeDocument/2006/relationships/image" Target="media/image60.png"/><Relationship Id="rId16" Type="http://schemas.openxmlformats.org/officeDocument/2006/relationships/hyperlink" Target="http://teachamerica.com/TIH/PDF/77703.pdf" TargetMode="External"/><Relationship Id="rId221" Type="http://schemas.openxmlformats.org/officeDocument/2006/relationships/hyperlink" Target="http://www.dca.state.fl.us/fdcp/dcp/publications/Files/TCBP.pdf" TargetMode="External"/><Relationship Id="rId242" Type="http://schemas.openxmlformats.org/officeDocument/2006/relationships/hyperlink" Target="http://www.lincolninst.edu/pubs/smart-growth-policies.aspx" TargetMode="External"/><Relationship Id="rId263" Type="http://schemas.openxmlformats.org/officeDocument/2006/relationships/header" Target="header37.xml"/><Relationship Id="rId284" Type="http://schemas.openxmlformats.org/officeDocument/2006/relationships/hyperlink" Target="http://www.leg.state.fl.us/statutes/index.cfm?mode=View%20Statutes&amp;SubMenu=1&amp;App_mode=Display_Statute&amp;Search_String=380.06&amp;URL=CH0380/Sec06.HTM" TargetMode="External"/><Relationship Id="rId319" Type="http://schemas.openxmlformats.org/officeDocument/2006/relationships/header" Target="header42.xml"/><Relationship Id="rId37" Type="http://schemas.openxmlformats.org/officeDocument/2006/relationships/hyperlink" Target="http://teachamerica.com/TIH/PDF/77703.pdf" TargetMode="External"/><Relationship Id="rId58" Type="http://schemas.openxmlformats.org/officeDocument/2006/relationships/hyperlink" Target="http://teachamerica.com/TIH/PDF/2009FDOTQLOS_Handbook.pdf" TargetMode="External"/><Relationship Id="rId79" Type="http://schemas.openxmlformats.org/officeDocument/2006/relationships/hyperlink" Target="http://www.ite.org/emodules/scriptcontent/Orders/ProductDetail.cfm?pc=GP-001B" TargetMode="External"/><Relationship Id="rId102" Type="http://schemas.openxmlformats.org/officeDocument/2006/relationships/header" Target="header14.xml"/><Relationship Id="rId123" Type="http://schemas.openxmlformats.org/officeDocument/2006/relationships/header" Target="header18.xml"/><Relationship Id="rId144" Type="http://schemas.openxmlformats.org/officeDocument/2006/relationships/hyperlink" Target="http://www.dca.state.fl.us/fdcp/dcp/Procedures/noiorcpage.cfm" TargetMode="External"/><Relationship Id="rId330" Type="http://schemas.openxmlformats.org/officeDocument/2006/relationships/hyperlink" Target="http://teachamerica.com/tih/PDF/lynxdocs_Amenities_Manual.pdf" TargetMode="External"/><Relationship Id="rId90" Type="http://schemas.openxmlformats.org/officeDocument/2006/relationships/image" Target="media/image28.emf"/><Relationship Id="rId165" Type="http://schemas.openxmlformats.org/officeDocument/2006/relationships/hyperlink" Target="http://www.leg.state.fl.us/Statutes/index.cfm?App_mode=Display_Statute&amp;Search_String=&amp;URL=Ch0163/SEC3180.HTM&amp;Title=-%3e2009-%3eCh0163-%3eSection%203180" TargetMode="External"/><Relationship Id="rId186" Type="http://schemas.openxmlformats.org/officeDocument/2006/relationships/hyperlink" Target="http://www.flrules.org/gateway/readFile.asp?sid=3&amp;tid=158030&amp;type=1&amp;File=9J-11.004.doc" TargetMode="External"/><Relationship Id="rId351" Type="http://schemas.openxmlformats.org/officeDocument/2006/relationships/hyperlink" Target="http://teachamerica.com/tih/PDF/06%20Transportation%20Proportionate%20Share%20Agreement.pdf" TargetMode="External"/><Relationship Id="rId372" Type="http://schemas.openxmlformats.org/officeDocument/2006/relationships/image" Target="media/image56.png"/><Relationship Id="rId393" Type="http://schemas.openxmlformats.org/officeDocument/2006/relationships/hyperlink" Target="https://www.flrules.org/gateway/RuleNo.asp?ID=9J-2.045" TargetMode="External"/><Relationship Id="rId407" Type="http://schemas.openxmlformats.org/officeDocument/2006/relationships/hyperlink" Target="http://teachamerica.com/tih/PDF/model-ordinance.pdfhttp:/teachamerica.com/tih/PDF/22%20Working%20with%20Proportionate%20Fair-Share.pdf" TargetMode="External"/><Relationship Id="rId211" Type="http://schemas.openxmlformats.org/officeDocument/2006/relationships/hyperlink" Target="http://www.dca.state.fl.us/fdcp/dcp/publications/Files/AnnualUpdateGuideCIE81606.pdf" TargetMode="External"/><Relationship Id="rId232" Type="http://schemas.openxmlformats.org/officeDocument/2006/relationships/hyperlink" Target="http://www.dot.state.fl.us/transit/Pages/Draft%20Guidance%20for%20Producing%20a%20TDP.doc" TargetMode="External"/><Relationship Id="rId253" Type="http://schemas.openxmlformats.org/officeDocument/2006/relationships/header" Target="header33.xml"/><Relationship Id="rId274" Type="http://schemas.openxmlformats.org/officeDocument/2006/relationships/image" Target="media/image51.png"/><Relationship Id="rId295" Type="http://schemas.openxmlformats.org/officeDocument/2006/relationships/hyperlink" Target="http://www.leg.state.fl.us/STATUTES/index.cfm?App_mode=Display_Statute&amp;Search_String=&amp;URL=Ch0380/SEC06.HTM&amp;Title=-%3e2009-%3eCh0380-%3eSection%2006" TargetMode="External"/><Relationship Id="rId309" Type="http://schemas.openxmlformats.org/officeDocument/2006/relationships/hyperlink" Target="http://www.leg.state.fl.us/STATUTES/index.cfm?App_mode=Display_Statute&amp;Search_String=&amp;URL=Ch0380/SEC07.HTM&amp;Title=-%3e2009-%3eCh0380-%3eSection%2007" TargetMode="External"/><Relationship Id="rId27" Type="http://schemas.openxmlformats.org/officeDocument/2006/relationships/image" Target="media/image5.png"/><Relationship Id="rId48" Type="http://schemas.openxmlformats.org/officeDocument/2006/relationships/header" Target="header9.xml"/><Relationship Id="rId69" Type="http://schemas.openxmlformats.org/officeDocument/2006/relationships/image" Target="media/image21.emf"/><Relationship Id="rId113" Type="http://schemas.openxmlformats.org/officeDocument/2006/relationships/header" Target="header16.xml"/><Relationship Id="rId134" Type="http://schemas.openxmlformats.org/officeDocument/2006/relationships/hyperlink" Target="http://www.dot.state.fl.us/planning/systems/sm/accman/" TargetMode="External"/><Relationship Id="rId320" Type="http://schemas.openxmlformats.org/officeDocument/2006/relationships/hyperlink" Target="http://teachamerica.com/tih/PDF/2009FDOTQLOS_Handbook.pdf" TargetMode="External"/><Relationship Id="rId80" Type="http://schemas.openxmlformats.org/officeDocument/2006/relationships/image" Target="media/image26.emf"/><Relationship Id="rId155" Type="http://schemas.openxmlformats.org/officeDocument/2006/relationships/header" Target="header26.xml"/><Relationship Id="rId176" Type="http://schemas.openxmlformats.org/officeDocument/2006/relationships/hyperlink" Target="http://www.leg.state.fl.us/Statutes/index.cfm?App_mode=Display_Statute&amp;Search_String=&amp;URL=Ch0163/SEC3180.HTM&amp;Title=-%3e2009-%3eCh0163-%3eSection%203180" TargetMode="External"/><Relationship Id="rId197" Type="http://schemas.openxmlformats.org/officeDocument/2006/relationships/hyperlink" Target="http://www.leg.state.fl.us/statutes/index.cfm?App_mode=Display_Statute&amp;Search_String=&amp;URL=Ch0163/SEC3191.HTM&amp;Title=-%3e2009-%3eCh0163-%3eSection%203191" TargetMode="External"/><Relationship Id="rId341" Type="http://schemas.openxmlformats.org/officeDocument/2006/relationships/header" Target="header50.xml"/><Relationship Id="rId362" Type="http://schemas.openxmlformats.org/officeDocument/2006/relationships/hyperlink" Target="http://www.nctr.usf.edu/abstracts/abs576-11.htm" TargetMode="External"/><Relationship Id="rId383" Type="http://schemas.openxmlformats.org/officeDocument/2006/relationships/hyperlink" Target="http://www.leg.state.fl.us/statutes/index.cfm?App_mode=Display_Statute&amp;Search_String=&amp;URL=Ch0163/Sec3180.HTM" TargetMode="External"/><Relationship Id="rId418" Type="http://schemas.openxmlformats.org/officeDocument/2006/relationships/image" Target="media/image61.png"/><Relationship Id="rId201" Type="http://schemas.openxmlformats.org/officeDocument/2006/relationships/hyperlink" Target="http://www.dca.state.fl.us/fdcp/dcp/publications/Files/TCBP.pdf" TargetMode="External"/><Relationship Id="rId222" Type="http://schemas.openxmlformats.org/officeDocument/2006/relationships/hyperlink" Target="http://www.dca.state.fl.us/fdcp/dcp/publications/Files/AnnualUpdateGuideCIE81606.pdf" TargetMode="External"/><Relationship Id="rId243" Type="http://schemas.openxmlformats.org/officeDocument/2006/relationships/hyperlink" Target="http://www.cnu.org/" TargetMode="External"/><Relationship Id="rId264" Type="http://schemas.openxmlformats.org/officeDocument/2006/relationships/footer" Target="footer5.xml"/><Relationship Id="rId285" Type="http://schemas.openxmlformats.org/officeDocument/2006/relationships/hyperlink" Target="https://www.flrules.org/gateway/RuleNo.asp?ID=9J-2.021" TargetMode="External"/><Relationship Id="rId17" Type="http://schemas.openxmlformats.org/officeDocument/2006/relationships/hyperlink" Target="http://www.leg.state.fl.us/statutes/index.cfm?App_mode=Display_Statute&amp;Search_String=&amp;URL=Ch0163/SEC3184.HTM&amp;Title=-%3e2009-%3eCh0163-%3eSection%203184" TargetMode="External"/><Relationship Id="rId38" Type="http://schemas.openxmlformats.org/officeDocument/2006/relationships/hyperlink" Target="http://teachamerica.com/TIH/PDF/Multimodal_Tradeoff.pdf" TargetMode="External"/><Relationship Id="rId59" Type="http://schemas.openxmlformats.org/officeDocument/2006/relationships/hyperlink" Target="http://teachamerica.com/TIH/PDF/2009FDOTQLOS_Handbook.pdf" TargetMode="External"/><Relationship Id="rId103" Type="http://schemas.openxmlformats.org/officeDocument/2006/relationships/image" Target="media/image34.png"/><Relationship Id="rId124" Type="http://schemas.openxmlformats.org/officeDocument/2006/relationships/footer" Target="footer2.xml"/><Relationship Id="rId310" Type="http://schemas.openxmlformats.org/officeDocument/2006/relationships/hyperlink" Target="http://www.leg.state.fl.us/STATUTES/index.cfm?App_mode=Display_Statute&amp;Search_String=&amp;URL=Ch0380/SEC06.HTM&amp;Title=-%3e2009-%3eCh0380-%3eSection%2006" TargetMode="External"/><Relationship Id="rId70" Type="http://schemas.openxmlformats.org/officeDocument/2006/relationships/image" Target="media/image22.wmf"/><Relationship Id="rId91" Type="http://schemas.openxmlformats.org/officeDocument/2006/relationships/header" Target="header12.xml"/><Relationship Id="rId145" Type="http://schemas.openxmlformats.org/officeDocument/2006/relationships/image" Target="media/image45.png"/><Relationship Id="rId166" Type="http://schemas.openxmlformats.org/officeDocument/2006/relationships/hyperlink" Target="http://www.leg.state.fl.us/Statutes/index.cfm?App_mode=Display_Statute&amp;Search_String=&amp;URL=Ch0163/SEC3180.HTM&amp;Title=-%3e2009-%3eCh0163-%3eSection%203180" TargetMode="External"/><Relationship Id="rId187" Type="http://schemas.openxmlformats.org/officeDocument/2006/relationships/hyperlink" Target="http://www.leg.state.fl.us/statutes/index.cfm?App_mode=Display_Statute&amp;Search_String=&amp;URL=Ch0163/SEC3194.HTM&amp;Title=-%3e2009-%3eCh0163-%3eSection%203194" TargetMode="External"/><Relationship Id="rId331" Type="http://schemas.openxmlformats.org/officeDocument/2006/relationships/hyperlink" Target="http://teachamerica.com/tih/PDF/UpdatedD4TransitFacilitiesGuidelines.pdf" TargetMode="External"/><Relationship Id="rId352" Type="http://schemas.openxmlformats.org/officeDocument/2006/relationships/hyperlink" Target="http://teachamerica.com/tih/PDF/06%20Transportation%20Proportionate%20Share%20Agreement.pdf" TargetMode="External"/><Relationship Id="rId373" Type="http://schemas.openxmlformats.org/officeDocument/2006/relationships/hyperlink" Target="http://teachamerica.com/tih/PDF/appb.pdf" TargetMode="External"/><Relationship Id="rId394" Type="http://schemas.openxmlformats.org/officeDocument/2006/relationships/image" Target="media/image57.jpeg"/><Relationship Id="rId408" Type="http://schemas.openxmlformats.org/officeDocument/2006/relationships/header" Target="header53.xml"/><Relationship Id="rId1" Type="http://schemas.openxmlformats.org/officeDocument/2006/relationships/customXml" Target="../customXml/item1.xml"/><Relationship Id="rId212" Type="http://schemas.openxmlformats.org/officeDocument/2006/relationships/hyperlink" Target="http://www.dot.state.fl.us/planning/policy/growthmgt/fairshare.pdf" TargetMode="External"/><Relationship Id="rId233" Type="http://schemas.openxmlformats.org/officeDocument/2006/relationships/hyperlink" Target="http://www.dca.state.fl.us/fdcp/dcp/publications/Files/TCBP.pdf" TargetMode="External"/><Relationship Id="rId254" Type="http://schemas.openxmlformats.org/officeDocument/2006/relationships/hyperlink" Target="http://teachamerica.com/tih/PDF/D5_CompPlanReview_Guide.pdf" TargetMode="External"/><Relationship Id="rId28" Type="http://schemas.openxmlformats.org/officeDocument/2006/relationships/header" Target="header6.xml"/><Relationship Id="rId49" Type="http://schemas.openxmlformats.org/officeDocument/2006/relationships/image" Target="media/image14.png"/><Relationship Id="rId114" Type="http://schemas.openxmlformats.org/officeDocument/2006/relationships/image" Target="media/image38.png"/><Relationship Id="rId275" Type="http://schemas.openxmlformats.org/officeDocument/2006/relationships/header" Target="header38.xml"/><Relationship Id="rId296" Type="http://schemas.openxmlformats.org/officeDocument/2006/relationships/hyperlink" Target="http://www.leg.state.fl.us/STATUTES/index.cfm?App_mode=Display_Statute&amp;Search_String=&amp;URL=Ch0380/SEC06.HTM&amp;Title=-%3e2009-%3eCh0380-%3eSection%2006" TargetMode="External"/><Relationship Id="rId300" Type="http://schemas.openxmlformats.org/officeDocument/2006/relationships/hyperlink" Target="http://www.leg.state.fl.us/STATUTES/index.cfm?App_mode=Display_Statute&amp;Search_String=&amp;URL=Ch0380/SEC06.HTM&amp;Title=-%3e2009-%3eCh0380-%3eSection%2006" TargetMode="External"/><Relationship Id="rId60" Type="http://schemas.openxmlformats.org/officeDocument/2006/relationships/hyperlink" Target="http://www.dot.state.fl.us/planning/systems/sm/intjus/default.shtm" TargetMode="External"/><Relationship Id="rId81" Type="http://schemas.openxmlformats.org/officeDocument/2006/relationships/hyperlink" Target="http://en.wikipedia.org/wiki/Transit-oriented_development" TargetMode="External"/><Relationship Id="rId135" Type="http://schemas.openxmlformats.org/officeDocument/2006/relationships/header" Target="header20.xml"/><Relationship Id="rId156" Type="http://schemas.openxmlformats.org/officeDocument/2006/relationships/header" Target="header27.xml"/><Relationship Id="rId177" Type="http://schemas.openxmlformats.org/officeDocument/2006/relationships/header" Target="header28.xml"/><Relationship Id="rId198" Type="http://schemas.openxmlformats.org/officeDocument/2006/relationships/hyperlink" Target="http://www.leg.state.fl.us/Statutes/index.cfm?App_mode=Display_Statute&amp;URL=Ch0334/titl0334.htm&amp;StatuteYear=2009&amp;Title=%2D%3E2009%2D%3EChapter%20334" TargetMode="External"/><Relationship Id="rId321" Type="http://schemas.openxmlformats.org/officeDocument/2006/relationships/hyperlink" Target="http://dot.state.fl.us/planning/systems/sm/los" TargetMode="External"/><Relationship Id="rId342" Type="http://schemas.openxmlformats.org/officeDocument/2006/relationships/image" Target="media/image53.png"/><Relationship Id="rId363" Type="http://schemas.openxmlformats.org/officeDocument/2006/relationships/hyperlink" Target="http://www.dot.state.fl.us/planning/systems/sm/intjus/interchangehb/PDFs/Preface.pdf" TargetMode="External"/><Relationship Id="rId384" Type="http://schemas.openxmlformats.org/officeDocument/2006/relationships/hyperlink" Target="http://www.leg.state.fl.us/statutes/index.cfm?App_mode=Display_Statute&amp;Search_String=&amp;URL=Ch0120/SEC542.HTM&amp;Title=-%3e2009-%3eCh0120-%3eSection%20542" TargetMode="External"/><Relationship Id="rId419" Type="http://schemas.openxmlformats.org/officeDocument/2006/relationships/header" Target="header60.xml"/><Relationship Id="rId202" Type="http://schemas.openxmlformats.org/officeDocument/2006/relationships/hyperlink" Target="http://www.cutr.usf.edu/research/access_m/pdf/CMS.xls" TargetMode="External"/><Relationship Id="rId223" Type="http://schemas.openxmlformats.org/officeDocument/2006/relationships/hyperlink" Target="http://www.dca.state.fl.us/fdcp/dcp/compplanning/index.cfm" TargetMode="External"/><Relationship Id="rId244" Type="http://schemas.openxmlformats.org/officeDocument/2006/relationships/hyperlink" Target="http://www.smartgrowthplanning.org/index.html" TargetMode="External"/><Relationship Id="rId18" Type="http://schemas.openxmlformats.org/officeDocument/2006/relationships/hyperlink" Target="http://www.leg.state.fl.us/statutes/index.cfm?App_mode=Display_Statute&amp;Search_String=&amp;URL=Ch0334/SEC044.HTM&amp;Title=-%3e2009-%3eCh0334-%3eSection%20044" TargetMode="External"/><Relationship Id="rId39" Type="http://schemas.openxmlformats.org/officeDocument/2006/relationships/header" Target="header8.xml"/><Relationship Id="rId265" Type="http://schemas.openxmlformats.org/officeDocument/2006/relationships/image" Target="media/image49.emf"/><Relationship Id="rId286" Type="http://schemas.openxmlformats.org/officeDocument/2006/relationships/hyperlink" Target="http://www.dca.state.fl.us/fdcp/dcp/Legislation/2009/CountiesMunicipalities.cfm" TargetMode="External"/><Relationship Id="rId50" Type="http://schemas.openxmlformats.org/officeDocument/2006/relationships/hyperlink" Target="http://teachamerica.com/TIH/PDF/2009FDOTQLOS_Handbook.pdf" TargetMode="External"/><Relationship Id="rId104" Type="http://schemas.openxmlformats.org/officeDocument/2006/relationships/header" Target="header15.xml"/><Relationship Id="rId125" Type="http://schemas.openxmlformats.org/officeDocument/2006/relationships/header" Target="header19.xml"/><Relationship Id="rId146" Type="http://schemas.openxmlformats.org/officeDocument/2006/relationships/image" Target="media/image46.png"/><Relationship Id="rId167" Type="http://schemas.openxmlformats.org/officeDocument/2006/relationships/hyperlink" Target="http://www.leg.state.fl.us/statutes/index.cfm?mode=View%20Statutes&amp;SubMenu=1&amp;App_mode=Display_Statute&amp;Search_String=163.3184&amp;URL=CH0163/Sec3184.HTM" TargetMode="External"/><Relationship Id="rId188" Type="http://schemas.openxmlformats.org/officeDocument/2006/relationships/hyperlink" Target="http://www.leg.state.fl.us/statutes/index.cfm?App_mode=Display_Statute&amp;Search_String=&amp;URL=Ch0163/SEC3184.HTM&amp;Title=-%3e2009-%3eCh0163-%3eSection%203184" TargetMode="External"/><Relationship Id="rId311" Type="http://schemas.openxmlformats.org/officeDocument/2006/relationships/hyperlink" Target="http://www.leg.state.fl.us/STATUTES/index.cfm?App_mode=Display_Statute&amp;Search_String=&amp;URL=Ch0380/SEC07.HTM&amp;Title=-%3e2009-%3eCh0380-%3eSection%2007" TargetMode="External"/><Relationship Id="rId332" Type="http://schemas.openxmlformats.org/officeDocument/2006/relationships/hyperlink" Target="http://teachamerica.com/tih/PDF/transit-design-manual.pdf" TargetMode="External"/><Relationship Id="rId353" Type="http://schemas.openxmlformats.org/officeDocument/2006/relationships/header" Target="header52.xml"/><Relationship Id="rId374" Type="http://schemas.openxmlformats.org/officeDocument/2006/relationships/hyperlink" Target="http://www2.dot.state.fl.us/proceduraldocuments/procedures/bin/525030250.pdf" TargetMode="External"/><Relationship Id="rId395" Type="http://schemas.openxmlformats.org/officeDocument/2006/relationships/hyperlink" Target="http://www.leg.state.fl.us/statutes/index.cfm?App_mode=Display_Statute&amp;Search_String=&amp;URL=Ch0163/SEC3180.HTM&amp;Title=-%3e2009-%3eCh0163-%3eSection%203180" TargetMode="External"/><Relationship Id="rId409" Type="http://schemas.openxmlformats.org/officeDocument/2006/relationships/header" Target="header54.xml"/><Relationship Id="rId71" Type="http://schemas.openxmlformats.org/officeDocument/2006/relationships/image" Target="media/image23.wmf"/><Relationship Id="rId92" Type="http://schemas.openxmlformats.org/officeDocument/2006/relationships/image" Target="media/image29.png"/><Relationship Id="rId213" Type="http://schemas.openxmlformats.org/officeDocument/2006/relationships/hyperlink" Target="http://www.dca.state.fl.us/fdcp/dcp/cie/Files/Letter.pdf" TargetMode="External"/><Relationship Id="rId234" Type="http://schemas.openxmlformats.org/officeDocument/2006/relationships/hyperlink" Target="http://www.dca.state.fl.us/fdcp/dcp/transportation/Files/AGuideCreationEvaluationTCEAs.pdf" TargetMode="External"/><Relationship Id="rId420" Type="http://schemas.openxmlformats.org/officeDocument/2006/relationships/header" Target="header61.xml"/><Relationship Id="rId2" Type="http://schemas.openxmlformats.org/officeDocument/2006/relationships/numbering" Target="numbering.xml"/><Relationship Id="rId29" Type="http://schemas.openxmlformats.org/officeDocument/2006/relationships/image" Target="media/image6.png"/><Relationship Id="rId255" Type="http://schemas.openxmlformats.org/officeDocument/2006/relationships/hyperlink" Target="http://teachamerica.com/tih/PDF/2009FDOTQLOS_Handbook.pdf" TargetMode="External"/><Relationship Id="rId276" Type="http://schemas.openxmlformats.org/officeDocument/2006/relationships/hyperlink" Target="http://www.dca.state.fl.us/fdcp/DCP/Procedures/index.cfm" TargetMode="External"/><Relationship Id="rId297" Type="http://schemas.openxmlformats.org/officeDocument/2006/relationships/hyperlink" Target="http://www.leg.state.fl.us/STATUTES/index.cfm?App_mode=Display_Statute&amp;Search_String=&amp;URL=Ch0380/SEC06.HTM&amp;Title=-%3e2009-%3eCh0380-%3eSection%2006" TargetMode="External"/><Relationship Id="rId40" Type="http://schemas.openxmlformats.org/officeDocument/2006/relationships/image" Target="media/image11.png"/><Relationship Id="rId115" Type="http://schemas.openxmlformats.org/officeDocument/2006/relationships/image" Target="media/image39.emf"/><Relationship Id="rId136" Type="http://schemas.openxmlformats.org/officeDocument/2006/relationships/image" Target="media/image43.png"/><Relationship Id="rId157" Type="http://schemas.openxmlformats.org/officeDocument/2006/relationships/hyperlink" Target="http://www.cutr.usf.edu/research/access_m/pdf/CMS.xls" TargetMode="External"/><Relationship Id="rId178" Type="http://schemas.openxmlformats.org/officeDocument/2006/relationships/hyperlink" Target="http://www.leg.state.fl.us/statutes/index.cfm?App_mode=Display_Statute&amp;Search_String=&amp;URL=Ch0163/SEC3191.HTM&amp;Title=-%3e2009-%3eCh0163-%3eSection%203191" TargetMode="External"/><Relationship Id="rId301" Type="http://schemas.openxmlformats.org/officeDocument/2006/relationships/hyperlink" Target="https://www.flrules.org/gateway/RuleNo.asp?ID=9J-2.024" TargetMode="External"/><Relationship Id="rId322" Type="http://schemas.openxmlformats.org/officeDocument/2006/relationships/hyperlink" Target="http://teachamerica.com/tih/" TargetMode="External"/><Relationship Id="rId343" Type="http://schemas.openxmlformats.org/officeDocument/2006/relationships/hyperlink" Target="http://teachamerica.com/tih/PDF/Lane_Constraint_Policy.pdf" TargetMode="External"/><Relationship Id="rId364" Type="http://schemas.openxmlformats.org/officeDocument/2006/relationships/hyperlink" Target="http://www.dot.state.fl.us/planning/systems/sm/intjus/interchangehb/PDFs/Preface.pdf" TargetMode="External"/><Relationship Id="rId61" Type="http://schemas.openxmlformats.org/officeDocument/2006/relationships/hyperlink" Target="http://www.trb.org/Main/Blurbs/Highway_Capacity_Manual_2000_152169.aspx" TargetMode="External"/><Relationship Id="rId82" Type="http://schemas.openxmlformats.org/officeDocument/2006/relationships/hyperlink" Target="http://teachamerica.com/TIH/PDF/2008_Transit_Handbook.pdf" TargetMode="External"/><Relationship Id="rId199" Type="http://schemas.openxmlformats.org/officeDocument/2006/relationships/hyperlink" Target="http://www.leg.state.fl.us/Statutes/index.cfm?App_mode=Display_Statute&amp;Search_String=&amp;URL=Ch0380/SEC06.HTM&amp;Title=-%3e2009-%3eCh0380-%3eSection%2006" TargetMode="External"/><Relationship Id="rId203" Type="http://schemas.openxmlformats.org/officeDocument/2006/relationships/hyperlink" Target="http://www.dca.state.fl.us/fdcp/dcp/transportation/Files/UserGuideSpreadSheetBasedCMS.pdf" TargetMode="External"/><Relationship Id="rId385" Type="http://schemas.openxmlformats.org/officeDocument/2006/relationships/hyperlink" Target="https://www.flrules.org/gateway/RuleNo.asp?ID=14-94.003" TargetMode="External"/><Relationship Id="rId19" Type="http://schemas.openxmlformats.org/officeDocument/2006/relationships/hyperlink" Target="http://www.leg.state.fl.us/statutes/index.cfm?App_mode=Display_Statute&amp;Search_String=&amp;URL=Ch0380/SEC06.HTM&amp;Title=-%3e2009-%3eCh0380-%3eSection%2006" TargetMode="External"/><Relationship Id="rId224" Type="http://schemas.openxmlformats.org/officeDocument/2006/relationships/hyperlink" Target="http://www.dot.state.fl.us/planning/systems/sm/los/default.shtm" TargetMode="External"/><Relationship Id="rId245" Type="http://schemas.openxmlformats.org/officeDocument/2006/relationships/hyperlink" Target="http://www.livableplaces.org/policy/todincentives.html" TargetMode="External"/><Relationship Id="rId266" Type="http://schemas.openxmlformats.org/officeDocument/2006/relationships/hyperlink" Target="http://www.leg.state.fl.us/statutes/index.cfm?App_mode=Display_Statute&amp;Search_String=&amp;URL=Ch0380/SEC06.HTM&amp;Title=-%3e2009-%3eCh0380-%3eSection%2006" TargetMode="External"/><Relationship Id="rId287" Type="http://schemas.openxmlformats.org/officeDocument/2006/relationships/hyperlink" Target="http://www.dot.state.fl.us/planning/systems/sm/intjus/default.shtm" TargetMode="External"/><Relationship Id="rId410" Type="http://schemas.openxmlformats.org/officeDocument/2006/relationships/header" Target="header55.xml"/><Relationship Id="rId30" Type="http://schemas.openxmlformats.org/officeDocument/2006/relationships/image" Target="media/image7.emf"/><Relationship Id="rId105" Type="http://schemas.openxmlformats.org/officeDocument/2006/relationships/hyperlink" Target="http://www.ite.org/emodules/scriptcontent/Orders/ProductDetail.cfm?pc=RP-020C" TargetMode="External"/><Relationship Id="rId126" Type="http://schemas.openxmlformats.org/officeDocument/2006/relationships/footer" Target="footer3.xml"/><Relationship Id="rId147" Type="http://schemas.openxmlformats.org/officeDocument/2006/relationships/hyperlink" Target="http://www.leg.state.fl.us/statutes/index.cfm?App_mode=Display_Statute&amp;Search_String=&amp;URL=Ch0163/SEC3180.HTM&amp;Title=-%3e2009-%3eCh0163-%3eSection%203180" TargetMode="External"/><Relationship Id="rId168" Type="http://schemas.openxmlformats.org/officeDocument/2006/relationships/hyperlink" Target="http://www.leg.state.fl.us/Statutes/index.cfm?App_mode=Display_Statute&amp;Search_String=&amp;URL=Ch0163/SEC3180.HTM&amp;Title=-%3e2009-%3eCh0163-%3eSection%203180" TargetMode="External"/><Relationship Id="rId312" Type="http://schemas.openxmlformats.org/officeDocument/2006/relationships/header" Target="header41.xml"/><Relationship Id="rId333" Type="http://schemas.openxmlformats.org/officeDocument/2006/relationships/hyperlink" Target="http://teachamerica.com/tih/PDF/Land%20Developer.pdf" TargetMode="External"/><Relationship Id="rId354" Type="http://schemas.openxmlformats.org/officeDocument/2006/relationships/image" Target="media/image54.png"/><Relationship Id="rId51" Type="http://schemas.openxmlformats.org/officeDocument/2006/relationships/image" Target="media/image15.emf"/><Relationship Id="rId72" Type="http://schemas.openxmlformats.org/officeDocument/2006/relationships/image" Target="media/image24.emf"/><Relationship Id="rId93" Type="http://schemas.openxmlformats.org/officeDocument/2006/relationships/image" Target="media/image30.png"/><Relationship Id="rId189" Type="http://schemas.openxmlformats.org/officeDocument/2006/relationships/hyperlink" Target="http://www.leg.state.fl.us/Statutes/index.cfm?App_mode=Display_Statute&amp;Search_String=&amp;URL=Ch0380/SEC06.HTM&amp;Title=-%3e2009-%3eCh0380-%3eSection%2006" TargetMode="External"/><Relationship Id="rId375" Type="http://schemas.openxmlformats.org/officeDocument/2006/relationships/hyperlink" Target="http://www.leg.state.fl.us/STATUTES/index.cfm?App_mode=Display_Statute&amp;URL=Ch0339/titl0339.htm&amp;StatuteYear=2009&amp;Title=%2D%3E2009%2D%3EChapter%20339" TargetMode="External"/><Relationship Id="rId396" Type="http://schemas.openxmlformats.org/officeDocument/2006/relationships/hyperlink" Target="https://www.flrules.org/gateway/RuleNo.asp?ID=14-94.003" TargetMode="External"/><Relationship Id="rId3" Type="http://schemas.openxmlformats.org/officeDocument/2006/relationships/styles" Target="styles.xml"/><Relationship Id="rId214" Type="http://schemas.openxmlformats.org/officeDocument/2006/relationships/hyperlink" Target="http://www.dca.state.fl.us/fdcp/dcp/EAR/index.cfm" TargetMode="External"/><Relationship Id="rId235" Type="http://schemas.openxmlformats.org/officeDocument/2006/relationships/hyperlink" Target="http://www.dot.state.fl.us/planning/policy/growthmgt/tcea.pdf" TargetMode="External"/><Relationship Id="rId256" Type="http://schemas.openxmlformats.org/officeDocument/2006/relationships/image" Target="media/image47.emf"/><Relationship Id="rId277" Type="http://schemas.openxmlformats.org/officeDocument/2006/relationships/hyperlink" Target="https://www.flrules.org/gateway/ChapterHome.asp?Chapter=28-24" TargetMode="External"/><Relationship Id="rId298" Type="http://schemas.openxmlformats.org/officeDocument/2006/relationships/image" Target="media/image52.png"/><Relationship Id="rId400" Type="http://schemas.openxmlformats.org/officeDocument/2006/relationships/hyperlink" Target="http://www.leg.state.fl.us/statutes/index.cfm?App_mode=Display_Statute&amp;Search_String=&amp;URL=Ch0163/SEC3180.HTM&amp;Title=-%3e2009-%3eCh0163-%3eSection%203180" TargetMode="External"/><Relationship Id="rId421" Type="http://schemas.openxmlformats.org/officeDocument/2006/relationships/header" Target="header62.xml"/><Relationship Id="rId116" Type="http://schemas.openxmlformats.org/officeDocument/2006/relationships/image" Target="media/image40.png"/><Relationship Id="rId137" Type="http://schemas.openxmlformats.org/officeDocument/2006/relationships/hyperlink" Target="http://www.leg.state.fl.us/statutes/index.cfm?App_mode=Display_Statute&amp;URL=Ch0163/part02.htm&amp;StatuteYear=2009&amp;Title=%2D%3E2009%2D%3EChapter%20163%2D%3EPart%20II" TargetMode="External"/><Relationship Id="rId158" Type="http://schemas.openxmlformats.org/officeDocument/2006/relationships/hyperlink" Target="http://www.cutr.usf.edu/research/access_m/pdf/CMS.xls" TargetMode="External"/><Relationship Id="rId302" Type="http://schemas.openxmlformats.org/officeDocument/2006/relationships/hyperlink" Target="http://www.leg.state.fl.us/statutes/index.cfm?App_mode=Display_Statute&amp;Search_String=&amp;URL=Ch0380/Sec06.HTM" TargetMode="External"/><Relationship Id="rId323" Type="http://schemas.openxmlformats.org/officeDocument/2006/relationships/hyperlink" Target="http://teachamerica.com/tih/PDF/MMAreawideQOS1211.pdf" TargetMode="External"/><Relationship Id="rId344" Type="http://schemas.openxmlformats.org/officeDocument/2006/relationships/hyperlink" Target="http://teachamerica.com/tih/PDF/Lane_Constraint_Policy.pdf" TargetMode="External"/><Relationship Id="rId20" Type="http://schemas.openxmlformats.org/officeDocument/2006/relationships/hyperlink" Target="http://teachamerica.com/TIH/PDF/2009FDOTQLOS_Handbook.pdf" TargetMode="External"/><Relationship Id="rId41" Type="http://schemas.openxmlformats.org/officeDocument/2006/relationships/image" Target="media/image12.emf"/><Relationship Id="rId62" Type="http://schemas.openxmlformats.org/officeDocument/2006/relationships/header" Target="header10.xml"/><Relationship Id="rId83" Type="http://schemas.openxmlformats.org/officeDocument/2006/relationships/hyperlink" Target="http://www.dot.state.fl.us/transit/" TargetMode="External"/><Relationship Id="rId179" Type="http://schemas.openxmlformats.org/officeDocument/2006/relationships/hyperlink" Target="http://www.leg.state.fl.us/statutes/index.cfm?App_mode=Display_Statute&amp;Search_String=&amp;URL=Ch0163/SEC3180.HTM&amp;Title=-%3e2009-%3eCh0163-%3eSection%203180" TargetMode="External"/><Relationship Id="rId365" Type="http://schemas.openxmlformats.org/officeDocument/2006/relationships/image" Target="media/image55.png"/><Relationship Id="rId386" Type="http://schemas.openxmlformats.org/officeDocument/2006/relationships/hyperlink" Target="http://www.dot.state.fl.us/planning/policy/costs/" TargetMode="External"/><Relationship Id="rId190" Type="http://schemas.openxmlformats.org/officeDocument/2006/relationships/hyperlink" Target="http://www.leg.state.fl.us/Statutes/index.cfm?App_mode=Display_Statute&amp;Search_String=&amp;URL=Ch0380/SEC06.HTM&amp;Title=-%3e2009-%3eCh0380-%3eSection%2006" TargetMode="External"/><Relationship Id="rId204" Type="http://schemas.openxmlformats.org/officeDocument/2006/relationships/hyperlink" Target="http://www.dca.state.fl.us/fdcp/dcp/transportation/Files/GISBasedCMSLocalGovt.pdf" TargetMode="External"/><Relationship Id="rId225" Type="http://schemas.openxmlformats.org/officeDocument/2006/relationships/hyperlink" Target="http://www.dot.state.fl.us/planning/systems/sm/siteimp/" TargetMode="External"/><Relationship Id="rId246" Type="http://schemas.openxmlformats.org/officeDocument/2006/relationships/hyperlink" Target="http://www.fhwa.dot.gov/hep/climate/index.htm" TargetMode="External"/><Relationship Id="rId267" Type="http://schemas.openxmlformats.org/officeDocument/2006/relationships/hyperlink" Target="https://www.flrules.org/gateway/ChapterHome.asp?Chapter=28-24" TargetMode="External"/><Relationship Id="rId288" Type="http://schemas.openxmlformats.org/officeDocument/2006/relationships/hyperlink" Target="https://www.flrules.org/gateway/RuleNo.asp?ID=9J-2.045" TargetMode="External"/><Relationship Id="rId411" Type="http://schemas.openxmlformats.org/officeDocument/2006/relationships/header" Target="header56.xml"/><Relationship Id="rId106" Type="http://schemas.openxmlformats.org/officeDocument/2006/relationships/image" Target="media/image35.png"/><Relationship Id="rId127" Type="http://schemas.openxmlformats.org/officeDocument/2006/relationships/image" Target="media/image42.png"/><Relationship Id="rId313" Type="http://schemas.openxmlformats.org/officeDocument/2006/relationships/hyperlink" Target="http://www.dca.state.fl.us/fdcp/dcp/procedures/Files/annualreportform.pdf" TargetMode="External"/><Relationship Id="rId10" Type="http://schemas.openxmlformats.org/officeDocument/2006/relationships/header" Target="header2.xml"/><Relationship Id="rId31" Type="http://schemas.openxmlformats.org/officeDocument/2006/relationships/header" Target="header7.xml"/><Relationship Id="rId52" Type="http://schemas.openxmlformats.org/officeDocument/2006/relationships/image" Target="media/image16.png"/><Relationship Id="rId73" Type="http://schemas.openxmlformats.org/officeDocument/2006/relationships/hyperlink" Target="http://teachamerica.com/GrowthManagement/18-ModelingMethods/" TargetMode="External"/><Relationship Id="rId94" Type="http://schemas.openxmlformats.org/officeDocument/2006/relationships/hyperlink" Target="http://teachamerica.com/GrowthManagement/17-ManualDistribution/" TargetMode="External"/><Relationship Id="rId148" Type="http://schemas.openxmlformats.org/officeDocument/2006/relationships/hyperlink" Target="http://teachamerica.com/TIH/PDF/BD549-36.pdf" TargetMode="External"/><Relationship Id="rId169" Type="http://schemas.openxmlformats.org/officeDocument/2006/relationships/hyperlink" Target="http://www.leg.state.fl.us/Statutes/index.cfm?App_mode=Display_Statute&amp;Search_String=&amp;URL=Ch0163/SEC3180.HTM&amp;Title=-%3e2009-%3eCh0163-%3eSection%203180" TargetMode="External"/><Relationship Id="rId334" Type="http://schemas.openxmlformats.org/officeDocument/2006/relationships/header" Target="header43.xml"/><Relationship Id="rId355" Type="http://schemas.openxmlformats.org/officeDocument/2006/relationships/hyperlink" Target="http://teachamerica.com/tih/PDF/BD549-36.pdf" TargetMode="External"/><Relationship Id="rId376" Type="http://schemas.openxmlformats.org/officeDocument/2006/relationships/hyperlink" Target="http://teachamerica.com/tih/PDF/appb.pdf" TargetMode="External"/><Relationship Id="rId397" Type="http://schemas.openxmlformats.org/officeDocument/2006/relationships/hyperlink" Target="http://www.leg.state.fl.us/statutes/index.cfm?App_mode=Display_Statute&amp;Search_String=&amp;URL=Ch0163/SEC3182.HTM&amp;Title=-%3e2009-%3eCh0163-%3eSection%203182" TargetMode="External"/><Relationship Id="rId4" Type="http://schemas.openxmlformats.org/officeDocument/2006/relationships/settings" Target="settings.xml"/><Relationship Id="rId180" Type="http://schemas.openxmlformats.org/officeDocument/2006/relationships/hyperlink" Target="http://www.leg.state.fl.us/statutes/index.cfm?App_mode=Display_Statute&amp;Search_String=&amp;URL=Ch0163/SEC3191.HTM&amp;Title=-%3e2009-%3eCh0163-%3eSection%203191" TargetMode="External"/><Relationship Id="rId215" Type="http://schemas.openxmlformats.org/officeDocument/2006/relationships/hyperlink" Target="http://www.dca.state.fl.us/fdcp/dcp/cie" TargetMode="External"/><Relationship Id="rId236" Type="http://schemas.openxmlformats.org/officeDocument/2006/relationships/hyperlink" Target="http://www.dca.state.fl.us/fdcp/dcp/transportation/index.cfm" TargetMode="External"/><Relationship Id="rId257" Type="http://schemas.openxmlformats.org/officeDocument/2006/relationships/image" Target="media/image48.png"/><Relationship Id="rId278" Type="http://schemas.openxmlformats.org/officeDocument/2006/relationships/hyperlink" Target="http://www.leg.state.fl.us/statutes/index.cfm?App_mode=Display_Statute&amp;Search_String=&amp;URL=Ch0380/Sec0651.HTM" TargetMode="External"/><Relationship Id="rId401" Type="http://schemas.openxmlformats.org/officeDocument/2006/relationships/hyperlink" Target="http://teachamerica.com/tih/PDF/22%20Working%20with%20Proportionate%20Fair-Share.pdf" TargetMode="External"/><Relationship Id="rId422" Type="http://schemas.openxmlformats.org/officeDocument/2006/relationships/fontTable" Target="fontTable.xml"/><Relationship Id="rId303" Type="http://schemas.openxmlformats.org/officeDocument/2006/relationships/header" Target="header39.xml"/><Relationship Id="rId42" Type="http://schemas.openxmlformats.org/officeDocument/2006/relationships/hyperlink" Target="http://teachamerica.com/TIH/PDF/TCBP.pdf" TargetMode="External"/><Relationship Id="rId84" Type="http://schemas.openxmlformats.org/officeDocument/2006/relationships/hyperlink" Target="http://teachamerica.com/TIH/PDF/2008_Transit_Handbook.pdf" TargetMode="External"/><Relationship Id="rId138" Type="http://schemas.openxmlformats.org/officeDocument/2006/relationships/header" Target="header21.xml"/><Relationship Id="rId345" Type="http://schemas.openxmlformats.org/officeDocument/2006/relationships/hyperlink" Target="http://teachamerica.com/tih/PDF/Multimodal_Tradeoff.pdf" TargetMode="External"/><Relationship Id="rId387" Type="http://schemas.openxmlformats.org/officeDocument/2006/relationships/hyperlink" Target="http://www.dot.state.fl.us/planning/policy/costs/" TargetMode="External"/><Relationship Id="rId191" Type="http://schemas.openxmlformats.org/officeDocument/2006/relationships/header" Target="header29.xml"/><Relationship Id="rId205" Type="http://schemas.openxmlformats.org/officeDocument/2006/relationships/hyperlink" Target="http://www.dca.state.fl.us/fdcp/dcp/transportation/Files/TransportationPlanningSmCities.pdf" TargetMode="External"/><Relationship Id="rId247" Type="http://schemas.openxmlformats.org/officeDocument/2006/relationships/hyperlink" Target="http://www.pps.org/" TargetMode="External"/><Relationship Id="rId412" Type="http://schemas.openxmlformats.org/officeDocument/2006/relationships/header" Target="header57.xml"/><Relationship Id="rId107" Type="http://schemas.openxmlformats.org/officeDocument/2006/relationships/image" Target="media/image36.png"/><Relationship Id="rId289" Type="http://schemas.openxmlformats.org/officeDocument/2006/relationships/hyperlink" Target="https://www.flrules.org/gateway/RuleNo.asp?ID=9J-2.046" TargetMode="External"/><Relationship Id="rId11" Type="http://schemas.openxmlformats.org/officeDocument/2006/relationships/header" Target="header3.xml"/><Relationship Id="rId53" Type="http://schemas.openxmlformats.org/officeDocument/2006/relationships/image" Target="media/image17.png"/><Relationship Id="rId149" Type="http://schemas.openxmlformats.org/officeDocument/2006/relationships/hyperlink" Target="http://teachamerica.com/TIH/PDF/BD549-36.pdf" TargetMode="External"/><Relationship Id="rId314" Type="http://schemas.openxmlformats.org/officeDocument/2006/relationships/hyperlink" Target="http://www.leg.state.fl.us/statutes/index.cfm?App_mode=Display_Statute&amp;Search_String=&amp;URL=Ch0380/SEC06.HTM&amp;Title=-%3e2009-%3eCh0380-%3eSection%2006" TargetMode="External"/><Relationship Id="rId356" Type="http://schemas.openxmlformats.org/officeDocument/2006/relationships/hyperlink" Target="http://teachamerica.com/tih/PDF/BestPracticesReport.pdf" TargetMode="External"/><Relationship Id="rId398" Type="http://schemas.openxmlformats.org/officeDocument/2006/relationships/hyperlink" Target="http://www.leg.state.fl.us/statutes/index.cfm?App_mode=Display_Statute&amp;Search_String=&amp;URL=Ch0163/SEC3180.HTM&amp;Title=-%3e2009-%3eCh0163-%3eSection%203180" TargetMode="External"/><Relationship Id="rId95" Type="http://schemas.openxmlformats.org/officeDocument/2006/relationships/hyperlink" Target="http://www.ite.org/emodules/scriptcontent/orders/ProductDetail.cfm?pc=TB-012" TargetMode="External"/><Relationship Id="rId160" Type="http://schemas.openxmlformats.org/officeDocument/2006/relationships/hyperlink" Target="http://www.leg.state.fl.us/Statutes/index.cfm?App_mode=Display_Statute&amp;Search_String=&amp;URL=Ch0163/SEC3180.HTM&amp;Title=-%3e2009-%3eCh0163-%3eSection%203180" TargetMode="External"/><Relationship Id="rId216" Type="http://schemas.openxmlformats.org/officeDocument/2006/relationships/hyperlink" Target="http://www.dca.state.fl.us/fdcp/dcp/compplanning/index.cfm" TargetMode="External"/><Relationship Id="rId423" Type="http://schemas.openxmlformats.org/officeDocument/2006/relationships/theme" Target="theme/theme1.xml"/><Relationship Id="rId258" Type="http://schemas.openxmlformats.org/officeDocument/2006/relationships/header" Target="header3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24C3941-5A47-4CF9-A8CE-1FA759BCE0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239</Pages>
  <Words>75672</Words>
  <Characters>431336</Characters>
  <Application>Microsoft Office Word</Application>
  <DocSecurity>0</DocSecurity>
  <Lines>3594</Lines>
  <Paragraphs>1011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505997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2010-06-15T12:42:00Z</dcterms:created>
  <dcterms:modified xsi:type="dcterms:W3CDTF">2010-06-15T14:43:00Z</dcterms:modified>
</cp:coreProperties>
</file>